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w w:val="60"/>
          <w:sz w:val="120"/>
          <w:szCs w:val="120"/>
        </w:rPr>
      </w:pPr>
      <w:bookmarkStart w:id="77" w:name="_GoBack"/>
      <w:bookmarkEnd w:id="77"/>
    </w:p>
    <w:p>
      <w:pPr>
        <w:spacing w:line="400" w:lineRule="exact"/>
        <w:jc w:val="center"/>
        <w:rPr>
          <w:rFonts w:eastAsia="方正小标宋简体"/>
          <w:w w:val="60"/>
          <w:sz w:val="120"/>
          <w:szCs w:val="120"/>
        </w:rPr>
      </w:pPr>
    </w:p>
    <w:p>
      <w:pPr>
        <w:jc w:val="center"/>
        <w:rPr>
          <w:rFonts w:eastAsia="方正小标宋简体"/>
          <w:color w:val="FFFFFF"/>
          <w:w w:val="60"/>
          <w:sz w:val="120"/>
          <w:szCs w:val="120"/>
        </w:rPr>
      </w:pPr>
      <w:r>
        <w:rPr>
          <w:rFonts w:eastAsia="方正小标宋简体"/>
          <w:color w:val="FFFFFF"/>
          <w:w w:val="60"/>
          <w:sz w:val="120"/>
          <w:szCs w:val="120"/>
        </w:rPr>
        <w:t>九江市柴桑区人民政府文件</w:t>
      </w:r>
    </w:p>
    <w:p>
      <w:pPr>
        <w:ind w:firstLine="160" w:firstLineChars="50"/>
        <w:jc w:val="center"/>
        <w:rPr>
          <w:rFonts w:eastAsia="方正仿宋简体"/>
          <w:sz w:val="32"/>
          <w:szCs w:val="28"/>
        </w:rPr>
      </w:pPr>
    </w:p>
    <w:p>
      <w:pPr>
        <w:spacing w:line="400" w:lineRule="exact"/>
        <w:ind w:firstLine="160" w:firstLineChars="50"/>
        <w:jc w:val="center"/>
        <w:rPr>
          <w:rFonts w:eastAsia="方正仿宋简体"/>
          <w:sz w:val="32"/>
          <w:szCs w:val="28"/>
        </w:rPr>
      </w:pPr>
    </w:p>
    <w:p>
      <w:pPr>
        <w:jc w:val="center"/>
        <w:rPr>
          <w:rFonts w:eastAsia="方正小标宋简体"/>
          <w:w w:val="82"/>
          <w:sz w:val="120"/>
          <w:szCs w:val="120"/>
        </w:rPr>
      </w:pPr>
      <w:r>
        <w:rPr>
          <w:rFonts w:eastAsia="方正仿宋简体"/>
          <w:sz w:val="32"/>
          <w:szCs w:val="28"/>
        </w:rPr>
        <w:t>柴府发〔2022〕13号</w:t>
      </w:r>
    </w:p>
    <w:p>
      <w:pPr>
        <w:spacing w:line="500" w:lineRule="exact"/>
        <w:rPr>
          <w:b/>
          <w:sz w:val="44"/>
          <w:szCs w:val="44"/>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101600</wp:posOffset>
                </wp:positionV>
                <wp:extent cx="5989320" cy="0"/>
                <wp:effectExtent l="0" t="13970" r="11430" b="24130"/>
                <wp:wrapNone/>
                <wp:docPr id="1" name="直线 2"/>
                <wp:cNvGraphicFramePr/>
                <a:graphic xmlns:a="http://schemas.openxmlformats.org/drawingml/2006/main">
                  <a:graphicData uri="http://schemas.microsoft.com/office/word/2010/wordprocessingShape">
                    <wps:wsp>
                      <wps:cNvCnPr/>
                      <wps:spPr>
                        <a:xfrm>
                          <a:off x="0" y="0"/>
                          <a:ext cx="5989320" cy="0"/>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8pt;height:0pt;width:471.6pt;z-index:251659264;mso-width-relative:page;mso-height-relative:page;" filled="f" stroked="t" coordsize="21600,21600" o:gfxdata="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JXpxDSAAAA&#10;CQEAAA8AAAAAAAAAAQAgAAAAIgAAAGRycy9kb3ducmV2LnhtbFBLAQIUABQAAAAIAIdO4kAWzo4b&#10;6gEAANwDAAAOAAAAAAAAAAEAIAAAACEBAABkcnMvZTJvRG9jLnhtbFBLBQYAAAAABgAGAFkBAAB9&#10;BQAAAAA=&#10;">
                <v:fill on="f" focussize="0,0"/>
                <v:stroke weight="2.25pt" color="#FFFFFF" joinstyle="round"/>
                <v:imagedata o:title=""/>
                <o:lock v:ext="edit" aspectratio="f"/>
              </v:line>
            </w:pict>
          </mc:Fallback>
        </mc:AlternateContent>
      </w:r>
    </w:p>
    <w:p>
      <w:pPr>
        <w:spacing w:line="600" w:lineRule="exact"/>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九江市柴桑区人民政府</w:t>
      </w:r>
    </w:p>
    <w:p>
      <w:pPr>
        <w:spacing w:line="600" w:lineRule="exact"/>
        <w:jc w:val="center"/>
        <w:rPr>
          <w:rFonts w:eastAsia="方正小标宋简体"/>
          <w:spacing w:val="-10"/>
          <w:sz w:val="44"/>
          <w:szCs w:val="44"/>
        </w:rPr>
      </w:pPr>
      <w:r>
        <w:rPr>
          <w:rFonts w:eastAsia="方正小标宋简体"/>
          <w:spacing w:val="-10"/>
          <w:sz w:val="44"/>
          <w:szCs w:val="44"/>
        </w:rPr>
        <w:t>关于印发九江市柴桑区应急管理“十四五”规划的通  知</w:t>
      </w:r>
    </w:p>
    <w:p>
      <w:pPr>
        <w:spacing w:line="600" w:lineRule="exact"/>
        <w:rPr>
          <w:rFonts w:eastAsia="仿宋_GB2312"/>
          <w:sz w:val="32"/>
          <w:szCs w:val="32"/>
        </w:rPr>
      </w:pPr>
    </w:p>
    <w:p>
      <w:pPr>
        <w:spacing w:line="600" w:lineRule="exact"/>
        <w:rPr>
          <w:rFonts w:eastAsia="仿宋_GB2312"/>
          <w:sz w:val="32"/>
          <w:szCs w:val="32"/>
        </w:rPr>
      </w:pPr>
      <w:r>
        <w:rPr>
          <w:rFonts w:eastAsia="仿宋_GB2312"/>
          <w:sz w:val="32"/>
          <w:szCs w:val="32"/>
        </w:rPr>
        <w:t>各乡（镇）人民政府、各街道办事处，区政府各部门，区直及驻区各单位：</w:t>
      </w:r>
    </w:p>
    <w:p>
      <w:pPr>
        <w:spacing w:line="600" w:lineRule="exact"/>
        <w:ind w:firstLine="640" w:firstLineChars="200"/>
        <w:rPr>
          <w:rFonts w:eastAsia="仿宋_GB2312"/>
          <w:sz w:val="32"/>
          <w:szCs w:val="32"/>
        </w:rPr>
      </w:pPr>
      <w:r>
        <w:rPr>
          <w:rFonts w:eastAsia="仿宋_GB2312"/>
          <w:sz w:val="32"/>
          <w:szCs w:val="32"/>
        </w:rPr>
        <w:t>《九江市柴桑区应急管理“十四五”规划》已经区政府研究通过，现印发给你们，请抓好贯彻落实。</w:t>
      </w:r>
    </w:p>
    <w:p>
      <w:pPr>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ind w:firstLine="640" w:firstLineChars="200"/>
        <w:rPr>
          <w:rFonts w:eastAsia="仿宋_GB2312"/>
          <w:sz w:val="32"/>
          <w:szCs w:val="32"/>
        </w:rPr>
      </w:pPr>
      <w:r>
        <w:rPr>
          <w:rFonts w:eastAsia="仿宋_GB2312"/>
          <w:sz w:val="32"/>
          <w:szCs w:val="32"/>
        </w:rPr>
        <w:t xml:space="preserve">                           2022年10月27日</w:t>
      </w:r>
    </w:p>
    <w:p>
      <w:pPr>
        <w:jc w:val="center"/>
        <w:rPr>
          <w:rFonts w:eastAsia="方正小标宋简体"/>
          <w:sz w:val="52"/>
          <w:szCs w:val="52"/>
        </w:rPr>
      </w:pPr>
      <w:r>
        <w:rPr>
          <w:rFonts w:eastAsia="方正小标宋简体"/>
          <w:sz w:val="52"/>
          <w:szCs w:val="52"/>
        </w:rPr>
        <w:t xml:space="preserve"> </w:t>
      </w:r>
    </w:p>
    <w:p>
      <w:pPr>
        <w:jc w:val="center"/>
        <w:rPr>
          <w:rFonts w:eastAsia="方正小标宋简体"/>
          <w:spacing w:val="80"/>
          <w:sz w:val="52"/>
          <w:szCs w:val="52"/>
        </w:rPr>
      </w:pPr>
      <w:r>
        <w:rPr>
          <w:rFonts w:eastAsia="方正小标宋简体"/>
          <w:spacing w:val="80"/>
          <w:sz w:val="52"/>
          <w:szCs w:val="52"/>
        </w:rPr>
        <w:t>九江市柴桑区应急管理</w:t>
      </w:r>
    </w:p>
    <w:p>
      <w:pPr>
        <w:jc w:val="center"/>
        <w:rPr>
          <w:rFonts w:eastAsia="方正小标宋简体"/>
          <w:spacing w:val="80"/>
          <w:sz w:val="52"/>
          <w:szCs w:val="52"/>
        </w:rPr>
      </w:pPr>
      <w:r>
        <w:rPr>
          <w:rFonts w:eastAsia="方正小标宋简体"/>
          <w:spacing w:val="80"/>
          <w:sz w:val="52"/>
          <w:szCs w:val="52"/>
        </w:rPr>
        <w:t>“十四五”规划</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pStyle w:val="2"/>
      </w:pPr>
      <w:r>
        <w:t xml:space="preserve"> </w:t>
      </w:r>
    </w:p>
    <w:p>
      <w:pPr>
        <w:pStyle w:val="2"/>
      </w:pPr>
      <w:r>
        <w:t xml:space="preserve"> </w:t>
      </w:r>
    </w:p>
    <w:p>
      <w:pPr>
        <w:widowControl/>
        <w:jc w:val="center"/>
        <w:rPr>
          <w:rFonts w:eastAsia="仿宋_GB2312"/>
          <w:sz w:val="36"/>
          <w:szCs w:val="36"/>
        </w:rPr>
      </w:pPr>
      <w:r>
        <w:rPr>
          <w:rFonts w:eastAsia="仿宋_GB2312"/>
          <w:sz w:val="36"/>
          <w:szCs w:val="36"/>
        </w:rPr>
        <w:t xml:space="preserve"> </w:t>
      </w:r>
    </w:p>
    <w:p>
      <w:pPr>
        <w:widowControl/>
        <w:jc w:val="center"/>
        <w:rPr>
          <w:rFonts w:eastAsia="仿宋_GB2312"/>
          <w:sz w:val="36"/>
          <w:szCs w:val="36"/>
        </w:rPr>
      </w:pPr>
      <w:r>
        <w:rPr>
          <w:rFonts w:eastAsia="仿宋_GB2312"/>
          <w:sz w:val="36"/>
          <w:szCs w:val="36"/>
        </w:rPr>
        <w:t xml:space="preserve"> </w:t>
      </w:r>
    </w:p>
    <w:p>
      <w:pPr>
        <w:widowControl/>
        <w:jc w:val="center"/>
        <w:rPr>
          <w:rFonts w:eastAsia="仿宋_GB2312"/>
          <w:sz w:val="36"/>
          <w:szCs w:val="36"/>
        </w:rPr>
      </w:pPr>
      <w:r>
        <w:rPr>
          <w:rFonts w:eastAsia="仿宋_GB2312"/>
          <w:sz w:val="36"/>
          <w:szCs w:val="36"/>
        </w:rPr>
        <w:t xml:space="preserve"> </w:t>
      </w:r>
    </w:p>
    <w:p>
      <w:pPr>
        <w:widowControl/>
        <w:jc w:val="center"/>
        <w:rPr>
          <w:rFonts w:eastAsia="楷体_GB2312"/>
          <w:b/>
          <w:sz w:val="36"/>
          <w:szCs w:val="36"/>
        </w:rPr>
      </w:pPr>
      <w:r>
        <w:rPr>
          <w:rFonts w:eastAsia="楷体_GB2312"/>
          <w:b/>
          <w:sz w:val="36"/>
          <w:szCs w:val="36"/>
        </w:rPr>
        <w:t>2022年10月</w:t>
      </w:r>
    </w:p>
    <w:p>
      <w:pPr>
        <w:spacing w:line="600" w:lineRule="exact"/>
        <w:ind w:firstLine="640" w:firstLineChars="200"/>
        <w:jc w:val="center"/>
        <w:rPr>
          <w:rFonts w:eastAsia="黑体"/>
          <w:sz w:val="32"/>
          <w:szCs w:val="32"/>
        </w:rPr>
      </w:pPr>
    </w:p>
    <w:p>
      <w:pPr>
        <w:spacing w:line="560" w:lineRule="exact"/>
        <w:jc w:val="center"/>
        <w:rPr>
          <w:rFonts w:eastAsia="黑体"/>
          <w:sz w:val="44"/>
          <w:szCs w:val="44"/>
        </w:rPr>
      </w:pPr>
      <w:r>
        <w:rPr>
          <w:rFonts w:eastAsia="黑体"/>
          <w:sz w:val="44"/>
          <w:szCs w:val="44"/>
        </w:rPr>
        <w:t>目  录</w:t>
      </w:r>
    </w:p>
    <w:p>
      <w:pPr>
        <w:spacing w:line="560" w:lineRule="exact"/>
        <w:jc w:val="center"/>
        <w:rPr>
          <w:rFonts w:eastAsia="黑体"/>
          <w:sz w:val="32"/>
          <w:szCs w:val="32"/>
        </w:rPr>
      </w:pPr>
      <w:r>
        <w:rPr>
          <w:rFonts w:eastAsia="黑体"/>
          <w:sz w:val="32"/>
          <w:szCs w:val="32"/>
        </w:rPr>
        <w:t>前  言</w:t>
      </w:r>
    </w:p>
    <w:p>
      <w:pPr>
        <w:pStyle w:val="2"/>
        <w:spacing w:line="560" w:lineRule="exact"/>
      </w:pP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"_Toc113052421#_Toc113052421" </w:instrText>
      </w:r>
      <w:r>
        <w:rPr>
          <w:rFonts w:eastAsia="黑体"/>
          <w:sz w:val="32"/>
          <w:szCs w:val="32"/>
        </w:rPr>
        <w:fldChar w:fldCharType="separate"/>
      </w:r>
      <w:r>
        <w:rPr>
          <w:rStyle w:val="17"/>
          <w:rFonts w:eastAsia="黑体"/>
          <w:color w:val="auto"/>
          <w:sz w:val="32"/>
          <w:szCs w:val="32"/>
          <w:u w:val="none"/>
        </w:rPr>
        <w:t>一、现状与形势</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"_Toc113052422#_Toc113052422" </w:instrText>
      </w:r>
      <w:r>
        <w:rPr>
          <w:rFonts w:eastAsia="仿宋_GB2312"/>
          <w:sz w:val="32"/>
          <w:szCs w:val="32"/>
        </w:rPr>
        <w:fldChar w:fldCharType="separate"/>
      </w:r>
      <w:r>
        <w:rPr>
          <w:rStyle w:val="17"/>
          <w:rFonts w:eastAsia="仿宋_GB2312"/>
          <w:color w:val="auto"/>
          <w:sz w:val="32"/>
          <w:szCs w:val="32"/>
          <w:u w:val="none"/>
        </w:rPr>
        <w:t>（一）“十三五”期间进展与成效</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"_Toc113052423#_Toc113052423" </w:instrText>
      </w:r>
      <w:r>
        <w:rPr>
          <w:rFonts w:eastAsia="仿宋_GB2312"/>
          <w:sz w:val="32"/>
          <w:szCs w:val="32"/>
        </w:rPr>
        <w:fldChar w:fldCharType="separate"/>
      </w:r>
      <w:r>
        <w:rPr>
          <w:rStyle w:val="17"/>
          <w:rFonts w:eastAsia="仿宋_GB2312"/>
          <w:color w:val="auto"/>
          <w:sz w:val="32"/>
          <w:szCs w:val="32"/>
          <w:u w:val="none"/>
        </w:rPr>
        <w:t>1．应急管理工作取得新突破</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"_Toc113052424#_Toc113052424" </w:instrText>
      </w:r>
      <w:r>
        <w:rPr>
          <w:rFonts w:eastAsia="仿宋_GB2312"/>
          <w:sz w:val="32"/>
          <w:szCs w:val="32"/>
        </w:rPr>
        <w:fldChar w:fldCharType="separate"/>
      </w:r>
      <w:r>
        <w:rPr>
          <w:rStyle w:val="17"/>
          <w:rFonts w:eastAsia="仿宋_GB2312"/>
          <w:color w:val="auto"/>
          <w:sz w:val="32"/>
          <w:szCs w:val="32"/>
          <w:u w:val="none"/>
        </w:rPr>
        <w:t>2．安全生产形势持续向好</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"_Toc113052425#_Toc113052425" </w:instrText>
      </w:r>
      <w:r>
        <w:rPr>
          <w:rFonts w:eastAsia="仿宋_GB2312"/>
          <w:sz w:val="32"/>
          <w:szCs w:val="32"/>
        </w:rPr>
        <w:fldChar w:fldCharType="separate"/>
      </w:r>
      <w:r>
        <w:rPr>
          <w:rStyle w:val="17"/>
          <w:rFonts w:eastAsia="仿宋_GB2312"/>
          <w:color w:val="auto"/>
          <w:sz w:val="32"/>
          <w:szCs w:val="32"/>
          <w:u w:val="none"/>
        </w:rPr>
        <w:t>3．应急处置能力逐步增强</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"_Toc113052426#_Toc113052426" </w:instrText>
      </w:r>
      <w:r>
        <w:rPr>
          <w:rFonts w:eastAsia="仿宋_GB2312"/>
          <w:sz w:val="32"/>
          <w:szCs w:val="32"/>
        </w:rPr>
        <w:fldChar w:fldCharType="separate"/>
      </w:r>
      <w:r>
        <w:rPr>
          <w:rStyle w:val="17"/>
          <w:rFonts w:eastAsia="仿宋_GB2312"/>
          <w:color w:val="auto"/>
          <w:sz w:val="32"/>
          <w:szCs w:val="32"/>
          <w:u w:val="none"/>
        </w:rPr>
        <w:t>4．应急救援体系不断完善</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"_Toc113052427#_Toc113052427" </w:instrText>
      </w:r>
      <w:r>
        <w:rPr>
          <w:rFonts w:eastAsia="仿宋_GB2312"/>
          <w:sz w:val="32"/>
          <w:szCs w:val="32"/>
        </w:rPr>
        <w:fldChar w:fldCharType="separate"/>
      </w:r>
      <w:r>
        <w:rPr>
          <w:rStyle w:val="17"/>
          <w:rFonts w:eastAsia="仿宋_GB2312"/>
          <w:color w:val="auto"/>
          <w:sz w:val="32"/>
          <w:szCs w:val="32"/>
          <w:u w:val="none"/>
        </w:rPr>
        <w:t>5．综合减灾能力不断加强</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"_Toc113052428#_Toc113052428" </w:instrText>
      </w:r>
      <w:r>
        <w:rPr>
          <w:rFonts w:eastAsia="仿宋_GB2312"/>
          <w:sz w:val="32"/>
          <w:szCs w:val="32"/>
        </w:rPr>
        <w:fldChar w:fldCharType="separate"/>
      </w:r>
      <w:r>
        <w:rPr>
          <w:rStyle w:val="17"/>
          <w:rFonts w:eastAsia="仿宋_GB2312"/>
          <w:color w:val="auto"/>
          <w:sz w:val="32"/>
          <w:szCs w:val="32"/>
          <w:u w:val="none"/>
        </w:rPr>
        <w:t>6．全社会应急意识进一步强化</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"_Toc113052429#_Toc113052429" </w:instrText>
      </w:r>
      <w:r>
        <w:rPr>
          <w:rFonts w:eastAsia="仿宋_GB2312"/>
          <w:sz w:val="32"/>
          <w:szCs w:val="32"/>
        </w:rPr>
        <w:fldChar w:fldCharType="separate"/>
      </w:r>
      <w:r>
        <w:rPr>
          <w:rStyle w:val="17"/>
          <w:rFonts w:eastAsia="仿宋_GB2312"/>
          <w:color w:val="auto"/>
          <w:sz w:val="32"/>
          <w:szCs w:val="32"/>
          <w:u w:val="none"/>
        </w:rPr>
        <w:t>（二）“十四五”时期面临的形势</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"_Toc113052430#_Toc113052430" </w:instrText>
      </w:r>
      <w:r>
        <w:rPr>
          <w:rFonts w:eastAsia="仿宋_GB2312"/>
          <w:sz w:val="32"/>
          <w:szCs w:val="32"/>
        </w:rPr>
        <w:fldChar w:fldCharType="separate"/>
      </w:r>
      <w:r>
        <w:rPr>
          <w:rStyle w:val="17"/>
          <w:rFonts w:eastAsia="仿宋_GB2312"/>
          <w:color w:val="auto"/>
          <w:sz w:val="32"/>
          <w:szCs w:val="32"/>
          <w:u w:val="none"/>
        </w:rPr>
        <w:t>1．面临的有利条件与机遇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"_Toc113052431#_Toc113052431" </w:instrText>
      </w:r>
      <w:r>
        <w:rPr>
          <w:rFonts w:eastAsia="仿宋_GB2312"/>
          <w:sz w:val="32"/>
          <w:szCs w:val="32"/>
        </w:rPr>
        <w:fldChar w:fldCharType="separate"/>
      </w:r>
      <w:r>
        <w:rPr>
          <w:rStyle w:val="17"/>
          <w:rFonts w:eastAsia="仿宋_GB2312"/>
          <w:color w:val="auto"/>
          <w:sz w:val="32"/>
          <w:szCs w:val="32"/>
          <w:u w:val="none"/>
        </w:rPr>
        <w:t>2．面临的主要问题和挑战</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"_Toc113052432#_Toc113052432" </w:instrText>
      </w:r>
      <w:r>
        <w:rPr>
          <w:rFonts w:eastAsia="黑体"/>
          <w:sz w:val="32"/>
          <w:szCs w:val="32"/>
        </w:rPr>
        <w:fldChar w:fldCharType="separate"/>
      </w:r>
      <w:r>
        <w:rPr>
          <w:rFonts w:eastAsia="黑体"/>
          <w:sz w:val="32"/>
          <w:szCs w:val="32"/>
        </w:rPr>
        <w:t>二、总体要求</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"_Toc113052433#_Toc113052433" </w:instrText>
      </w:r>
      <w:r>
        <w:rPr>
          <w:rFonts w:eastAsia="仿宋_GB2312"/>
          <w:sz w:val="32"/>
          <w:szCs w:val="32"/>
        </w:rPr>
        <w:fldChar w:fldCharType="separate"/>
      </w:r>
      <w:r>
        <w:rPr>
          <w:rStyle w:val="17"/>
          <w:rFonts w:eastAsia="仿宋_GB2312"/>
          <w:color w:val="auto"/>
          <w:sz w:val="32"/>
          <w:szCs w:val="32"/>
          <w:u w:val="none"/>
        </w:rPr>
        <w:t>（一）指导思想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"_Toc113052434#_Toc113052434" </w:instrText>
      </w:r>
      <w:r>
        <w:rPr>
          <w:rFonts w:eastAsia="仿宋_GB2312"/>
          <w:sz w:val="32"/>
          <w:szCs w:val="32"/>
        </w:rPr>
        <w:fldChar w:fldCharType="separate"/>
      </w:r>
      <w:r>
        <w:rPr>
          <w:rStyle w:val="17"/>
          <w:rFonts w:eastAsia="仿宋_GB2312"/>
          <w:color w:val="auto"/>
          <w:sz w:val="32"/>
          <w:szCs w:val="32"/>
          <w:u w:val="none"/>
        </w:rPr>
        <w:t>（二）基本原则</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"_Toc113052435#_Toc113052435" </w:instrText>
      </w:r>
      <w:r>
        <w:rPr>
          <w:rFonts w:eastAsia="仿宋_GB2312"/>
          <w:sz w:val="32"/>
          <w:szCs w:val="32"/>
        </w:rPr>
        <w:fldChar w:fldCharType="separate"/>
      </w:r>
      <w:r>
        <w:rPr>
          <w:rStyle w:val="17"/>
          <w:rFonts w:eastAsia="仿宋_GB2312"/>
          <w:color w:val="auto"/>
          <w:sz w:val="32"/>
          <w:szCs w:val="32"/>
          <w:u w:val="none"/>
        </w:rPr>
        <w:t>（三）规划目标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"_Toc113052436#_Toc113052436" </w:instrText>
      </w:r>
      <w:r>
        <w:rPr>
          <w:rFonts w:eastAsia="仿宋_GB2312"/>
          <w:sz w:val="32"/>
          <w:szCs w:val="32"/>
        </w:rPr>
        <w:fldChar w:fldCharType="separate"/>
      </w:r>
      <w:r>
        <w:rPr>
          <w:rStyle w:val="17"/>
          <w:rFonts w:eastAsia="仿宋_GB2312"/>
          <w:color w:val="auto"/>
          <w:sz w:val="32"/>
          <w:szCs w:val="32"/>
          <w:u w:val="none"/>
        </w:rPr>
        <w:t>1．总体目标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"_Toc113052437#_Toc113052437" </w:instrText>
      </w:r>
      <w:r>
        <w:rPr>
          <w:rFonts w:eastAsia="仿宋_GB2312"/>
          <w:sz w:val="32"/>
          <w:szCs w:val="32"/>
        </w:rPr>
        <w:fldChar w:fldCharType="separate"/>
      </w:r>
      <w:r>
        <w:rPr>
          <w:rStyle w:val="17"/>
          <w:rFonts w:eastAsia="仿宋_GB2312"/>
          <w:color w:val="auto"/>
          <w:sz w:val="32"/>
          <w:szCs w:val="32"/>
          <w:u w:val="none"/>
        </w:rPr>
        <w:t>2．分类目标</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"_Toc113052438#_Toc113052438" </w:instrText>
      </w:r>
      <w:r>
        <w:rPr>
          <w:rFonts w:eastAsia="黑体"/>
          <w:sz w:val="32"/>
          <w:szCs w:val="32"/>
        </w:rPr>
        <w:fldChar w:fldCharType="separate"/>
      </w:r>
      <w:r>
        <w:rPr>
          <w:rStyle w:val="17"/>
          <w:rFonts w:eastAsia="黑体"/>
          <w:color w:val="auto"/>
          <w:sz w:val="32"/>
          <w:szCs w:val="32"/>
          <w:u w:val="none"/>
        </w:rPr>
        <w:t>三、全力推进应急治理体系能力现代化</w:t>
      </w:r>
      <w:r>
        <w:rPr>
          <w:rStyle w:val="17"/>
          <w:rFonts w:eastAsia="黑体"/>
          <w:color w:val="auto"/>
          <w:sz w:val="32"/>
          <w:szCs w:val="32"/>
          <w:u w:val="none"/>
        </w:rPr>
        <w:tab/>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"_Toc113052439#_Toc113052439" </w:instrText>
      </w:r>
      <w:r>
        <w:rPr>
          <w:rFonts w:eastAsia="仿宋_GB2312"/>
          <w:sz w:val="32"/>
          <w:szCs w:val="32"/>
        </w:rPr>
        <w:fldChar w:fldCharType="separate"/>
      </w:r>
      <w:r>
        <w:rPr>
          <w:rStyle w:val="17"/>
          <w:rFonts w:eastAsia="仿宋_GB2312"/>
          <w:color w:val="auto"/>
          <w:sz w:val="32"/>
          <w:szCs w:val="32"/>
          <w:u w:val="none"/>
        </w:rPr>
        <w:t>（一）健全应急管理体制</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"_Toc113052440#_Toc113052440" </w:instrText>
      </w:r>
      <w:r>
        <w:rPr>
          <w:rFonts w:eastAsia="仿宋_GB2312"/>
          <w:sz w:val="32"/>
          <w:szCs w:val="32"/>
        </w:rPr>
        <w:fldChar w:fldCharType="separate"/>
      </w:r>
      <w:r>
        <w:rPr>
          <w:rStyle w:val="17"/>
          <w:rFonts w:eastAsia="仿宋_GB2312"/>
          <w:color w:val="auto"/>
          <w:sz w:val="32"/>
          <w:szCs w:val="32"/>
          <w:u w:val="none"/>
        </w:rPr>
        <w:t>（二）完善应急管理机制</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"_Toc113052441#_Toc113052441" </w:instrText>
      </w:r>
      <w:r>
        <w:rPr>
          <w:rFonts w:eastAsia="仿宋_GB2312"/>
          <w:sz w:val="32"/>
          <w:szCs w:val="32"/>
        </w:rPr>
        <w:fldChar w:fldCharType="separate"/>
      </w:r>
      <w:r>
        <w:rPr>
          <w:rStyle w:val="17"/>
          <w:rFonts w:eastAsia="仿宋_GB2312"/>
          <w:color w:val="auto"/>
          <w:sz w:val="32"/>
          <w:szCs w:val="32"/>
          <w:u w:val="none"/>
        </w:rPr>
        <w:t>（三）强化应急责任体系</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"_Toc113052442#_Toc113052442" </w:instrText>
      </w:r>
      <w:r>
        <w:rPr>
          <w:rFonts w:eastAsia="仿宋_GB2312"/>
          <w:sz w:val="32"/>
          <w:szCs w:val="32"/>
        </w:rPr>
        <w:fldChar w:fldCharType="separate"/>
      </w:r>
      <w:r>
        <w:rPr>
          <w:rStyle w:val="17"/>
          <w:rFonts w:eastAsia="仿宋_GB2312"/>
          <w:color w:val="auto"/>
          <w:sz w:val="32"/>
          <w:szCs w:val="32"/>
          <w:u w:val="none"/>
        </w:rPr>
        <w:t>（四）加强基层应急能力建设</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"_Toc113052443#_Toc113052443" </w:instrText>
      </w:r>
      <w:r>
        <w:rPr>
          <w:rFonts w:eastAsia="黑体"/>
          <w:sz w:val="32"/>
          <w:szCs w:val="32"/>
        </w:rPr>
        <w:fldChar w:fldCharType="separate"/>
      </w:r>
      <w:r>
        <w:rPr>
          <w:rFonts w:eastAsia="黑体"/>
          <w:sz w:val="32"/>
          <w:szCs w:val="32"/>
        </w:rPr>
        <w:t>四、健全安全风险防控体系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"_Toc113052444#_Toc113052444" </w:instrText>
      </w:r>
      <w:r>
        <w:rPr>
          <w:rFonts w:eastAsia="仿宋_GB2312"/>
          <w:sz w:val="32"/>
          <w:szCs w:val="32"/>
        </w:rPr>
        <w:fldChar w:fldCharType="separate"/>
      </w:r>
      <w:r>
        <w:rPr>
          <w:rStyle w:val="17"/>
          <w:rFonts w:eastAsia="仿宋_GB2312"/>
          <w:color w:val="auto"/>
          <w:sz w:val="32"/>
          <w:szCs w:val="32"/>
          <w:u w:val="none"/>
        </w:rPr>
        <w:t>（一）加强风险源头治理</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"_Toc113052445#_Toc113052445" </w:instrText>
      </w:r>
      <w:r>
        <w:rPr>
          <w:rFonts w:eastAsia="仿宋_GB2312"/>
          <w:sz w:val="32"/>
          <w:szCs w:val="32"/>
        </w:rPr>
        <w:fldChar w:fldCharType="separate"/>
      </w:r>
      <w:r>
        <w:rPr>
          <w:rStyle w:val="17"/>
          <w:rFonts w:eastAsia="仿宋_GB2312"/>
          <w:color w:val="auto"/>
          <w:sz w:val="32"/>
          <w:szCs w:val="32"/>
          <w:u w:val="none"/>
        </w:rPr>
        <w:t>（二）强化监测预报预警</w:t>
      </w:r>
      <w:r>
        <w:rPr>
          <w:rStyle w:val="17"/>
          <w:rFonts w:eastAsia="仿宋_GB2312"/>
          <w:color w:val="auto"/>
          <w:sz w:val="32"/>
          <w:szCs w:val="32"/>
          <w:u w:val="none"/>
        </w:rPr>
        <w:tab/>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"_Toc113052446#_Toc113052446" </w:instrText>
      </w:r>
      <w:r>
        <w:rPr>
          <w:rFonts w:eastAsia="仿宋_GB2312"/>
          <w:sz w:val="32"/>
          <w:szCs w:val="32"/>
        </w:rPr>
        <w:fldChar w:fldCharType="separate"/>
      </w:r>
      <w:r>
        <w:rPr>
          <w:rStyle w:val="17"/>
          <w:rFonts w:eastAsia="仿宋_GB2312"/>
          <w:color w:val="auto"/>
          <w:sz w:val="32"/>
          <w:szCs w:val="32"/>
          <w:u w:val="none"/>
        </w:rPr>
        <w:t>（三）强化灾害系统治理</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"_Toc113052447#_Toc113052447" </w:instrText>
      </w:r>
      <w:r>
        <w:rPr>
          <w:rFonts w:eastAsia="仿宋_GB2312"/>
          <w:sz w:val="32"/>
          <w:szCs w:val="32"/>
        </w:rPr>
        <w:fldChar w:fldCharType="separate"/>
      </w:r>
      <w:r>
        <w:rPr>
          <w:rStyle w:val="17"/>
          <w:rFonts w:eastAsia="仿宋_GB2312"/>
          <w:color w:val="auto"/>
          <w:sz w:val="32"/>
          <w:szCs w:val="32"/>
          <w:u w:val="none"/>
        </w:rPr>
        <w:t>（四）提升安全保障水平</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"_Toc113052448#_Toc113052448" </w:instrText>
      </w:r>
      <w:r>
        <w:rPr>
          <w:rFonts w:eastAsia="黑体"/>
          <w:sz w:val="32"/>
          <w:szCs w:val="32"/>
        </w:rPr>
        <w:fldChar w:fldCharType="separate"/>
      </w:r>
      <w:r>
        <w:rPr>
          <w:rFonts w:eastAsia="黑体"/>
          <w:sz w:val="32"/>
          <w:szCs w:val="32"/>
        </w:rPr>
        <w:t>五、完善应急支撑保障体系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"_Toc113052449#_Toc113052449" </w:instrText>
      </w:r>
      <w:r>
        <w:rPr>
          <w:rFonts w:eastAsia="仿宋_GB2312"/>
          <w:sz w:val="32"/>
          <w:szCs w:val="32"/>
        </w:rPr>
        <w:fldChar w:fldCharType="separate"/>
      </w:r>
      <w:r>
        <w:rPr>
          <w:rStyle w:val="17"/>
          <w:rFonts w:eastAsia="仿宋_GB2312"/>
          <w:color w:val="auto"/>
          <w:sz w:val="32"/>
          <w:szCs w:val="32"/>
          <w:u w:val="none"/>
        </w:rPr>
        <w:t>（一）健全应急预案体系</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"_Toc113052450#_Toc113052450" </w:instrText>
      </w:r>
      <w:r>
        <w:rPr>
          <w:rFonts w:eastAsia="仿宋_GB2312"/>
          <w:sz w:val="32"/>
          <w:szCs w:val="32"/>
        </w:rPr>
        <w:fldChar w:fldCharType="separate"/>
      </w:r>
      <w:r>
        <w:rPr>
          <w:rStyle w:val="17"/>
          <w:rFonts w:eastAsia="仿宋_GB2312"/>
          <w:color w:val="auto"/>
          <w:sz w:val="32"/>
          <w:szCs w:val="32"/>
          <w:u w:val="none"/>
        </w:rPr>
        <w:t>（二）完善应急物资保障体系</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"_Toc113052451#_Toc113052451" </w:instrText>
      </w:r>
      <w:r>
        <w:rPr>
          <w:rFonts w:eastAsia="仿宋_GB2312"/>
          <w:sz w:val="32"/>
          <w:szCs w:val="32"/>
        </w:rPr>
        <w:fldChar w:fldCharType="separate"/>
      </w:r>
      <w:r>
        <w:rPr>
          <w:rStyle w:val="17"/>
          <w:rFonts w:eastAsia="仿宋_GB2312"/>
          <w:color w:val="auto"/>
          <w:sz w:val="32"/>
          <w:szCs w:val="32"/>
          <w:u w:val="none"/>
        </w:rPr>
        <w:t>（三）加强灾后救助恢复</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"_Toc113052452#_Toc113052452" </w:instrText>
      </w:r>
      <w:r>
        <w:rPr>
          <w:rFonts w:eastAsia="仿宋_GB2312"/>
          <w:sz w:val="32"/>
          <w:szCs w:val="32"/>
        </w:rPr>
        <w:fldChar w:fldCharType="separate"/>
      </w:r>
      <w:r>
        <w:rPr>
          <w:rStyle w:val="17"/>
          <w:rFonts w:eastAsia="仿宋_GB2312"/>
          <w:color w:val="auto"/>
          <w:sz w:val="32"/>
          <w:szCs w:val="32"/>
          <w:u w:val="none"/>
        </w:rPr>
        <w:t>（四）合理设置应急避难场所</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"_Toc113052453#_Toc113052453" </w:instrText>
      </w:r>
      <w:r>
        <w:rPr>
          <w:rFonts w:eastAsia="黑体"/>
          <w:sz w:val="32"/>
          <w:szCs w:val="32"/>
        </w:rPr>
        <w:fldChar w:fldCharType="separate"/>
      </w:r>
      <w:r>
        <w:rPr>
          <w:rFonts w:eastAsia="黑体"/>
          <w:sz w:val="32"/>
          <w:szCs w:val="32"/>
        </w:rPr>
        <w:t>六、加强应急救援力量建设</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"_Toc113052454#_Toc113052454" </w:instrText>
      </w:r>
      <w:r>
        <w:rPr>
          <w:rFonts w:eastAsia="仿宋_GB2312"/>
          <w:sz w:val="32"/>
          <w:szCs w:val="32"/>
        </w:rPr>
        <w:fldChar w:fldCharType="separate"/>
      </w:r>
      <w:r>
        <w:rPr>
          <w:rStyle w:val="17"/>
          <w:rFonts w:eastAsia="仿宋_GB2312"/>
          <w:color w:val="auto"/>
          <w:sz w:val="32"/>
          <w:szCs w:val="32"/>
          <w:u w:val="none"/>
        </w:rPr>
        <w:t>（一）加强综合性应急救援队伍建设</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"_Toc113052455#_Toc113052455" </w:instrText>
      </w:r>
      <w:r>
        <w:rPr>
          <w:rFonts w:eastAsia="仿宋_GB2312"/>
          <w:sz w:val="32"/>
          <w:szCs w:val="32"/>
        </w:rPr>
        <w:fldChar w:fldCharType="separate"/>
      </w:r>
      <w:r>
        <w:rPr>
          <w:rStyle w:val="17"/>
          <w:rFonts w:eastAsia="仿宋_GB2312"/>
          <w:color w:val="auto"/>
          <w:sz w:val="32"/>
          <w:szCs w:val="32"/>
          <w:u w:val="none"/>
        </w:rPr>
        <w:t>（二）强化专业应急救援队伍建设</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"_Toc113052456#_Toc113052456" </w:instrText>
      </w:r>
      <w:r>
        <w:rPr>
          <w:rFonts w:eastAsia="仿宋_GB2312"/>
          <w:sz w:val="32"/>
          <w:szCs w:val="32"/>
        </w:rPr>
        <w:fldChar w:fldCharType="separate"/>
      </w:r>
      <w:r>
        <w:rPr>
          <w:rStyle w:val="17"/>
          <w:rFonts w:eastAsia="仿宋_GB2312"/>
          <w:color w:val="auto"/>
          <w:sz w:val="32"/>
          <w:szCs w:val="32"/>
          <w:u w:val="none"/>
        </w:rPr>
        <w:t>（三）加强社会应急救援队伍建设</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"_Toc113052457#_Toc113052457" </w:instrText>
      </w:r>
      <w:r>
        <w:rPr>
          <w:rFonts w:eastAsia="黑体"/>
          <w:sz w:val="32"/>
          <w:szCs w:val="32"/>
        </w:rPr>
        <w:fldChar w:fldCharType="separate"/>
      </w:r>
      <w:r>
        <w:rPr>
          <w:rFonts w:eastAsia="黑体"/>
          <w:sz w:val="32"/>
          <w:szCs w:val="32"/>
        </w:rPr>
        <w:t>七、强化科技和人才保障体系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"_Toc113052458#_Toc113052458" </w:instrText>
      </w:r>
      <w:r>
        <w:rPr>
          <w:rFonts w:eastAsia="仿宋_GB2312"/>
          <w:sz w:val="32"/>
          <w:szCs w:val="32"/>
        </w:rPr>
        <w:fldChar w:fldCharType="separate"/>
      </w:r>
      <w:r>
        <w:rPr>
          <w:rStyle w:val="17"/>
          <w:rFonts w:eastAsia="仿宋_GB2312"/>
          <w:color w:val="auto"/>
          <w:sz w:val="32"/>
          <w:szCs w:val="32"/>
          <w:u w:val="none"/>
        </w:rPr>
        <w:t>（一）提升应急科技支撑水平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"_Toc113052459#_Toc113052459" </w:instrText>
      </w:r>
      <w:r>
        <w:rPr>
          <w:rFonts w:eastAsia="仿宋_GB2312"/>
          <w:sz w:val="32"/>
          <w:szCs w:val="32"/>
        </w:rPr>
        <w:fldChar w:fldCharType="separate"/>
      </w:r>
      <w:r>
        <w:rPr>
          <w:rStyle w:val="17"/>
          <w:rFonts w:eastAsia="仿宋_GB2312"/>
          <w:color w:val="auto"/>
          <w:sz w:val="32"/>
          <w:szCs w:val="32"/>
          <w:u w:val="none"/>
        </w:rPr>
        <w:t>（二）提升信息支撑能力</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"_Toc113052460#_Toc113052460" </w:instrText>
      </w:r>
      <w:r>
        <w:rPr>
          <w:rFonts w:eastAsia="仿宋_GB2312"/>
          <w:sz w:val="32"/>
          <w:szCs w:val="32"/>
        </w:rPr>
        <w:fldChar w:fldCharType="separate"/>
      </w:r>
      <w:r>
        <w:rPr>
          <w:rStyle w:val="17"/>
          <w:rFonts w:eastAsia="仿宋_GB2312"/>
          <w:color w:val="auto"/>
          <w:sz w:val="32"/>
          <w:szCs w:val="32"/>
          <w:u w:val="none"/>
        </w:rPr>
        <w:t>（三）加强人才队伍建设</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"_Toc113052461#_Toc113052461" </w:instrText>
      </w:r>
      <w:r>
        <w:rPr>
          <w:rFonts w:eastAsia="黑体"/>
          <w:sz w:val="32"/>
          <w:szCs w:val="32"/>
        </w:rPr>
        <w:fldChar w:fldCharType="separate"/>
      </w:r>
      <w:r>
        <w:rPr>
          <w:rFonts w:eastAsia="黑体"/>
          <w:sz w:val="32"/>
          <w:szCs w:val="32"/>
        </w:rPr>
        <w:t>八、构建应急管理共治体系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"_Toc113052462#_Toc113052462" </w:instrText>
      </w:r>
      <w:r>
        <w:rPr>
          <w:rFonts w:eastAsia="仿宋_GB2312"/>
          <w:sz w:val="32"/>
          <w:szCs w:val="32"/>
        </w:rPr>
        <w:fldChar w:fldCharType="separate"/>
      </w:r>
      <w:r>
        <w:rPr>
          <w:rStyle w:val="17"/>
          <w:rFonts w:eastAsia="仿宋_GB2312"/>
          <w:color w:val="auto"/>
          <w:sz w:val="32"/>
          <w:szCs w:val="32"/>
          <w:u w:val="none"/>
        </w:rPr>
        <w:t>（一）提升应急监管执法水平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"_Toc113052463#_Toc113052463" </w:instrText>
      </w:r>
      <w:r>
        <w:rPr>
          <w:rFonts w:eastAsia="仿宋_GB2312"/>
          <w:sz w:val="32"/>
          <w:szCs w:val="32"/>
        </w:rPr>
        <w:fldChar w:fldCharType="separate"/>
      </w:r>
      <w:r>
        <w:rPr>
          <w:rStyle w:val="17"/>
          <w:rFonts w:eastAsia="仿宋_GB2312"/>
          <w:color w:val="auto"/>
          <w:sz w:val="32"/>
          <w:szCs w:val="32"/>
          <w:u w:val="none"/>
        </w:rPr>
        <w:t>（二）提升宣传教育水平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"_Toc113052464#_Toc113052464" </w:instrText>
      </w:r>
      <w:r>
        <w:rPr>
          <w:rFonts w:eastAsia="仿宋_GB2312"/>
          <w:sz w:val="32"/>
          <w:szCs w:val="32"/>
        </w:rPr>
        <w:fldChar w:fldCharType="separate"/>
      </w:r>
      <w:r>
        <w:rPr>
          <w:rStyle w:val="17"/>
          <w:rFonts w:eastAsia="仿宋_GB2312"/>
          <w:color w:val="auto"/>
          <w:sz w:val="32"/>
          <w:szCs w:val="32"/>
          <w:u w:val="none"/>
        </w:rPr>
        <w:t>（三）提升应急服务能力</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"_Toc113052465#_Toc113052465" </w:instrText>
      </w:r>
      <w:r>
        <w:rPr>
          <w:rFonts w:eastAsia="仿宋_GB2312"/>
          <w:sz w:val="32"/>
          <w:szCs w:val="32"/>
        </w:rPr>
        <w:fldChar w:fldCharType="separate"/>
      </w:r>
      <w:r>
        <w:rPr>
          <w:rStyle w:val="17"/>
          <w:rFonts w:eastAsia="仿宋_GB2312"/>
          <w:color w:val="auto"/>
          <w:sz w:val="32"/>
          <w:szCs w:val="32"/>
          <w:u w:val="none"/>
        </w:rPr>
        <w:t>（四）推动应急产业发展</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"_Toc113052466#_Toc113052466" </w:instrText>
      </w:r>
      <w:r>
        <w:rPr>
          <w:rFonts w:eastAsia="黑体"/>
          <w:sz w:val="32"/>
          <w:szCs w:val="32"/>
        </w:rPr>
        <w:fldChar w:fldCharType="separate"/>
      </w:r>
      <w:r>
        <w:rPr>
          <w:rFonts w:eastAsia="黑体"/>
          <w:sz w:val="32"/>
          <w:szCs w:val="32"/>
        </w:rPr>
        <w:t>九、重点任务</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"_Toc113052467#_Toc113052467" </w:instrText>
      </w:r>
      <w:r>
        <w:rPr>
          <w:rFonts w:eastAsia="仿宋_GB2312"/>
          <w:sz w:val="32"/>
          <w:szCs w:val="32"/>
        </w:rPr>
        <w:fldChar w:fldCharType="separate"/>
      </w:r>
      <w:r>
        <w:rPr>
          <w:rStyle w:val="17"/>
          <w:rFonts w:eastAsia="仿宋_GB2312"/>
          <w:color w:val="auto"/>
          <w:sz w:val="32"/>
          <w:szCs w:val="32"/>
          <w:u w:val="none"/>
        </w:rPr>
        <w:t>（一）安全生产</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"_Toc113052468#_Toc113052468" </w:instrText>
      </w:r>
      <w:r>
        <w:rPr>
          <w:rFonts w:eastAsia="仿宋_GB2312"/>
          <w:sz w:val="32"/>
          <w:szCs w:val="32"/>
        </w:rPr>
        <w:fldChar w:fldCharType="separate"/>
      </w:r>
      <w:r>
        <w:rPr>
          <w:rStyle w:val="17"/>
          <w:rFonts w:eastAsia="仿宋_GB2312"/>
          <w:color w:val="auto"/>
          <w:sz w:val="32"/>
          <w:szCs w:val="32"/>
          <w:u w:val="none"/>
        </w:rPr>
        <w:t>（二）森林防灭火</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"_Toc113052469#_Toc113052469" </w:instrText>
      </w:r>
      <w:r>
        <w:rPr>
          <w:rFonts w:eastAsia="仿宋_GB2312"/>
          <w:sz w:val="32"/>
          <w:szCs w:val="32"/>
        </w:rPr>
        <w:fldChar w:fldCharType="separate"/>
      </w:r>
      <w:r>
        <w:rPr>
          <w:rStyle w:val="17"/>
          <w:rFonts w:eastAsia="仿宋_GB2312"/>
          <w:color w:val="auto"/>
          <w:sz w:val="32"/>
          <w:szCs w:val="32"/>
          <w:u w:val="none"/>
        </w:rPr>
        <w:t>（三）防汛抗旱</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"_Toc113052470#_Toc113052470" </w:instrText>
      </w:r>
      <w:r>
        <w:rPr>
          <w:rFonts w:eastAsia="仿宋_GB2312"/>
          <w:sz w:val="32"/>
          <w:szCs w:val="32"/>
        </w:rPr>
        <w:fldChar w:fldCharType="separate"/>
      </w:r>
      <w:r>
        <w:rPr>
          <w:rStyle w:val="17"/>
          <w:rFonts w:eastAsia="仿宋_GB2312"/>
          <w:color w:val="auto"/>
          <w:sz w:val="32"/>
          <w:szCs w:val="32"/>
          <w:u w:val="none"/>
        </w:rPr>
        <w:t>（四）地质灾害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"_Toc113052471#_Toc113052471" </w:instrText>
      </w:r>
      <w:r>
        <w:rPr>
          <w:rFonts w:eastAsia="仿宋_GB2312"/>
          <w:sz w:val="32"/>
          <w:szCs w:val="32"/>
        </w:rPr>
        <w:fldChar w:fldCharType="separate"/>
      </w:r>
      <w:r>
        <w:rPr>
          <w:rStyle w:val="17"/>
          <w:rFonts w:eastAsia="仿宋_GB2312"/>
          <w:color w:val="auto"/>
          <w:sz w:val="32"/>
          <w:szCs w:val="32"/>
          <w:u w:val="none"/>
        </w:rPr>
        <w:t>（五）地震灾害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"_Toc113052472#_Toc113052472" </w:instrText>
      </w:r>
      <w:r>
        <w:rPr>
          <w:rFonts w:eastAsia="仿宋_GB2312"/>
          <w:sz w:val="32"/>
          <w:szCs w:val="32"/>
        </w:rPr>
        <w:fldChar w:fldCharType="separate"/>
      </w:r>
      <w:r>
        <w:rPr>
          <w:rStyle w:val="17"/>
          <w:rFonts w:eastAsia="仿宋_GB2312"/>
          <w:color w:val="auto"/>
          <w:sz w:val="32"/>
          <w:szCs w:val="32"/>
          <w:u w:val="none"/>
        </w:rPr>
        <w:t>（六）减灾救灾</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"_Toc113052473#_Toc113052473" </w:instrText>
      </w:r>
      <w:r>
        <w:rPr>
          <w:rFonts w:eastAsia="仿宋_GB2312"/>
          <w:sz w:val="32"/>
          <w:szCs w:val="32"/>
        </w:rPr>
        <w:fldChar w:fldCharType="separate"/>
      </w:r>
      <w:r>
        <w:rPr>
          <w:rStyle w:val="17"/>
          <w:rFonts w:eastAsia="仿宋_GB2312"/>
          <w:color w:val="auto"/>
          <w:sz w:val="32"/>
          <w:szCs w:val="32"/>
          <w:u w:val="none"/>
        </w:rPr>
        <w:t>（七）消防救援</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"_Toc113052474#_Toc113052474" </w:instrText>
      </w:r>
      <w:r>
        <w:rPr>
          <w:rFonts w:eastAsia="黑体"/>
          <w:sz w:val="32"/>
          <w:szCs w:val="32"/>
        </w:rPr>
        <w:fldChar w:fldCharType="separate"/>
      </w:r>
      <w:r>
        <w:rPr>
          <w:rFonts w:eastAsia="黑体"/>
          <w:sz w:val="32"/>
          <w:szCs w:val="32"/>
        </w:rPr>
        <w:t>十、重点工程</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"_Toc113052475#_Toc113052475" </w:instrText>
      </w:r>
      <w:r>
        <w:rPr>
          <w:rFonts w:eastAsia="仿宋_GB2312"/>
          <w:sz w:val="32"/>
          <w:szCs w:val="32"/>
        </w:rPr>
        <w:fldChar w:fldCharType="separate"/>
      </w:r>
      <w:r>
        <w:rPr>
          <w:rStyle w:val="17"/>
          <w:rFonts w:eastAsia="仿宋_GB2312"/>
          <w:color w:val="auto"/>
          <w:sz w:val="32"/>
          <w:szCs w:val="32"/>
          <w:u w:val="none"/>
        </w:rPr>
        <w:t>（一）应急指挥能力提升工程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"_Toc113052476#_Toc113052476" </w:instrText>
      </w:r>
      <w:r>
        <w:rPr>
          <w:rFonts w:eastAsia="仿宋_GB2312"/>
          <w:sz w:val="32"/>
          <w:szCs w:val="32"/>
        </w:rPr>
        <w:fldChar w:fldCharType="separate"/>
      </w:r>
      <w:r>
        <w:rPr>
          <w:rStyle w:val="17"/>
          <w:rFonts w:eastAsia="仿宋_GB2312"/>
          <w:color w:val="auto"/>
          <w:sz w:val="32"/>
          <w:szCs w:val="32"/>
          <w:u w:val="none"/>
        </w:rPr>
        <w:t>1．柴桑区应急指挥中心工程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"_Toc113052477#_Toc113052477" </w:instrText>
      </w:r>
      <w:r>
        <w:rPr>
          <w:rFonts w:eastAsia="仿宋_GB2312"/>
          <w:sz w:val="32"/>
          <w:szCs w:val="32"/>
        </w:rPr>
        <w:fldChar w:fldCharType="separate"/>
      </w:r>
      <w:r>
        <w:rPr>
          <w:rStyle w:val="17"/>
          <w:rFonts w:eastAsia="仿宋_GB2312"/>
          <w:color w:val="auto"/>
          <w:sz w:val="32"/>
          <w:szCs w:val="32"/>
          <w:u w:val="none"/>
        </w:rPr>
        <w:t>2．乡镇基层应急体系建设工程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"_Toc113052478#_Toc113052478" </w:instrText>
      </w:r>
      <w:r>
        <w:rPr>
          <w:rFonts w:eastAsia="仿宋_GB2312"/>
          <w:sz w:val="32"/>
          <w:szCs w:val="32"/>
        </w:rPr>
        <w:fldChar w:fldCharType="separate"/>
      </w:r>
      <w:r>
        <w:rPr>
          <w:rStyle w:val="17"/>
          <w:rFonts w:eastAsia="仿宋_GB2312"/>
          <w:color w:val="auto"/>
          <w:sz w:val="32"/>
          <w:szCs w:val="32"/>
          <w:u w:val="none"/>
        </w:rPr>
        <w:t>（二）安全生产能力提升工程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"_Toc113052479#_Toc113052479" </w:instrText>
      </w:r>
      <w:r>
        <w:rPr>
          <w:rFonts w:eastAsia="仿宋_GB2312"/>
          <w:sz w:val="32"/>
          <w:szCs w:val="32"/>
        </w:rPr>
        <w:fldChar w:fldCharType="separate"/>
      </w:r>
      <w:r>
        <w:rPr>
          <w:rStyle w:val="17"/>
          <w:rFonts w:eastAsia="仿宋_GB2312"/>
          <w:color w:val="auto"/>
          <w:sz w:val="32"/>
          <w:szCs w:val="32"/>
          <w:u w:val="none"/>
        </w:rPr>
        <w:t>1．安全生产标准化提升工程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"_Toc113052480#_Toc113052480" </w:instrText>
      </w:r>
      <w:r>
        <w:rPr>
          <w:rFonts w:eastAsia="仿宋_GB2312"/>
          <w:sz w:val="32"/>
          <w:szCs w:val="32"/>
        </w:rPr>
        <w:fldChar w:fldCharType="separate"/>
      </w:r>
      <w:r>
        <w:rPr>
          <w:rStyle w:val="17"/>
          <w:rFonts w:eastAsia="仿宋_GB2312"/>
          <w:color w:val="auto"/>
          <w:sz w:val="32"/>
          <w:szCs w:val="32"/>
          <w:u w:val="none"/>
        </w:rPr>
        <w:t>2．安全气象数据互联互通工程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"_Toc113052481#_Toc113052481" </w:instrText>
      </w:r>
      <w:r>
        <w:rPr>
          <w:rFonts w:eastAsia="仿宋_GB2312"/>
          <w:sz w:val="32"/>
          <w:szCs w:val="32"/>
        </w:rPr>
        <w:fldChar w:fldCharType="separate"/>
      </w:r>
      <w:r>
        <w:rPr>
          <w:rStyle w:val="17"/>
          <w:rFonts w:eastAsia="仿宋_GB2312"/>
          <w:color w:val="auto"/>
          <w:sz w:val="32"/>
          <w:szCs w:val="32"/>
          <w:u w:val="none"/>
        </w:rPr>
        <w:t>（三）防灾减灾能力提升工程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"_Toc113052482#_Toc113052482" </w:instrText>
      </w:r>
      <w:r>
        <w:rPr>
          <w:rFonts w:eastAsia="仿宋_GB2312"/>
          <w:sz w:val="32"/>
          <w:szCs w:val="32"/>
        </w:rPr>
        <w:fldChar w:fldCharType="separate"/>
      </w:r>
      <w:r>
        <w:rPr>
          <w:rStyle w:val="17"/>
          <w:rFonts w:eastAsia="仿宋_GB2312"/>
          <w:color w:val="auto"/>
          <w:sz w:val="32"/>
          <w:szCs w:val="32"/>
          <w:u w:val="none"/>
        </w:rPr>
        <w:t>1．1/50000地质灾害风险调查与区划工程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"_Toc113052483#_Toc113052483" </w:instrText>
      </w:r>
      <w:r>
        <w:rPr>
          <w:rFonts w:eastAsia="仿宋_GB2312"/>
          <w:sz w:val="32"/>
          <w:szCs w:val="32"/>
        </w:rPr>
        <w:fldChar w:fldCharType="separate"/>
      </w:r>
      <w:r>
        <w:rPr>
          <w:rStyle w:val="17"/>
          <w:rFonts w:eastAsia="仿宋_GB2312"/>
          <w:color w:val="auto"/>
          <w:sz w:val="32"/>
          <w:szCs w:val="32"/>
          <w:u w:val="none"/>
        </w:rPr>
        <w:t>2．自然灾害综合风险普查工程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"_Toc113052484#_Toc113052484" </w:instrText>
      </w:r>
      <w:r>
        <w:rPr>
          <w:rFonts w:eastAsia="仿宋_GB2312"/>
          <w:sz w:val="32"/>
          <w:szCs w:val="32"/>
        </w:rPr>
        <w:fldChar w:fldCharType="separate"/>
      </w:r>
      <w:r>
        <w:rPr>
          <w:rFonts w:eastAsia="仿宋_GB2312"/>
          <w:sz w:val="32"/>
          <w:szCs w:val="32"/>
        </w:rPr>
        <w:t>3．环庐山生物防火林带建设工程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"_Toc113052485#_Toc113052485" </w:instrText>
      </w:r>
      <w:r>
        <w:rPr>
          <w:rFonts w:eastAsia="仿宋_GB2312"/>
          <w:sz w:val="32"/>
          <w:szCs w:val="32"/>
        </w:rPr>
        <w:fldChar w:fldCharType="separate"/>
      </w:r>
      <w:r>
        <w:rPr>
          <w:rFonts w:eastAsia="仿宋_GB2312"/>
          <w:sz w:val="32"/>
          <w:szCs w:val="32"/>
        </w:rPr>
        <w:t>4．专业森林消防队营房建设工程</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"_Toc113052486#_Toc113052486" </w:instrText>
      </w:r>
      <w:r>
        <w:rPr>
          <w:rFonts w:eastAsia="黑体"/>
          <w:sz w:val="32"/>
          <w:szCs w:val="32"/>
        </w:rPr>
        <w:fldChar w:fldCharType="separate"/>
      </w:r>
      <w:r>
        <w:rPr>
          <w:rFonts w:eastAsia="黑体"/>
          <w:sz w:val="32"/>
          <w:szCs w:val="32"/>
        </w:rPr>
        <w:t>十一、保障措施</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"_Toc113052487#_Toc113052487" </w:instrText>
      </w:r>
      <w:r>
        <w:rPr>
          <w:rFonts w:eastAsia="仿宋_GB2312"/>
          <w:sz w:val="32"/>
          <w:szCs w:val="32"/>
        </w:rPr>
        <w:fldChar w:fldCharType="separate"/>
      </w:r>
      <w:r>
        <w:rPr>
          <w:rFonts w:eastAsia="仿宋_GB2312"/>
          <w:sz w:val="32"/>
          <w:szCs w:val="32"/>
        </w:rPr>
        <w:t>（一）统一领导、精心组织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"_Toc113052488#_Toc113052488" </w:instrText>
      </w:r>
      <w:r>
        <w:rPr>
          <w:rFonts w:eastAsia="仿宋_GB2312"/>
          <w:sz w:val="32"/>
          <w:szCs w:val="32"/>
        </w:rPr>
        <w:fldChar w:fldCharType="separate"/>
      </w:r>
      <w:r>
        <w:rPr>
          <w:rFonts w:eastAsia="仿宋_GB2312"/>
          <w:sz w:val="32"/>
          <w:szCs w:val="32"/>
        </w:rPr>
        <w:t>（二）财政保障、顺利实施</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"_Toc113052489#_Toc113052489" </w:instrText>
      </w:r>
      <w:r>
        <w:rPr>
          <w:rFonts w:eastAsia="仿宋_GB2312"/>
          <w:sz w:val="32"/>
          <w:szCs w:val="32"/>
        </w:rPr>
        <w:fldChar w:fldCharType="separate"/>
      </w:r>
      <w:r>
        <w:rPr>
          <w:rFonts w:eastAsia="仿宋_GB2312"/>
          <w:sz w:val="32"/>
          <w:szCs w:val="32"/>
        </w:rPr>
        <w:t>（三）跟踪督查、考核评估</w:t>
      </w:r>
      <w:r>
        <w:rPr>
          <w:rFonts w:eastAsia="仿宋_GB2312"/>
          <w:sz w:val="32"/>
          <w:szCs w:val="32"/>
        </w:rPr>
        <w:fldChar w:fldCharType="end"/>
      </w:r>
      <w:bookmarkStart w:id="0" w:name="_Toc113052420"/>
      <w:bookmarkEnd w:id="0"/>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pStyle w:val="2"/>
      </w:pPr>
    </w:p>
    <w:p>
      <w:pPr>
        <w:pStyle w:val="2"/>
      </w:pPr>
    </w:p>
    <w:p>
      <w:pPr>
        <w:pStyle w:val="2"/>
      </w:pPr>
    </w:p>
    <w:p>
      <w:pPr>
        <w:pStyle w:val="2"/>
      </w:pPr>
    </w:p>
    <w:p>
      <w:pPr>
        <w:pStyle w:val="2"/>
      </w:pPr>
    </w:p>
    <w:p>
      <w:pPr>
        <w:pStyle w:val="2"/>
      </w:pPr>
    </w:p>
    <w:p>
      <w:pPr>
        <w:pStyle w:val="2"/>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jc w:val="center"/>
        <w:rPr>
          <w:rFonts w:eastAsia="黑体"/>
          <w:sz w:val="44"/>
          <w:szCs w:val="44"/>
        </w:rPr>
      </w:pPr>
      <w:r>
        <w:rPr>
          <w:rFonts w:eastAsia="黑体"/>
          <w:sz w:val="44"/>
          <w:szCs w:val="44"/>
        </w:rPr>
        <w:t>前 言</w:t>
      </w:r>
    </w:p>
    <w:p>
      <w:pPr>
        <w:pStyle w:val="2"/>
        <w:spacing w:line="600" w:lineRule="exact"/>
      </w:pPr>
    </w:p>
    <w:p>
      <w:pPr>
        <w:spacing w:line="600" w:lineRule="exact"/>
        <w:ind w:firstLine="640" w:firstLineChars="200"/>
        <w:rPr>
          <w:rFonts w:eastAsia="仿宋_GB2312"/>
          <w:sz w:val="32"/>
          <w:szCs w:val="32"/>
        </w:rPr>
      </w:pPr>
      <w:r>
        <w:rPr>
          <w:rFonts w:eastAsia="仿宋_GB2312"/>
          <w:sz w:val="32"/>
          <w:szCs w:val="32"/>
        </w:rPr>
        <w:t>“十四五”时期是我国“两个一百年”奋斗目标承前启后的历史交汇期，是我区与全国同步全面建设社会主义现代化的开局起步期，是我区打造成为“赣北眉目地、兴旺大柴桑”的关键五年。</w:t>
      </w:r>
    </w:p>
    <w:p>
      <w:pPr>
        <w:spacing w:line="600" w:lineRule="exact"/>
        <w:ind w:firstLine="640" w:firstLineChars="200"/>
        <w:rPr>
          <w:rFonts w:eastAsia="仿宋_GB2312"/>
          <w:sz w:val="32"/>
          <w:szCs w:val="32"/>
        </w:rPr>
      </w:pPr>
      <w:r>
        <w:rPr>
          <w:rFonts w:eastAsia="仿宋_GB2312"/>
          <w:sz w:val="32"/>
          <w:szCs w:val="32"/>
        </w:rPr>
        <w:t>应急管理是国家治理体系和治理能力的重要组成部分，承担防范化解重大安全风险、及时应对处置各类灾害事故的重要职责，担负保护人民群众生命财产安全和维护社会稳定的重要使命。为进一步落实党中央国务院、省委省政府和市委市政府关于“十四五”规划编制要求，根据《江西省“十四五”应急体系规划》《九江市“十四五”应急体系规划》《九江市柴桑区国民经济和社会发展第十四个五年规划和二</w:t>
      </w:r>
      <w:r>
        <w:rPr>
          <w:sz w:val="32"/>
          <w:szCs w:val="32"/>
        </w:rPr>
        <w:t>〇</w:t>
      </w:r>
      <w:r>
        <w:rPr>
          <w:rFonts w:eastAsia="仿宋_GB2312"/>
          <w:sz w:val="32"/>
          <w:szCs w:val="32"/>
        </w:rPr>
        <w:t>三五年远景目标纲要》等文件，制定本规划。</w:t>
      </w:r>
    </w:p>
    <w:p>
      <w:pPr>
        <w:spacing w:line="600" w:lineRule="exact"/>
        <w:ind w:firstLine="640" w:firstLineChars="200"/>
        <w:rPr>
          <w:rFonts w:eastAsia="黑体"/>
          <w:sz w:val="32"/>
          <w:szCs w:val="32"/>
        </w:rPr>
      </w:pPr>
      <w:bookmarkStart w:id="1" w:name="_Toc113052421"/>
      <w:bookmarkEnd w:id="1"/>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560" w:lineRule="exact"/>
        <w:ind w:firstLine="640" w:firstLineChars="200"/>
        <w:rPr>
          <w:rFonts w:eastAsia="黑体"/>
          <w:sz w:val="32"/>
          <w:szCs w:val="32"/>
        </w:rPr>
      </w:pPr>
      <w:r>
        <w:rPr>
          <w:rFonts w:eastAsia="黑体"/>
          <w:sz w:val="32"/>
          <w:szCs w:val="32"/>
        </w:rPr>
        <w:t>一、现状与形势</w:t>
      </w:r>
    </w:p>
    <w:p>
      <w:pPr>
        <w:spacing w:line="560" w:lineRule="exact"/>
        <w:ind w:firstLine="640" w:firstLineChars="200"/>
        <w:rPr>
          <w:rFonts w:eastAsia="仿宋_GB2312"/>
          <w:sz w:val="32"/>
          <w:szCs w:val="32"/>
        </w:rPr>
      </w:pPr>
      <w:r>
        <w:rPr>
          <w:rFonts w:eastAsia="仿宋_GB2312"/>
          <w:sz w:val="32"/>
          <w:szCs w:val="32"/>
        </w:rPr>
        <w:t>“十三五”时期，我区应急管理工作全面贯彻落实习近平总书记关于安全生产、防灾减灾救灾、应急救援等重要指示精神以及党中央国务院、省委省政府关于深化应急管理机构改革部署，在九江市相关部门的精心指导下，在区委区政府的正确领导下，在各乡（镇、场、街道）积极组织和有关单位的密切配合下，我区安全生产形势持续稳定向好，防灾减灾和应急处突能力稳步提升，应急管理改革持续深化。各类安全生产指标得到有效控制，事故起数、灾害事故总量及伤亡人数持续下降，应急管理能力稳步提升。</w:t>
      </w:r>
    </w:p>
    <w:p>
      <w:pPr>
        <w:spacing w:line="560" w:lineRule="exact"/>
        <w:ind w:firstLine="643" w:firstLineChars="200"/>
        <w:rPr>
          <w:rFonts w:eastAsia="楷体_GB2312"/>
          <w:b/>
          <w:sz w:val="32"/>
          <w:szCs w:val="32"/>
        </w:rPr>
      </w:pPr>
      <w:bookmarkStart w:id="2" w:name="_Toc113052422"/>
      <w:bookmarkEnd w:id="2"/>
      <w:r>
        <w:rPr>
          <w:rFonts w:eastAsia="楷体_GB2312"/>
          <w:b/>
          <w:sz w:val="32"/>
          <w:szCs w:val="32"/>
        </w:rPr>
        <w:t>（一）“十三五”期间进展与成效</w:t>
      </w:r>
    </w:p>
    <w:p>
      <w:pPr>
        <w:spacing w:line="560" w:lineRule="exact"/>
        <w:ind w:firstLine="643" w:firstLineChars="200"/>
        <w:rPr>
          <w:rFonts w:eastAsia="仿宋_GB2312"/>
          <w:b/>
          <w:sz w:val="32"/>
          <w:szCs w:val="32"/>
        </w:rPr>
      </w:pPr>
      <w:bookmarkStart w:id="3" w:name="_Toc113052423"/>
      <w:bookmarkEnd w:id="3"/>
      <w:r>
        <w:rPr>
          <w:rFonts w:eastAsia="仿宋_GB2312"/>
          <w:b/>
          <w:sz w:val="32"/>
          <w:szCs w:val="32"/>
        </w:rPr>
        <w:t>1．应急管理工作取得新突破</w:t>
      </w:r>
    </w:p>
    <w:p>
      <w:pPr>
        <w:spacing w:line="560" w:lineRule="exact"/>
        <w:ind w:firstLine="640" w:firstLineChars="200"/>
        <w:rPr>
          <w:rFonts w:eastAsia="仿宋_GB2312"/>
          <w:sz w:val="32"/>
          <w:szCs w:val="32"/>
        </w:rPr>
      </w:pPr>
      <w:r>
        <w:rPr>
          <w:rFonts w:eastAsia="仿宋_GB2312"/>
          <w:sz w:val="32"/>
          <w:szCs w:val="32"/>
        </w:rPr>
        <w:t>初步建立应急管理体制机制。以新一轮机构改革为契机，柴桑区委区政府出台了《九江市柴桑区应急管理局职能配置、内设机构和人员编制规定》等重要政策文件，坚持边改革、边组建、边防范、边应急，全面整合安全生产、应急救援、防灾减灾等职能，完成应急管理机构改革，改变了以往“九龙治水”的局面，应急管理体系实现从“条块化、碎片化”向“系统化、协同化”转变。成立了区安全生产委员会、减灾委员会和防汛抗旱指挥部、森林防灭火指挥部、抗震救灾指挥部、地质灾害防治指挥部等议事协调机构及其办公室，制定工作规则，初步建立了党委领导、政府主导、分工负责、统一指挥、防救结合的应急管理体制和工作运行机制。</w:t>
      </w:r>
    </w:p>
    <w:p>
      <w:pPr>
        <w:spacing w:line="560" w:lineRule="exact"/>
        <w:ind w:firstLine="643" w:firstLineChars="200"/>
        <w:rPr>
          <w:rFonts w:eastAsia="仿宋_GB2312"/>
          <w:b/>
          <w:sz w:val="32"/>
          <w:szCs w:val="32"/>
        </w:rPr>
      </w:pPr>
      <w:bookmarkStart w:id="4" w:name="_Toc113052424"/>
      <w:bookmarkEnd w:id="4"/>
      <w:r>
        <w:rPr>
          <w:rFonts w:eastAsia="仿宋_GB2312"/>
          <w:b/>
          <w:sz w:val="32"/>
          <w:szCs w:val="32"/>
        </w:rPr>
        <w:t>2．安全生产形势持续向好</w:t>
      </w:r>
    </w:p>
    <w:p>
      <w:pPr>
        <w:spacing w:line="560" w:lineRule="exact"/>
        <w:ind w:firstLine="640" w:firstLineChars="200"/>
        <w:rPr>
          <w:rFonts w:eastAsia="仿宋_GB2312"/>
          <w:sz w:val="32"/>
          <w:szCs w:val="32"/>
        </w:rPr>
      </w:pPr>
      <w:r>
        <w:rPr>
          <w:rFonts w:eastAsia="仿宋_GB2312"/>
          <w:sz w:val="32"/>
          <w:szCs w:val="32"/>
        </w:rPr>
        <w:t>落实安全生产“三个”责任。加强党政领导班子和领导干部安全生产责任制考核，优化考核指标体系，将安全生产纳入对乡（镇、场、街道）和区直部门高质量发展考核，严格实行安全生产“一票否决”制度。研究完善各级政府、部门安全生产工作职责规定，将各部门安全监管职责纳入部门“三定方案”，建立区安委会“1+14”组织体系。加强对各级政府安全生产职责履行和重点工作部署落实等情况的监督检查，落实安全生产约谈制度。在安全生产领域实行网格化管理模式，以乡（镇、场、街道）、工业园区为单元，对单元内具体的各类单位纳入网格管理，构建完善全覆盖、无缝隙的安全生产监管网格体系。在15个乡（镇、场、街道）的124个村（社区、分场）明确了安全生产信息员，明确信息员工作职责。</w:t>
      </w:r>
    </w:p>
    <w:p>
      <w:pPr>
        <w:spacing w:line="560" w:lineRule="exact"/>
        <w:ind w:firstLine="640" w:firstLineChars="200"/>
        <w:rPr>
          <w:rFonts w:eastAsia="仿宋_GB2312"/>
          <w:sz w:val="32"/>
          <w:szCs w:val="32"/>
        </w:rPr>
      </w:pPr>
      <w:r>
        <w:rPr>
          <w:rFonts w:eastAsia="仿宋_GB2312"/>
          <w:sz w:val="32"/>
          <w:szCs w:val="32"/>
        </w:rPr>
        <w:t>完善企业安全生产管理体系。督促企业建立和落实各岗位明确、清晰的安全生产职责，实现全员、全过程、全方位、全天候安全管理。沙城电子科技创新中心和沿江新材料产业发展中心均采取购买社会化服务的方式，对园区内安全管理能力弱、安全风险大的小微企业进行技术指导，提升企业安全管理水平。加大检查执法力度，对无视法律法规、政府监管、职工生命安全的违法行为，依法严处重罚。推动企业安全生产失信联合惩戒制度落实，对失信企业依法依规严格限制或禁入。</w:t>
      </w:r>
    </w:p>
    <w:p>
      <w:pPr>
        <w:spacing w:line="560" w:lineRule="exact"/>
        <w:ind w:firstLine="640" w:firstLineChars="200"/>
        <w:rPr>
          <w:rFonts w:eastAsia="仿宋_GB2312"/>
          <w:sz w:val="32"/>
          <w:szCs w:val="32"/>
        </w:rPr>
      </w:pPr>
      <w:r>
        <w:rPr>
          <w:rFonts w:eastAsia="仿宋_GB2312"/>
          <w:sz w:val="32"/>
          <w:szCs w:val="32"/>
        </w:rPr>
        <w:t>深入开展安全生产整治行动。十三五期间，全区各有关部门聚焦危险化学品、烟花爆竹、矿山、工贸、建筑施工、消防、民爆物品、特种设备、电力、道路运输等重点行业领域，整合力量、上下联动，先后开展“打非治违”、“安全生产大检查大排查大整治”、“建筑工程安全生产文明施工”、“燃气安全大检查”和“安全生产专项整治三年行动”等一系列多形式的专项整治、检查执法等治理行动，排查及整治了3万余条事故隐患，关停矿山22座，完成35家企业安全生产标准化创建，堵牢了安全漏洞。从2016年至2020年，发生各类安全生产事故分别为3起、2起、2起、1起和1起，死亡人数分别为3人、2人、2人、1人和1人，事故数和死亡人数呈逐年下降趋势。</w:t>
      </w:r>
    </w:p>
    <w:p>
      <w:pPr>
        <w:spacing w:line="560" w:lineRule="exact"/>
        <w:ind w:firstLine="643" w:firstLineChars="200"/>
        <w:rPr>
          <w:rFonts w:eastAsia="仿宋_GB2312"/>
          <w:b/>
          <w:sz w:val="32"/>
          <w:szCs w:val="32"/>
        </w:rPr>
      </w:pPr>
      <w:bookmarkStart w:id="5" w:name="_Toc113052425"/>
      <w:bookmarkEnd w:id="5"/>
      <w:r>
        <w:rPr>
          <w:rFonts w:eastAsia="仿宋_GB2312"/>
          <w:b/>
          <w:sz w:val="32"/>
          <w:szCs w:val="32"/>
        </w:rPr>
        <w:t>3．应急处置能力逐步增强</w:t>
      </w:r>
    </w:p>
    <w:p>
      <w:pPr>
        <w:spacing w:line="560" w:lineRule="exact"/>
        <w:ind w:firstLine="640" w:firstLineChars="200"/>
        <w:rPr>
          <w:rFonts w:eastAsia="仿宋_GB2312"/>
          <w:sz w:val="32"/>
          <w:szCs w:val="32"/>
        </w:rPr>
      </w:pPr>
      <w:r>
        <w:rPr>
          <w:rFonts w:eastAsia="仿宋_GB2312"/>
          <w:sz w:val="32"/>
          <w:szCs w:val="32"/>
        </w:rPr>
        <w:t>完善应急处置工作规程。结合柴桑区应急救援实际情况，相继修订发布《九江市柴桑区森林火灾应急预案》《九江市柴桑区自然灾害救助应急预案》《九江市柴桑区防汛抗旱应急预案》《九江市柴桑区地震应急预案》《九江市柴桑区突发地质灾害应急预案》《柴桑区城区防汛抢险工作应急预案》等一系列应急预案，健全完善风险防控、监测预警等一整套工作机制。建立健全领导带班和24小时应急值班制度、事故信息报送机制、事故信息报送情况通报与责任追究制度；强化辖区政府负责先期处置和后期保障、专业救援队伍负责应急救援、应急专家队伍提供决策支持、宣传部门负责信息发布和舆论引导、应急管理部门负责综合协调的联动机制，决策指挥、专业处置、社会相应等工作流程进一步规范和细化。</w:t>
      </w:r>
    </w:p>
    <w:p>
      <w:pPr>
        <w:spacing w:line="560" w:lineRule="exact"/>
        <w:ind w:firstLine="640" w:firstLineChars="200"/>
        <w:rPr>
          <w:rFonts w:eastAsia="仿宋_GB2312"/>
          <w:sz w:val="32"/>
          <w:szCs w:val="32"/>
        </w:rPr>
      </w:pPr>
      <w:r>
        <w:rPr>
          <w:rFonts w:eastAsia="仿宋_GB2312"/>
          <w:sz w:val="32"/>
          <w:szCs w:val="32"/>
        </w:rPr>
        <w:t>根据应急预案积极组织各类演练。每年至少组织一次演练，如2019年6月14日，在沙城工业园区开展“燃气泄漏现场处置应急演练”；2019年6月20日，在赤湖工业园区开展甲醇储罐外输管道泄露事故应急演练；2020年6月9日,在马回岭镇马头水库开展九江市2020年度抗洪抢险、应急救援暨山洪、地质灾害防御综合演练。处置各类突发事件能力不断增强，十三五期间，妥善处置2016年、2017年和2020年洪涝灾害，不仅有效维护了全区经济社会发展的稳定，同时也切实保护了人民群众的生命财产安全。尤其是2020年一封《致江洲在外乡亲的一封信》，被中央电视台、人民网、新华社等中央、省、市媒体广泛报道，为防汛抗洪凝聚强大的正能量。江洲镇党委、政府获得省政府抢险救灾及时奖励三等奖。</w:t>
      </w:r>
    </w:p>
    <w:p>
      <w:pPr>
        <w:spacing w:line="560" w:lineRule="exact"/>
        <w:ind w:firstLine="643" w:firstLineChars="200"/>
        <w:rPr>
          <w:rFonts w:eastAsia="仿宋_GB2312"/>
          <w:b/>
          <w:sz w:val="32"/>
          <w:szCs w:val="32"/>
        </w:rPr>
      </w:pPr>
      <w:bookmarkStart w:id="6" w:name="_Toc113052426"/>
      <w:bookmarkEnd w:id="6"/>
      <w:r>
        <w:rPr>
          <w:rFonts w:eastAsia="仿宋_GB2312"/>
          <w:b/>
          <w:sz w:val="32"/>
          <w:szCs w:val="32"/>
        </w:rPr>
        <w:t>4．应急救援体系不断完善</w:t>
      </w:r>
    </w:p>
    <w:p>
      <w:pPr>
        <w:spacing w:line="560" w:lineRule="exact"/>
        <w:ind w:firstLine="640" w:firstLineChars="200"/>
        <w:rPr>
          <w:rFonts w:eastAsia="仿宋_GB2312"/>
          <w:sz w:val="32"/>
          <w:szCs w:val="32"/>
        </w:rPr>
      </w:pPr>
      <w:r>
        <w:rPr>
          <w:rFonts w:eastAsia="仿宋_GB2312"/>
          <w:sz w:val="32"/>
          <w:szCs w:val="32"/>
        </w:rPr>
        <w:t>消防综合应急救援能力不断提升。从“单一灾种”应对向“全灾种”应对全面转型。全区执勤消防站2个（其中消防救援一级站1个、消防二级站1个），乡镇政府专职消防队4个，各类消防车11辆、专职消防指战员60名。依托科安消防建立“智慧消防”远程监控平台，完成智能感烟探测器接入数7400个、市政消火栓建设数432个，建立社会单位微型消防站51家。</w:t>
      </w:r>
    </w:p>
    <w:p>
      <w:pPr>
        <w:spacing w:line="560" w:lineRule="exact"/>
        <w:ind w:firstLine="640" w:firstLineChars="200"/>
        <w:rPr>
          <w:rFonts w:eastAsia="仿宋_GB2312"/>
          <w:sz w:val="32"/>
          <w:szCs w:val="32"/>
        </w:rPr>
      </w:pPr>
      <w:r>
        <w:rPr>
          <w:rFonts w:eastAsia="仿宋_GB2312"/>
          <w:sz w:val="32"/>
          <w:szCs w:val="32"/>
        </w:rPr>
        <w:t>持续推进专业森林消防队能力建设。着力于推进专业森林消防队正规化建设，落实机构编制和经费保障。在原有区森林消防队的基础上，通过两年时间招录26人新生力量，保持满编30人。通过实战演练，提高队伍专业素质，我区专业森林消防队在2020年全市专业森林消防队技能比武中荣获团体第一名、个人第一名，4人进入个人成绩前十。在2021年11月份全市举行的第二届森林消防业务技能大比武活动中，柴桑区专业森林消防大队再获团体第一名、水泵操作优秀集体第一名。同时在五项个人单项比赛中，柴桑区参赛队员获得4项个人第一的好成绩。</w:t>
      </w:r>
    </w:p>
    <w:p>
      <w:pPr>
        <w:spacing w:line="560" w:lineRule="exact"/>
        <w:ind w:firstLine="640" w:firstLineChars="200"/>
        <w:rPr>
          <w:rFonts w:eastAsia="仿宋_GB2312"/>
          <w:sz w:val="32"/>
          <w:szCs w:val="32"/>
        </w:rPr>
      </w:pPr>
      <w:r>
        <w:rPr>
          <w:rFonts w:eastAsia="仿宋_GB2312"/>
          <w:sz w:val="32"/>
          <w:szCs w:val="32"/>
        </w:rPr>
        <w:t>稳步推进基层应急队伍建设。建立2支社会救援队伍（蓝天救援队、红心救援队），登记救援队员104人。依托乡村干部和民兵预备役人员，岷山乡、马回岭镇等11个乡镇分别组建一支30人左右的乡镇半专业扑火队，防火器材逐年补充和完善。</w:t>
      </w:r>
    </w:p>
    <w:p>
      <w:pPr>
        <w:spacing w:line="560" w:lineRule="exact"/>
        <w:ind w:firstLine="643" w:firstLineChars="200"/>
        <w:rPr>
          <w:rFonts w:eastAsia="仿宋_GB2312"/>
          <w:b/>
          <w:sz w:val="32"/>
          <w:szCs w:val="32"/>
        </w:rPr>
      </w:pPr>
      <w:bookmarkStart w:id="7" w:name="_Toc113052427"/>
      <w:bookmarkEnd w:id="7"/>
      <w:r>
        <w:rPr>
          <w:rFonts w:eastAsia="仿宋_GB2312"/>
          <w:b/>
          <w:sz w:val="32"/>
          <w:szCs w:val="32"/>
        </w:rPr>
        <w:t>5．综合减灾能力不断加强</w:t>
      </w:r>
    </w:p>
    <w:p>
      <w:pPr>
        <w:spacing w:line="560" w:lineRule="exact"/>
        <w:ind w:firstLine="640" w:firstLineChars="200"/>
        <w:rPr>
          <w:rFonts w:eastAsia="仿宋_GB2312"/>
          <w:sz w:val="32"/>
          <w:szCs w:val="32"/>
        </w:rPr>
      </w:pPr>
      <w:r>
        <w:rPr>
          <w:rFonts w:eastAsia="仿宋_GB2312"/>
          <w:sz w:val="32"/>
          <w:szCs w:val="32"/>
        </w:rPr>
        <w:t>不断巩固防灾领域基础建设。针对我区实际情况，建立重点涉灾部门参加的灾情会商和信息共享机制，《九江市柴桑区防汛抗旱应急预案》对所有防指成员单位的职责也都进行了明确，做到各司其职、联动协作。积极推进自然灾害防治能力建设，《九江市柴桑区防御暴雨山洪提前转移联动机制》等系列文件明确了区气象部门与区防指其他相关单位以及各乡（镇、场、街道）在防御暴雨山洪提前转移方面的具体操作方法。在中华贤母园内建成1个地震烈度速报与预警工程基本站，全区369个地质灾害隐患点全部纳入方案管理，已经建设地质灾害监测点14个，在全省率先实施地震灾害损失预评估示范区项目建设，地震灾害、地质灾害、森林火灾、水旱灾害、气象灾害等综合监测预警能力显著增强。结合现代通信和网络技术，与移动、电信等通讯运营商构建了绿色信息发布通道，完善了应急通信和信息保障能力，建立了自然灾害信息系统平台，加入了国家、省、市、区四级灾情上报系统，健全了灾情信息查核、快报、核报工作机制。群测群防网络初步建成，全区在册灾害信息员143名，实现了各乡（镇、场、街道）灾害信息员全覆盖。</w:t>
      </w:r>
    </w:p>
    <w:p>
      <w:pPr>
        <w:spacing w:line="560" w:lineRule="exact"/>
        <w:ind w:firstLine="640" w:firstLineChars="200"/>
        <w:rPr>
          <w:rFonts w:eastAsia="仿宋_GB2312"/>
          <w:sz w:val="32"/>
          <w:szCs w:val="32"/>
        </w:rPr>
      </w:pPr>
      <w:r>
        <w:rPr>
          <w:rFonts w:eastAsia="仿宋_GB2312"/>
          <w:sz w:val="32"/>
          <w:szCs w:val="32"/>
        </w:rPr>
        <w:t>积极开展自然灾害综合风险普查与减灾能力调查。查清全区山洪灾害“家底”，核实梳理部分区域1:50000地质灾害调查成果，获取全区地灾隐患点统计数据共369个。2020年，投入资金678万元，完成33个地质灾害隐患治理。</w:t>
      </w:r>
    </w:p>
    <w:p>
      <w:pPr>
        <w:spacing w:line="560" w:lineRule="exact"/>
        <w:ind w:firstLine="640" w:firstLineChars="200"/>
        <w:rPr>
          <w:rFonts w:eastAsia="仿宋_GB2312"/>
          <w:sz w:val="32"/>
          <w:szCs w:val="32"/>
        </w:rPr>
      </w:pPr>
      <w:r>
        <w:rPr>
          <w:rFonts w:eastAsia="仿宋_GB2312"/>
          <w:sz w:val="32"/>
          <w:szCs w:val="32"/>
        </w:rPr>
        <w:t>大力推进应急避难所建设。根据相关技术标准，建立应急避难场所2所（中华贤母园、悠然园）。</w:t>
      </w:r>
    </w:p>
    <w:p>
      <w:pPr>
        <w:spacing w:line="560" w:lineRule="exact"/>
        <w:ind w:firstLine="643" w:firstLineChars="200"/>
        <w:rPr>
          <w:rFonts w:eastAsia="仿宋_GB2312"/>
          <w:b/>
          <w:sz w:val="32"/>
          <w:szCs w:val="32"/>
        </w:rPr>
      </w:pPr>
      <w:bookmarkStart w:id="8" w:name="_Toc113052428"/>
      <w:bookmarkEnd w:id="8"/>
      <w:r>
        <w:rPr>
          <w:rFonts w:eastAsia="仿宋_GB2312"/>
          <w:b/>
          <w:sz w:val="32"/>
          <w:szCs w:val="32"/>
        </w:rPr>
        <w:t>6．全社会应急意识进一步强化</w:t>
      </w:r>
    </w:p>
    <w:p>
      <w:pPr>
        <w:spacing w:line="560" w:lineRule="exact"/>
        <w:ind w:firstLine="640" w:firstLineChars="200"/>
        <w:rPr>
          <w:rFonts w:eastAsia="仿宋_GB2312"/>
          <w:sz w:val="32"/>
          <w:szCs w:val="32"/>
        </w:rPr>
      </w:pPr>
      <w:r>
        <w:rPr>
          <w:rFonts w:eastAsia="仿宋_GB2312"/>
          <w:sz w:val="32"/>
          <w:szCs w:val="32"/>
        </w:rPr>
        <w:t>建立健全应急文化教育培训体系。为安全专职人员和工矿企业管理人员提供安全培训，累计培训人数3000余人次；共组织5次灾害信息员培训，累计培训人数达70余人次。将应急文化与城市建设其他工作统一筹划，加强部门协同，联合沙城电子科技创新中心、沿江新材料产业发展中心、市场监管局、住建局、教体局等部门整合宣传资源，常态化推进应急宣传教育</w:t>
      </w:r>
      <w:bookmarkStart w:id="9" w:name="_Hlk90906916"/>
      <w:r>
        <w:rPr>
          <w:rFonts w:eastAsia="仿宋_GB2312"/>
          <w:sz w:val="32"/>
          <w:szCs w:val="32"/>
        </w:rPr>
        <w:t>“七进”和“防灾减灾日”活动</w:t>
      </w:r>
      <w:bookmarkEnd w:id="9"/>
      <w:r>
        <w:rPr>
          <w:rFonts w:eastAsia="仿宋_GB2312"/>
          <w:sz w:val="32"/>
          <w:szCs w:val="32"/>
        </w:rPr>
        <w:t>，强化企业应急演练，受众达到4万余人；利用安全知识竞赛巩固应急知识点学习，拓展全民安全素养提升渠道。</w:t>
      </w:r>
    </w:p>
    <w:p>
      <w:pPr>
        <w:spacing w:line="560" w:lineRule="exact"/>
        <w:ind w:firstLine="640" w:firstLineChars="200"/>
        <w:rPr>
          <w:rFonts w:eastAsia="仿宋_GB2312"/>
          <w:sz w:val="32"/>
          <w:szCs w:val="32"/>
        </w:rPr>
      </w:pPr>
      <w:r>
        <w:rPr>
          <w:rFonts w:eastAsia="仿宋_GB2312"/>
          <w:sz w:val="32"/>
          <w:szCs w:val="32"/>
        </w:rPr>
        <w:t>搭建应急安全宣教平台。充分利用户外宣传栏、电子显示屏、广告牌等媒介完善传统媒体安全宣教，2020年全区安全生产方面新闻在省级以上媒体刊登140余篇，发放宣传资料2万余份；同时着眼新媒体如“九江市应急管理局”、“九江应急管理”和“九江安全生产”微信公众号、“安全体验场馆360全景示范”构建全媒体融合平台，线上学习人数达到3万余人，形成“交互型”、“贴近型”的应急安全宣教新平台。</w:t>
      </w:r>
    </w:p>
    <w:p>
      <w:pPr>
        <w:spacing w:line="560" w:lineRule="exact"/>
        <w:ind w:firstLine="640" w:firstLineChars="200"/>
        <w:rPr>
          <w:rFonts w:eastAsia="仿宋_GB2312"/>
          <w:sz w:val="32"/>
          <w:szCs w:val="32"/>
        </w:rPr>
      </w:pPr>
      <w:r>
        <w:rPr>
          <w:rFonts w:eastAsia="仿宋_GB2312"/>
          <w:sz w:val="32"/>
          <w:szCs w:val="32"/>
        </w:rPr>
        <w:t>推广应急安全科普宣传教育。结合“安全生产月”、“安全生产法律法规宣传周”等节点，将安全生产咨询、现场处置演练、安全知识竞赛等工作落实到企业、社区、校园和家庭，在4个乡镇开展“</w:t>
      </w:r>
      <w:bookmarkStart w:id="10" w:name="_Hlk90907430"/>
      <w:r>
        <w:rPr>
          <w:rFonts w:eastAsia="仿宋_GB2312"/>
          <w:sz w:val="32"/>
          <w:szCs w:val="32"/>
        </w:rPr>
        <w:t>综合减灾示范社区</w:t>
      </w:r>
      <w:bookmarkEnd w:id="10"/>
      <w:r>
        <w:rPr>
          <w:rFonts w:eastAsia="仿宋_GB2312"/>
          <w:sz w:val="32"/>
          <w:szCs w:val="32"/>
        </w:rPr>
        <w:t>”创建工作，增强了群众安全生产和防灾减灾意识。</w:t>
      </w:r>
    </w:p>
    <w:p>
      <w:pPr>
        <w:spacing w:line="560" w:lineRule="exact"/>
        <w:ind w:firstLine="643" w:firstLineChars="200"/>
        <w:rPr>
          <w:rFonts w:eastAsia="楷体_GB2312"/>
          <w:b/>
          <w:sz w:val="32"/>
          <w:szCs w:val="32"/>
        </w:rPr>
      </w:pPr>
      <w:bookmarkStart w:id="11" w:name="_Toc113052429"/>
      <w:bookmarkEnd w:id="11"/>
      <w:r>
        <w:rPr>
          <w:rFonts w:eastAsia="楷体_GB2312"/>
          <w:b/>
          <w:sz w:val="32"/>
          <w:szCs w:val="32"/>
        </w:rPr>
        <w:t>（二）“十四五”时期面临的形势</w:t>
      </w:r>
    </w:p>
    <w:p>
      <w:pPr>
        <w:spacing w:line="560" w:lineRule="exact"/>
        <w:ind w:firstLine="643" w:firstLineChars="200"/>
        <w:rPr>
          <w:rFonts w:eastAsia="仿宋_GB2312"/>
          <w:b/>
          <w:sz w:val="32"/>
          <w:szCs w:val="32"/>
        </w:rPr>
      </w:pPr>
      <w:bookmarkStart w:id="12" w:name="_Toc113052430"/>
      <w:bookmarkEnd w:id="12"/>
      <w:r>
        <w:rPr>
          <w:rFonts w:eastAsia="仿宋_GB2312"/>
          <w:b/>
          <w:sz w:val="32"/>
          <w:szCs w:val="32"/>
        </w:rPr>
        <w:t>1．面临的有利条件与机遇</w:t>
      </w:r>
    </w:p>
    <w:p>
      <w:pPr>
        <w:spacing w:line="560" w:lineRule="exact"/>
        <w:ind w:firstLine="640" w:firstLineChars="200"/>
        <w:rPr>
          <w:rFonts w:eastAsia="仿宋_GB2312"/>
          <w:sz w:val="32"/>
          <w:szCs w:val="32"/>
        </w:rPr>
      </w:pPr>
      <w:r>
        <w:rPr>
          <w:rFonts w:eastAsia="仿宋_GB2312"/>
          <w:sz w:val="32"/>
          <w:szCs w:val="32"/>
        </w:rPr>
        <w:t>“十四五”时期，我区安全生产、防灾减灾、应急救援工作面临许多有利条件和发展机遇。</w:t>
      </w:r>
    </w:p>
    <w:p>
      <w:pPr>
        <w:spacing w:line="560" w:lineRule="exact"/>
        <w:ind w:firstLine="640" w:firstLineChars="200"/>
        <w:rPr>
          <w:rFonts w:eastAsia="仿宋_GB2312"/>
          <w:sz w:val="32"/>
          <w:szCs w:val="32"/>
        </w:rPr>
      </w:pPr>
      <w:r>
        <w:rPr>
          <w:rFonts w:eastAsia="仿宋_GB2312"/>
          <w:sz w:val="32"/>
          <w:szCs w:val="32"/>
        </w:rPr>
        <w:t>（1）党中央、国务院高度重视安全生产、防灾减灾、应急救援工作。习近平总书记关于应急管理的一系列重要论述，为安全生产、防灾减灾、应急救援工作提供了强大政策支持；省委省政府、市委市政府高度重视应急管理工作，深入贯彻新发展理念，强化监管，狠抓责任落实，为安全生产、防灾减灾、应急救援工作提供了有力的组织保障。</w:t>
      </w:r>
    </w:p>
    <w:p>
      <w:pPr>
        <w:spacing w:line="560" w:lineRule="exact"/>
        <w:ind w:firstLine="640" w:firstLineChars="200"/>
        <w:rPr>
          <w:rFonts w:eastAsia="仿宋_GB2312"/>
          <w:sz w:val="32"/>
          <w:szCs w:val="32"/>
        </w:rPr>
      </w:pPr>
      <w:r>
        <w:rPr>
          <w:rFonts w:eastAsia="仿宋_GB2312"/>
          <w:sz w:val="32"/>
          <w:szCs w:val="32"/>
        </w:rPr>
        <w:t>（2）应急体制机制改革为应急管理事业发展奠定了基础。区应急管理局挂牌成立以来，积极适应新体制新要求，以创新的思路、改革的办法和有力的举措奋力破解难题，应急管理常态化职能部门日常管理体制逐步形成，防灾、减灾、救灾、指挥、救援、监管、执法、保障等职能分工清晰、互为衔接的“大应急”管理格局已初步形成，为新时代应急管理工作的良好开局奠定了牢固的基础。</w:t>
      </w:r>
    </w:p>
    <w:p>
      <w:pPr>
        <w:spacing w:line="560" w:lineRule="exact"/>
        <w:ind w:firstLine="640" w:firstLineChars="200"/>
        <w:rPr>
          <w:rFonts w:eastAsia="仿宋_GB2312"/>
          <w:sz w:val="32"/>
          <w:szCs w:val="32"/>
        </w:rPr>
      </w:pPr>
      <w:r>
        <w:rPr>
          <w:rFonts w:eastAsia="仿宋_GB2312"/>
          <w:sz w:val="32"/>
          <w:szCs w:val="32"/>
        </w:rPr>
        <w:t>（3）经济社会快速发展为应急管理事业发展提供坚实保障。应急管理发展以及突发事件处置需要人力、物力、财力的倾斜和支持。“十三五”期间，我区经济实力取得长足发展，为应急管理事业发展打下了扎实的物质基础。“十四五”期间，我区将打造成为“赣北眉目地、兴旺大柴桑”，将带来新一轮经济社会发展提质增效、产业结构优化升级，在人力、物力、财力等方面能够为应急管理事业发展提供更加充分的保障。</w:t>
      </w:r>
    </w:p>
    <w:p>
      <w:pPr>
        <w:spacing w:line="560" w:lineRule="exact"/>
        <w:ind w:firstLine="640" w:firstLineChars="200"/>
        <w:rPr>
          <w:rFonts w:eastAsia="仿宋_GB2312"/>
          <w:sz w:val="32"/>
          <w:szCs w:val="32"/>
        </w:rPr>
      </w:pPr>
      <w:r>
        <w:rPr>
          <w:rFonts w:eastAsia="仿宋_GB2312"/>
          <w:sz w:val="32"/>
          <w:szCs w:val="32"/>
        </w:rPr>
        <w:t>（4）科技创新快速发展为应急管理机制创新发展提供了技术支撑。移动互联网、云计算、大数据、物联网、人工智能、5G等科技信息技术的快速发展，不仅改变了人类的生活方式，也为智慧应急带来新的发展机遇。科学技术的不断突破，将加快淘汰落后工艺、技术、装备和产能，自然灾害预警能力提升，“科技强安”战略有利于降低安全风险，提高本质安全水平。</w:t>
      </w:r>
    </w:p>
    <w:p>
      <w:pPr>
        <w:spacing w:line="560" w:lineRule="exact"/>
        <w:ind w:firstLine="643" w:firstLineChars="200"/>
        <w:rPr>
          <w:rFonts w:eastAsia="仿宋_GB2312"/>
          <w:b/>
          <w:sz w:val="32"/>
          <w:szCs w:val="32"/>
        </w:rPr>
      </w:pPr>
      <w:bookmarkStart w:id="13" w:name="_Toc113052431"/>
      <w:bookmarkEnd w:id="13"/>
      <w:r>
        <w:rPr>
          <w:rFonts w:eastAsia="仿宋_GB2312"/>
          <w:b/>
          <w:sz w:val="32"/>
          <w:szCs w:val="32"/>
        </w:rPr>
        <w:t>2．面临的主要问题和挑战</w:t>
      </w:r>
    </w:p>
    <w:p>
      <w:pPr>
        <w:spacing w:line="560" w:lineRule="exact"/>
        <w:ind w:firstLine="640" w:firstLineChars="200"/>
        <w:rPr>
          <w:rFonts w:eastAsia="仿宋_GB2312"/>
          <w:sz w:val="32"/>
          <w:szCs w:val="32"/>
        </w:rPr>
      </w:pPr>
      <w:r>
        <w:rPr>
          <w:rFonts w:eastAsia="仿宋_GB2312"/>
          <w:sz w:val="32"/>
          <w:szCs w:val="32"/>
        </w:rPr>
        <w:t>应急管理体制机制亟待完善。柴桑区应急管理局作为一个新成立的部门，承担全区安全生产监管、防汛抗旱、森林防灭火、减灾救灾、应急救援等职责。应急管理机制不完善，风险管控不到位、工作运行不顺畅的问题亟待解决。应急指挥系统尚未完全建立，应急联动机制尚未有效形成，不能完全适应“全灾种、大应急”的应急指挥需求。</w:t>
      </w:r>
    </w:p>
    <w:p>
      <w:pPr>
        <w:spacing w:line="560" w:lineRule="exact"/>
        <w:ind w:firstLine="640" w:firstLineChars="200"/>
        <w:rPr>
          <w:rFonts w:eastAsia="仿宋_GB2312"/>
          <w:sz w:val="32"/>
          <w:szCs w:val="32"/>
        </w:rPr>
      </w:pPr>
      <w:r>
        <w:rPr>
          <w:rFonts w:eastAsia="仿宋_GB2312"/>
          <w:sz w:val="32"/>
          <w:szCs w:val="32"/>
        </w:rPr>
        <w:t>应急基层基础还不稳固。全区存在着基层应急管理组织不健全、基层干部队伍业务能力不足等现象。应急专业人才严重不足，特别是防汛、防火、减灾救灾等方面专业化人才匮乏。应急救援队伍对重点行业领域、重点地区的覆盖不全面，救援装备种类不全、数量不够，专业化实训演练条件不足，大型装备运行维护困难。安全生产主体责任落实不力。企业不遵守安全生产法律法规规章等问题普遍存在，从业人员违章指挥、违章操作、违反劳动纪律等“三违”现象时有发生。</w:t>
      </w:r>
    </w:p>
    <w:p>
      <w:pPr>
        <w:spacing w:line="560" w:lineRule="exact"/>
        <w:ind w:firstLine="640" w:firstLineChars="200"/>
        <w:rPr>
          <w:rFonts w:eastAsia="仿宋_GB2312"/>
          <w:sz w:val="32"/>
          <w:szCs w:val="32"/>
        </w:rPr>
      </w:pPr>
      <w:r>
        <w:rPr>
          <w:rFonts w:eastAsia="仿宋_GB2312"/>
          <w:sz w:val="32"/>
          <w:szCs w:val="32"/>
        </w:rPr>
        <w:t>自然灾害风险交织叠加。一是森林防灭火任务重。全区现有林地面积31433.19公顷，占总面积的37.09%，火源管控难度大。二是防汛抗旱压力大。我区沿江濒湖，水系发达、湖泊众多，</w:t>
      </w:r>
      <w:bookmarkStart w:id="14" w:name="OLE_LINK12"/>
      <w:bookmarkEnd w:id="14"/>
      <w:bookmarkStart w:id="15" w:name="OLE_LINK11"/>
      <w:r>
        <w:rPr>
          <w:rFonts w:eastAsia="仿宋_GB2312"/>
          <w:sz w:val="32"/>
          <w:szCs w:val="32"/>
        </w:rPr>
        <w:t>全区有大小圩堤</w:t>
      </w:r>
      <w:bookmarkEnd w:id="15"/>
      <w:r>
        <w:rPr>
          <w:rFonts w:eastAsia="仿宋_GB2312"/>
          <w:sz w:val="32"/>
          <w:szCs w:val="32"/>
        </w:rPr>
        <w:t>26座，水库67座，还包括6万亩水面的赛城湖、7.6万亩水面的赤湖，是全省重点防洪区之一。三是地质灾害隐患多。全区地质灾害隐患点369处，对群众生产生活构成较大威胁。</w:t>
      </w:r>
    </w:p>
    <w:p>
      <w:pPr>
        <w:spacing w:line="560" w:lineRule="exact"/>
        <w:ind w:firstLine="640" w:firstLineChars="200"/>
        <w:rPr>
          <w:rFonts w:eastAsia="仿宋_GB2312"/>
          <w:sz w:val="32"/>
          <w:szCs w:val="32"/>
        </w:rPr>
      </w:pPr>
      <w:r>
        <w:rPr>
          <w:rFonts w:eastAsia="仿宋_GB2312"/>
          <w:sz w:val="32"/>
          <w:szCs w:val="32"/>
        </w:rPr>
        <w:t>安全生产形势依然严峻。随着经济社会的发展，城市规模日益扩大，结构日趋复杂，城市建设、油气输送管道、危旧房屋、电梯设备以及人员密集场所等安全风险突出，城市安全管理难度增大。随着工业化城镇化建设持续推进，新产业新业态不断涌现，生产安全事故呈现从传统高危行业向其他行业领域蔓延趋势，工程建设、交通运输、生态环保等领域事故易发多发，新的风险挑战明显增多。</w:t>
      </w:r>
    </w:p>
    <w:p>
      <w:pPr>
        <w:spacing w:line="560" w:lineRule="exact"/>
        <w:ind w:firstLine="640" w:firstLineChars="200"/>
        <w:rPr>
          <w:rFonts w:eastAsia="黑体"/>
          <w:sz w:val="32"/>
          <w:szCs w:val="32"/>
        </w:rPr>
      </w:pPr>
      <w:bookmarkStart w:id="16" w:name="_Toc113052432"/>
      <w:bookmarkEnd w:id="16"/>
      <w:r>
        <w:rPr>
          <w:rFonts w:eastAsia="黑体"/>
          <w:sz w:val="32"/>
          <w:szCs w:val="32"/>
        </w:rPr>
        <w:t>二、总体要求</w:t>
      </w:r>
    </w:p>
    <w:p>
      <w:pPr>
        <w:spacing w:line="560" w:lineRule="exact"/>
        <w:ind w:firstLine="643" w:firstLineChars="200"/>
        <w:rPr>
          <w:rFonts w:eastAsia="楷体_GB2312"/>
          <w:b/>
          <w:sz w:val="32"/>
          <w:szCs w:val="32"/>
        </w:rPr>
      </w:pPr>
      <w:bookmarkStart w:id="17" w:name="_Toc113052433"/>
      <w:bookmarkEnd w:id="17"/>
      <w:r>
        <w:rPr>
          <w:rFonts w:eastAsia="楷体_GB2312"/>
          <w:b/>
          <w:sz w:val="32"/>
          <w:szCs w:val="32"/>
        </w:rPr>
        <w:t>（一）指导思想</w:t>
      </w:r>
    </w:p>
    <w:p>
      <w:pPr>
        <w:spacing w:line="560" w:lineRule="exact"/>
        <w:ind w:firstLine="640" w:firstLineChars="200"/>
        <w:rPr>
          <w:rFonts w:eastAsia="仿宋_GB2312"/>
          <w:sz w:val="32"/>
          <w:szCs w:val="32"/>
        </w:rPr>
      </w:pPr>
      <w:r>
        <w:rPr>
          <w:rFonts w:eastAsia="仿宋_GB2312"/>
          <w:sz w:val="32"/>
          <w:szCs w:val="32"/>
        </w:rPr>
        <w:t>以习近平新时代中国特色社会主义思想为指导，深入贯彻落实党的十九大和十九届历次全会精神，贯彻落实</w:t>
      </w:r>
      <w:r>
        <w:rPr>
          <w:rFonts w:hint="eastAsia" w:eastAsia="仿宋_GB2312"/>
          <w:sz w:val="32"/>
          <w:szCs w:val="32"/>
          <w:lang w:eastAsia="zh-CN"/>
        </w:rPr>
        <w:t>习近平总书记</w:t>
      </w:r>
      <w:r>
        <w:rPr>
          <w:rFonts w:eastAsia="仿宋_GB2312"/>
          <w:sz w:val="32"/>
          <w:szCs w:val="32"/>
        </w:rPr>
        <w:t>关于应急管理重要论述，牢固树立人民至上、生命至上的应急发展理念，全面推进安全生产、防灾减灾和应急救援领域改革发展。坚持创新驱动，奋力推进区域应急管理体系和应急能力现代化建设；坚持系统管理，深度融合安全生产和自然灾害防御工作，健全应急管理体系；坚持底线思维，着力防范化解重大风险，打造共建共享共治的应急管理治理格局，最大限度保障人民群众生命财产安全，坚决防范遏制重特大灾害事故，为打造“赣北眉目地，兴旺大柴桑”，为高标准建设长江经济带重要节点城市及“再创九江辉煌，再现九派荣光”提供有力的安全保障。</w:t>
      </w:r>
    </w:p>
    <w:p>
      <w:pPr>
        <w:spacing w:line="560" w:lineRule="exact"/>
        <w:ind w:firstLine="643" w:firstLineChars="200"/>
        <w:rPr>
          <w:rFonts w:eastAsia="楷体_GB2312"/>
          <w:b/>
          <w:sz w:val="32"/>
          <w:szCs w:val="32"/>
        </w:rPr>
      </w:pPr>
      <w:bookmarkStart w:id="18" w:name="_Toc113052434"/>
      <w:bookmarkEnd w:id="18"/>
      <w:r>
        <w:rPr>
          <w:rFonts w:eastAsia="楷体_GB2312"/>
          <w:b/>
          <w:sz w:val="32"/>
          <w:szCs w:val="32"/>
        </w:rPr>
        <w:t>（二）基本原则</w:t>
      </w:r>
    </w:p>
    <w:p>
      <w:pPr>
        <w:spacing w:line="560" w:lineRule="exact"/>
        <w:ind w:firstLine="640" w:firstLineChars="200"/>
        <w:rPr>
          <w:rFonts w:eastAsia="仿宋_GB2312"/>
          <w:sz w:val="32"/>
          <w:szCs w:val="32"/>
        </w:rPr>
      </w:pPr>
      <w:r>
        <w:rPr>
          <w:rFonts w:eastAsia="仿宋_GB2312"/>
          <w:sz w:val="32"/>
          <w:szCs w:val="32"/>
        </w:rPr>
        <w:t>坚持生命至上、人民至上。牢固树立发展决不能以牺牲人的生命为代价的红线意识，切实把确保人民生命安全放在第一位，大力实施安全发展战略，着力防范化解重大安全风险。</w:t>
      </w:r>
    </w:p>
    <w:p>
      <w:pPr>
        <w:spacing w:line="560" w:lineRule="exact"/>
        <w:ind w:firstLine="640" w:firstLineChars="200"/>
        <w:rPr>
          <w:rFonts w:eastAsia="仿宋_GB2312"/>
          <w:sz w:val="32"/>
          <w:szCs w:val="32"/>
        </w:rPr>
      </w:pPr>
      <w:r>
        <w:rPr>
          <w:rFonts w:eastAsia="仿宋_GB2312"/>
          <w:sz w:val="32"/>
          <w:szCs w:val="32"/>
        </w:rPr>
        <w:t>坚持改革创新、科技引领。创新应急管理体制机制改革，聚焦重点领域、关键环节，强化应急管理工作的科技支撑，营造智慧应急体系，推动应急管理改革事业现代化发展。</w:t>
      </w:r>
    </w:p>
    <w:p>
      <w:pPr>
        <w:spacing w:line="560" w:lineRule="exact"/>
        <w:ind w:firstLine="640" w:firstLineChars="200"/>
        <w:rPr>
          <w:rFonts w:eastAsia="仿宋_GB2312"/>
          <w:sz w:val="32"/>
          <w:szCs w:val="32"/>
        </w:rPr>
      </w:pPr>
      <w:r>
        <w:rPr>
          <w:rFonts w:eastAsia="仿宋_GB2312"/>
          <w:sz w:val="32"/>
          <w:szCs w:val="32"/>
        </w:rPr>
        <w:t>坚持底线思维、精准防控。坚持以防为主，防抗救相结合，坚持问题导向，从源头防范化解风险，把握应急管理工作的重难点和薄弱环节，健全辨识评估、监测预警、隐患排查、应急处置全链条风险防控机制。</w:t>
      </w:r>
    </w:p>
    <w:p>
      <w:pPr>
        <w:spacing w:line="560" w:lineRule="exact"/>
        <w:ind w:firstLine="640" w:firstLineChars="200"/>
        <w:rPr>
          <w:rFonts w:eastAsia="仿宋_GB2312"/>
          <w:sz w:val="32"/>
          <w:szCs w:val="32"/>
        </w:rPr>
      </w:pPr>
      <w:r>
        <w:rPr>
          <w:rFonts w:eastAsia="仿宋_GB2312"/>
          <w:sz w:val="32"/>
          <w:szCs w:val="32"/>
        </w:rPr>
        <w:t>坚持统分结合、社会共治。坚持党的集中统一领导，强化应急管理部门统筹协调功能，落实行业领域主管部门的监管责任。引导社会各方力量共同参与，构建共建共治共享格局，切实提高全过程、全流程防范防治水平和应急处置能力。</w:t>
      </w:r>
    </w:p>
    <w:p>
      <w:pPr>
        <w:spacing w:line="560" w:lineRule="exact"/>
        <w:ind w:firstLine="643" w:firstLineChars="200"/>
        <w:rPr>
          <w:rFonts w:eastAsia="楷体_GB2312"/>
          <w:b/>
          <w:sz w:val="32"/>
          <w:szCs w:val="32"/>
        </w:rPr>
      </w:pPr>
      <w:bookmarkStart w:id="19" w:name="_Toc113052435"/>
      <w:bookmarkEnd w:id="19"/>
      <w:r>
        <w:rPr>
          <w:rFonts w:eastAsia="楷体_GB2312"/>
          <w:b/>
          <w:sz w:val="32"/>
          <w:szCs w:val="32"/>
        </w:rPr>
        <w:t>（三）规划目标</w:t>
      </w:r>
    </w:p>
    <w:p>
      <w:pPr>
        <w:spacing w:line="560" w:lineRule="exact"/>
        <w:ind w:firstLine="643" w:firstLineChars="200"/>
        <w:rPr>
          <w:rFonts w:eastAsia="仿宋_GB2312"/>
          <w:b/>
          <w:sz w:val="32"/>
          <w:szCs w:val="32"/>
        </w:rPr>
      </w:pPr>
      <w:bookmarkStart w:id="20" w:name="_Toc113052436"/>
      <w:bookmarkEnd w:id="20"/>
      <w:r>
        <w:rPr>
          <w:rFonts w:eastAsia="仿宋_GB2312"/>
          <w:b/>
          <w:sz w:val="32"/>
          <w:szCs w:val="32"/>
        </w:rPr>
        <w:t>1．总体目标</w:t>
      </w:r>
    </w:p>
    <w:p>
      <w:pPr>
        <w:spacing w:line="560" w:lineRule="exact"/>
        <w:ind w:firstLine="640" w:firstLineChars="200"/>
        <w:rPr>
          <w:rFonts w:eastAsia="仿宋_GB2312"/>
          <w:sz w:val="32"/>
          <w:szCs w:val="32"/>
        </w:rPr>
      </w:pPr>
      <w:r>
        <w:rPr>
          <w:rFonts w:eastAsia="仿宋_GB2312"/>
          <w:sz w:val="32"/>
          <w:szCs w:val="32"/>
        </w:rPr>
        <w:t>全面推动我区应急管理事业改革创新发展，推进治理体系和治理能力现代化，到2025年，基本建成统一指挥、专常兼备、反应灵敏、上下联动的应急管理体制，统一领导、权责一致、权威高效应急管理的体系和能力现代化基本实现，安全生产总体趋稳向好，防灾减灾基础全面夯实，应急事故处置应对能力显著提高。</w:t>
      </w:r>
    </w:p>
    <w:p>
      <w:pPr>
        <w:spacing w:line="560" w:lineRule="exact"/>
        <w:ind w:firstLine="643" w:firstLineChars="200"/>
        <w:rPr>
          <w:rFonts w:eastAsia="仿宋_GB2312"/>
          <w:b/>
          <w:sz w:val="32"/>
          <w:szCs w:val="32"/>
        </w:rPr>
      </w:pPr>
      <w:bookmarkStart w:id="21" w:name="_Toc113052437"/>
      <w:bookmarkEnd w:id="21"/>
      <w:r>
        <w:rPr>
          <w:rFonts w:eastAsia="仿宋_GB2312"/>
          <w:b/>
          <w:sz w:val="32"/>
          <w:szCs w:val="32"/>
        </w:rPr>
        <w:t>2．分类目标</w:t>
      </w:r>
    </w:p>
    <w:p>
      <w:pPr>
        <w:spacing w:line="560" w:lineRule="exact"/>
        <w:ind w:firstLine="640" w:firstLineChars="200"/>
        <w:rPr>
          <w:rFonts w:eastAsia="仿宋_GB2312"/>
          <w:sz w:val="32"/>
          <w:szCs w:val="32"/>
        </w:rPr>
      </w:pPr>
      <w:r>
        <w:rPr>
          <w:rFonts w:eastAsia="仿宋_GB2312"/>
          <w:sz w:val="32"/>
          <w:szCs w:val="32"/>
        </w:rPr>
        <w:t>管理体制机制更加健全。应急指挥体系权威高效，应急法规体系落实到位，部门统筹和协调机制持续强化，应急管理系统性、整体性显著增强，应急管理责任链条有效衔接，应急效能不断提升。</w:t>
      </w:r>
    </w:p>
    <w:p>
      <w:pPr>
        <w:spacing w:line="560" w:lineRule="exact"/>
        <w:ind w:firstLine="640" w:firstLineChars="200"/>
        <w:rPr>
          <w:rFonts w:eastAsia="仿宋_GB2312"/>
          <w:sz w:val="32"/>
          <w:szCs w:val="32"/>
        </w:rPr>
      </w:pPr>
      <w:r>
        <w:rPr>
          <w:rFonts w:eastAsia="仿宋_GB2312"/>
          <w:sz w:val="32"/>
          <w:szCs w:val="32"/>
        </w:rPr>
        <w:t>风险防控能力明显增强。防范化解重大安全风险机制不断健全，智慧应急体系初步建设完成，灾害风险早期识别、综合监测和预报预警能力持续提升，全面遏制重特大事故，着力防范较大事故，有效压减一般事故，人民安全得到更全面保障。</w:t>
      </w:r>
    </w:p>
    <w:p>
      <w:pPr>
        <w:spacing w:line="560" w:lineRule="exact"/>
        <w:ind w:firstLine="640" w:firstLineChars="200"/>
        <w:rPr>
          <w:rFonts w:eastAsia="仿宋_GB2312"/>
          <w:sz w:val="32"/>
          <w:szCs w:val="32"/>
        </w:rPr>
      </w:pPr>
      <w:r>
        <w:rPr>
          <w:rFonts w:eastAsia="仿宋_GB2312"/>
          <w:sz w:val="32"/>
          <w:szCs w:val="32"/>
        </w:rPr>
        <w:t>综合保障水平明显提高。应急管理基础设施建设不断完善，主管部门应对突发事故协同处理水平更加成熟，应急物资保障水平稳步提升。</w:t>
      </w:r>
    </w:p>
    <w:p>
      <w:pPr>
        <w:spacing w:line="560" w:lineRule="exact"/>
        <w:ind w:firstLine="640" w:firstLineChars="200"/>
        <w:rPr>
          <w:rFonts w:eastAsia="仿宋_GB2312"/>
          <w:sz w:val="32"/>
          <w:szCs w:val="32"/>
        </w:rPr>
      </w:pPr>
      <w:r>
        <w:rPr>
          <w:rFonts w:eastAsia="仿宋_GB2312"/>
          <w:sz w:val="32"/>
          <w:szCs w:val="32"/>
        </w:rPr>
        <w:t>（3）指标体系</w:t>
      </w:r>
    </w:p>
    <w:p>
      <w:pPr>
        <w:pStyle w:val="2"/>
        <w:spacing w:before="0" w:beforeAutospacing="0" w:after="0" w:line="560" w:lineRule="exact"/>
        <w:jc w:val="center"/>
      </w:pPr>
      <w:r>
        <w:rPr>
          <w:rFonts w:eastAsia="方正小标宋简体"/>
        </w:rPr>
        <w:t>柴桑区应急管理“十四五”规划分类指标</w:t>
      </w:r>
    </w:p>
    <w:tbl>
      <w:tblPr>
        <w:tblStyle w:val="1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05"/>
        <w:gridCol w:w="4079"/>
        <w:gridCol w:w="2126"/>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0" w:type="dxa"/>
            <w:noWrap w:val="0"/>
            <w:vAlign w:val="center"/>
          </w:tcPr>
          <w:p>
            <w:pPr>
              <w:spacing w:line="460" w:lineRule="exact"/>
              <w:jc w:val="center"/>
              <w:rPr>
                <w:rFonts w:eastAsia="黑体"/>
              </w:rPr>
            </w:pPr>
            <w:r>
              <w:rPr>
                <w:rFonts w:eastAsia="黑体"/>
              </w:rPr>
              <w:t>序号</w:t>
            </w:r>
          </w:p>
        </w:tc>
        <w:tc>
          <w:tcPr>
            <w:tcW w:w="705" w:type="dxa"/>
            <w:noWrap w:val="0"/>
            <w:vAlign w:val="center"/>
          </w:tcPr>
          <w:p>
            <w:pPr>
              <w:spacing w:line="460" w:lineRule="exact"/>
              <w:jc w:val="center"/>
              <w:rPr>
                <w:rFonts w:eastAsia="黑体"/>
              </w:rPr>
            </w:pPr>
            <w:r>
              <w:rPr>
                <w:rFonts w:eastAsia="黑体"/>
              </w:rPr>
              <w:t>类别</w:t>
            </w:r>
          </w:p>
        </w:tc>
        <w:tc>
          <w:tcPr>
            <w:tcW w:w="4079" w:type="dxa"/>
            <w:noWrap w:val="0"/>
            <w:vAlign w:val="center"/>
          </w:tcPr>
          <w:p>
            <w:pPr>
              <w:spacing w:line="460" w:lineRule="exact"/>
              <w:jc w:val="center"/>
              <w:rPr>
                <w:rFonts w:eastAsia="黑体"/>
              </w:rPr>
            </w:pPr>
            <w:r>
              <w:rPr>
                <w:rFonts w:eastAsia="黑体"/>
              </w:rPr>
              <w:t>指标名称</w:t>
            </w:r>
          </w:p>
        </w:tc>
        <w:tc>
          <w:tcPr>
            <w:tcW w:w="2126" w:type="dxa"/>
            <w:noWrap w:val="0"/>
            <w:vAlign w:val="center"/>
          </w:tcPr>
          <w:p>
            <w:pPr>
              <w:spacing w:line="460" w:lineRule="exact"/>
              <w:jc w:val="center"/>
              <w:rPr>
                <w:rFonts w:eastAsia="黑体"/>
              </w:rPr>
            </w:pPr>
            <w:r>
              <w:rPr>
                <w:rFonts w:eastAsia="黑体"/>
              </w:rPr>
              <w:t>指标值（2025年）</w:t>
            </w:r>
          </w:p>
        </w:tc>
        <w:tc>
          <w:tcPr>
            <w:tcW w:w="1271" w:type="dxa"/>
            <w:noWrap w:val="0"/>
            <w:vAlign w:val="center"/>
          </w:tcPr>
          <w:p>
            <w:pPr>
              <w:spacing w:line="460" w:lineRule="exact"/>
              <w:jc w:val="center"/>
              <w:rPr>
                <w:rFonts w:eastAsia="黑体"/>
              </w:rPr>
            </w:pPr>
            <w:r>
              <w:rPr>
                <w:rFonts w:eastAsia="黑体"/>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w:t>
            </w:r>
          </w:p>
        </w:tc>
        <w:tc>
          <w:tcPr>
            <w:tcW w:w="705" w:type="dxa"/>
            <w:vMerge w:val="restart"/>
            <w:noWrap w:val="0"/>
            <w:vAlign w:val="center"/>
          </w:tcPr>
          <w:p>
            <w:pPr>
              <w:spacing w:line="460" w:lineRule="exact"/>
              <w:jc w:val="center"/>
              <w:rPr>
                <w:rFonts w:eastAsia="仿宋_GB2312"/>
              </w:rPr>
            </w:pPr>
            <w:r>
              <w:rPr>
                <w:rFonts w:eastAsia="仿宋_GB2312"/>
              </w:rPr>
              <w:t>安全生产</w:t>
            </w:r>
          </w:p>
        </w:tc>
        <w:tc>
          <w:tcPr>
            <w:tcW w:w="4079" w:type="dxa"/>
            <w:noWrap w:val="0"/>
            <w:vAlign w:val="center"/>
          </w:tcPr>
          <w:p>
            <w:pPr>
              <w:spacing w:line="460" w:lineRule="exact"/>
              <w:jc w:val="center"/>
              <w:rPr>
                <w:rFonts w:eastAsia="仿宋_GB2312"/>
              </w:rPr>
            </w:pPr>
            <w:r>
              <w:rPr>
                <w:rFonts w:eastAsia="仿宋_GB2312"/>
              </w:rPr>
              <w:t>生产安全事故总起数</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生产安全事故死亡人数</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3</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亿元全区生产总值生产安全事故死亡率</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4</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工矿商贸就业人员十万人生产安全事故死亡率</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5</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道路交通万车死亡率</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6</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年度10万人口火灾死亡率</w:t>
            </w:r>
          </w:p>
        </w:tc>
        <w:tc>
          <w:tcPr>
            <w:tcW w:w="2126" w:type="dxa"/>
            <w:noWrap w:val="0"/>
            <w:vAlign w:val="center"/>
          </w:tcPr>
          <w:p>
            <w:pPr>
              <w:spacing w:line="460" w:lineRule="exact"/>
              <w:jc w:val="center"/>
              <w:rPr>
                <w:rFonts w:eastAsia="仿宋_GB2312"/>
              </w:rPr>
            </w:pPr>
            <w:r>
              <w:rPr>
                <w:rFonts w:eastAsia="仿宋_GB2312"/>
              </w:rPr>
              <w:t>低于0.01%</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7</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建筑从业人员10 万人生产安全事故</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8</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重大隐患治理情况</w:t>
            </w:r>
          </w:p>
        </w:tc>
        <w:tc>
          <w:tcPr>
            <w:tcW w:w="2126" w:type="dxa"/>
            <w:noWrap w:val="0"/>
            <w:vAlign w:val="center"/>
          </w:tcPr>
          <w:p>
            <w:pPr>
              <w:spacing w:line="460" w:lineRule="exact"/>
              <w:jc w:val="center"/>
              <w:rPr>
                <w:rFonts w:eastAsia="仿宋_GB2312"/>
              </w:rPr>
            </w:pPr>
            <w:r>
              <w:rPr>
                <w:rFonts w:eastAsia="仿宋_GB2312"/>
              </w:rPr>
              <w:t>及时治理</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9</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安全生产“三同时”设施完成率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10</w:t>
            </w:r>
          </w:p>
        </w:tc>
        <w:tc>
          <w:tcPr>
            <w:tcW w:w="705" w:type="dxa"/>
            <w:vMerge w:val="restart"/>
            <w:noWrap w:val="0"/>
            <w:vAlign w:val="center"/>
          </w:tcPr>
          <w:p>
            <w:pPr>
              <w:spacing w:line="460" w:lineRule="exact"/>
              <w:jc w:val="center"/>
              <w:rPr>
                <w:rFonts w:eastAsia="仿宋_GB2312"/>
              </w:rPr>
            </w:pPr>
            <w:r>
              <w:rPr>
                <w:rFonts w:eastAsia="仿宋_GB2312"/>
              </w:rPr>
              <w:t>防灾减灾</w:t>
            </w:r>
          </w:p>
        </w:tc>
        <w:tc>
          <w:tcPr>
            <w:tcW w:w="4079" w:type="dxa"/>
            <w:noWrap w:val="0"/>
            <w:vAlign w:val="center"/>
          </w:tcPr>
          <w:p>
            <w:pPr>
              <w:spacing w:line="460" w:lineRule="exact"/>
              <w:jc w:val="center"/>
              <w:rPr>
                <w:rFonts w:eastAsia="仿宋_GB2312"/>
                <w:sz w:val="18"/>
                <w:szCs w:val="18"/>
              </w:rPr>
            </w:pPr>
            <w:r>
              <w:rPr>
                <w:rFonts w:eastAsia="仿宋_GB2312"/>
                <w:sz w:val="18"/>
                <w:szCs w:val="18"/>
              </w:rPr>
              <w:t>年均因灾直接经济损失占全区生产总值比例</w:t>
            </w:r>
          </w:p>
        </w:tc>
        <w:tc>
          <w:tcPr>
            <w:tcW w:w="2126" w:type="dxa"/>
            <w:noWrap w:val="0"/>
            <w:vAlign w:val="center"/>
          </w:tcPr>
          <w:p>
            <w:pPr>
              <w:spacing w:line="460" w:lineRule="exact"/>
              <w:jc w:val="center"/>
              <w:rPr>
                <w:rFonts w:eastAsia="仿宋_GB2312"/>
              </w:rPr>
            </w:pPr>
            <w:r>
              <w:rPr>
                <w:rFonts w:eastAsia="仿宋_GB2312"/>
              </w:rPr>
              <w:t>&lt;1.00%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11</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年均每百万人口因自然灾害死亡率</w:t>
            </w:r>
          </w:p>
        </w:tc>
        <w:tc>
          <w:tcPr>
            <w:tcW w:w="2126" w:type="dxa"/>
            <w:noWrap w:val="0"/>
            <w:vAlign w:val="center"/>
          </w:tcPr>
          <w:p>
            <w:pPr>
              <w:spacing w:line="460" w:lineRule="exact"/>
              <w:jc w:val="center"/>
              <w:rPr>
                <w:rFonts w:eastAsia="仿宋_GB2312"/>
              </w:rPr>
            </w:pPr>
            <w:r>
              <w:rPr>
                <w:rFonts w:eastAsia="仿宋_GB2312"/>
              </w:rPr>
              <w:t>&lt;1%</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12</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年均每十万人受灾人次</w:t>
            </w:r>
          </w:p>
        </w:tc>
        <w:tc>
          <w:tcPr>
            <w:tcW w:w="2126" w:type="dxa"/>
            <w:noWrap w:val="0"/>
            <w:vAlign w:val="center"/>
          </w:tcPr>
          <w:p>
            <w:pPr>
              <w:spacing w:line="460" w:lineRule="exact"/>
              <w:jc w:val="center"/>
              <w:rPr>
                <w:rFonts w:eastAsia="仿宋_GB2312"/>
              </w:rPr>
            </w:pPr>
            <w:r>
              <w:rPr>
                <w:rFonts w:eastAsia="仿宋_GB2312"/>
              </w:rPr>
              <w:t>&lt;15000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13</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主要河流控制断面洪水预警发布率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0" w:type="dxa"/>
            <w:noWrap w:val="0"/>
            <w:vAlign w:val="center"/>
          </w:tcPr>
          <w:p>
            <w:pPr>
              <w:spacing w:line="460" w:lineRule="exact"/>
              <w:jc w:val="center"/>
              <w:rPr>
                <w:rFonts w:eastAsia="仿宋_GB2312"/>
              </w:rPr>
            </w:pPr>
            <w:r>
              <w:rPr>
                <w:rFonts w:eastAsia="仿宋_GB2312"/>
              </w:rPr>
              <w:t>14</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暴雨预警准确度</w:t>
            </w:r>
          </w:p>
        </w:tc>
        <w:tc>
          <w:tcPr>
            <w:tcW w:w="2126" w:type="dxa"/>
            <w:noWrap w:val="0"/>
            <w:vAlign w:val="center"/>
          </w:tcPr>
          <w:p>
            <w:pPr>
              <w:spacing w:line="460" w:lineRule="exact"/>
              <w:jc w:val="center"/>
              <w:rPr>
                <w:rFonts w:eastAsia="仿宋_GB2312"/>
              </w:rPr>
            </w:pPr>
            <w:r>
              <w:rPr>
                <w:rFonts w:eastAsia="仿宋_GB2312"/>
              </w:rPr>
              <w:t>≥80%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15</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地震基本参数自动速报时效</w:t>
            </w:r>
          </w:p>
        </w:tc>
        <w:tc>
          <w:tcPr>
            <w:tcW w:w="2126" w:type="dxa"/>
            <w:noWrap w:val="0"/>
            <w:vAlign w:val="center"/>
          </w:tcPr>
          <w:p>
            <w:pPr>
              <w:spacing w:line="460" w:lineRule="exact"/>
              <w:jc w:val="center"/>
              <w:rPr>
                <w:rFonts w:eastAsia="仿宋_GB2312"/>
              </w:rPr>
            </w:pPr>
            <w:r>
              <w:rPr>
                <w:rFonts w:eastAsia="仿宋_GB2312"/>
              </w:rPr>
              <w:t>≤1分钟</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16</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重点区域林火</w:t>
            </w:r>
            <w:r>
              <w:t>瞭</w:t>
            </w:r>
            <w:r>
              <w:rPr>
                <w:rFonts w:eastAsia="仿宋_GB2312"/>
              </w:rPr>
              <w:t>望监测覆盖率</w:t>
            </w:r>
          </w:p>
        </w:tc>
        <w:tc>
          <w:tcPr>
            <w:tcW w:w="2126" w:type="dxa"/>
            <w:noWrap w:val="0"/>
            <w:vAlign w:val="center"/>
          </w:tcPr>
          <w:p>
            <w:pPr>
              <w:spacing w:line="460" w:lineRule="exact"/>
              <w:jc w:val="center"/>
              <w:rPr>
                <w:rFonts w:eastAsia="仿宋_GB2312"/>
              </w:rPr>
            </w:pPr>
            <w:r>
              <w:rPr>
                <w:rFonts w:eastAsia="仿宋_GB2312"/>
              </w:rPr>
              <w:t>≥90%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17</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森林火灾受害率</w:t>
            </w:r>
          </w:p>
        </w:tc>
        <w:tc>
          <w:tcPr>
            <w:tcW w:w="2126" w:type="dxa"/>
            <w:noWrap w:val="0"/>
            <w:vAlign w:val="center"/>
          </w:tcPr>
          <w:p>
            <w:pPr>
              <w:spacing w:line="460" w:lineRule="exact"/>
              <w:jc w:val="center"/>
              <w:rPr>
                <w:rFonts w:eastAsia="仿宋_GB2312"/>
              </w:rPr>
            </w:pPr>
            <w:r>
              <w:rPr>
                <w:rFonts w:eastAsia="仿宋_GB2312"/>
              </w:rPr>
              <w:t>≤1%</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18</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受灾群众基本生活初步救助时间</w:t>
            </w:r>
          </w:p>
        </w:tc>
        <w:tc>
          <w:tcPr>
            <w:tcW w:w="2126" w:type="dxa"/>
            <w:noWrap w:val="0"/>
            <w:vAlign w:val="center"/>
          </w:tcPr>
          <w:p>
            <w:pPr>
              <w:spacing w:line="460" w:lineRule="exact"/>
              <w:jc w:val="center"/>
              <w:rPr>
                <w:rFonts w:eastAsia="仿宋_GB2312"/>
              </w:rPr>
            </w:pPr>
            <w:r>
              <w:rPr>
                <w:rFonts w:eastAsia="仿宋_GB2312"/>
              </w:rPr>
              <w:t>&lt;8小时</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19</w:t>
            </w:r>
          </w:p>
        </w:tc>
        <w:tc>
          <w:tcPr>
            <w:tcW w:w="705" w:type="dxa"/>
            <w:vMerge w:val="restart"/>
            <w:noWrap w:val="0"/>
            <w:vAlign w:val="center"/>
          </w:tcPr>
          <w:p>
            <w:pPr>
              <w:spacing w:line="460" w:lineRule="exact"/>
              <w:jc w:val="center"/>
              <w:rPr>
                <w:rFonts w:eastAsia="仿宋_GB2312"/>
              </w:rPr>
            </w:pPr>
            <w:r>
              <w:rPr>
                <w:rFonts w:eastAsia="仿宋_GB2312"/>
              </w:rPr>
              <w:t>应急救援</w:t>
            </w:r>
          </w:p>
        </w:tc>
        <w:tc>
          <w:tcPr>
            <w:tcW w:w="4079" w:type="dxa"/>
            <w:noWrap w:val="0"/>
            <w:vAlign w:val="center"/>
          </w:tcPr>
          <w:p>
            <w:pPr>
              <w:spacing w:line="460" w:lineRule="exact"/>
              <w:jc w:val="center"/>
              <w:rPr>
                <w:rFonts w:eastAsia="仿宋_GB2312"/>
              </w:rPr>
            </w:pPr>
            <w:r>
              <w:rPr>
                <w:rFonts w:eastAsia="仿宋_GB2312"/>
              </w:rPr>
              <w:t>灾害事故信息发布公众覆盖率</w:t>
            </w:r>
          </w:p>
        </w:tc>
        <w:tc>
          <w:tcPr>
            <w:tcW w:w="2126" w:type="dxa"/>
            <w:noWrap w:val="0"/>
            <w:vAlign w:val="center"/>
          </w:tcPr>
          <w:p>
            <w:pPr>
              <w:spacing w:line="460" w:lineRule="exact"/>
              <w:jc w:val="center"/>
              <w:rPr>
                <w:rFonts w:eastAsia="仿宋_GB2312"/>
              </w:rPr>
            </w:pPr>
            <w:r>
              <w:rPr>
                <w:rFonts w:eastAsia="仿宋_GB2312"/>
              </w:rPr>
              <w:t>≥95%</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20</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灾害事故救援现场应急通信保障率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21</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森林消防应急队伍达标率</w:t>
            </w:r>
          </w:p>
        </w:tc>
        <w:tc>
          <w:tcPr>
            <w:tcW w:w="2126" w:type="dxa"/>
            <w:noWrap w:val="0"/>
            <w:vAlign w:val="center"/>
          </w:tcPr>
          <w:p>
            <w:pPr>
              <w:spacing w:line="460" w:lineRule="exact"/>
              <w:jc w:val="center"/>
              <w:rPr>
                <w:rFonts w:eastAsia="仿宋_GB2312"/>
              </w:rPr>
            </w:pPr>
            <w:r>
              <w:rPr>
                <w:rFonts w:eastAsia="仿宋_GB2312"/>
              </w:rPr>
              <w:t>≥90%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22</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内河应急处置现场到达时间</w:t>
            </w:r>
          </w:p>
        </w:tc>
        <w:tc>
          <w:tcPr>
            <w:tcW w:w="2126" w:type="dxa"/>
            <w:noWrap w:val="0"/>
            <w:vAlign w:val="center"/>
          </w:tcPr>
          <w:p>
            <w:pPr>
              <w:spacing w:line="460" w:lineRule="exact"/>
              <w:jc w:val="center"/>
              <w:rPr>
                <w:rFonts w:eastAsia="仿宋_GB2312"/>
              </w:rPr>
            </w:pPr>
            <w:r>
              <w:rPr>
                <w:rFonts w:eastAsia="仿宋_GB2312"/>
              </w:rPr>
              <w:t>&lt;1小时</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23</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24小时森林火灾扑灭率</w:t>
            </w:r>
          </w:p>
        </w:tc>
        <w:tc>
          <w:tcPr>
            <w:tcW w:w="2126" w:type="dxa"/>
            <w:noWrap w:val="0"/>
            <w:vAlign w:val="center"/>
          </w:tcPr>
          <w:p>
            <w:pPr>
              <w:spacing w:line="460" w:lineRule="exact"/>
              <w:jc w:val="center"/>
              <w:rPr>
                <w:rFonts w:eastAsia="仿宋_GB2312"/>
              </w:rPr>
            </w:pPr>
            <w:r>
              <w:rPr>
                <w:rFonts w:eastAsia="仿宋_GB2312"/>
              </w:rPr>
              <w:t>≥95%</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24</w:t>
            </w:r>
          </w:p>
        </w:tc>
        <w:tc>
          <w:tcPr>
            <w:tcW w:w="705" w:type="dxa"/>
            <w:vMerge w:val="restart"/>
            <w:noWrap w:val="0"/>
            <w:vAlign w:val="center"/>
          </w:tcPr>
          <w:p>
            <w:pPr>
              <w:spacing w:line="460" w:lineRule="exact"/>
              <w:jc w:val="center"/>
              <w:rPr>
                <w:rFonts w:eastAsia="仿宋_GB2312"/>
              </w:rPr>
            </w:pPr>
            <w:r>
              <w:rPr>
                <w:rFonts w:eastAsia="仿宋_GB2312"/>
              </w:rPr>
              <w:t>综合</w:t>
            </w:r>
          </w:p>
        </w:tc>
        <w:tc>
          <w:tcPr>
            <w:tcW w:w="4079" w:type="dxa"/>
            <w:noWrap w:val="0"/>
            <w:vAlign w:val="center"/>
          </w:tcPr>
          <w:p>
            <w:pPr>
              <w:spacing w:line="460" w:lineRule="exact"/>
              <w:jc w:val="center"/>
              <w:rPr>
                <w:rFonts w:eastAsia="仿宋_GB2312"/>
              </w:rPr>
            </w:pPr>
            <w:r>
              <w:rPr>
                <w:rFonts w:eastAsia="仿宋_GB2312"/>
              </w:rPr>
              <w:t>各部门应急预案修订率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25</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基层应急管理机构工作条件达标率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26</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应急管理干部专业培训率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pPr>
              <w:spacing w:line="460" w:lineRule="exact"/>
              <w:jc w:val="center"/>
              <w:rPr>
                <w:rFonts w:eastAsia="仿宋_GB2312"/>
              </w:rPr>
            </w:pPr>
            <w:r>
              <w:rPr>
                <w:rFonts w:eastAsia="仿宋_GB2312"/>
              </w:rPr>
              <w:t>27</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应急管理执法信息系统使用率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bl>
    <w:p>
      <w:pPr>
        <w:spacing w:line="550" w:lineRule="exact"/>
        <w:ind w:firstLine="640" w:firstLineChars="200"/>
        <w:rPr>
          <w:rFonts w:eastAsia="仿宋_GB2312"/>
          <w:sz w:val="32"/>
          <w:szCs w:val="32"/>
        </w:rPr>
      </w:pPr>
      <w:r>
        <w:rPr>
          <w:rFonts w:eastAsia="仿宋_GB2312"/>
          <w:sz w:val="32"/>
          <w:szCs w:val="32"/>
        </w:rPr>
        <w:t>注：生产安全事故类指标下降幅度以2020年数据为基准值。</w:t>
      </w:r>
    </w:p>
    <w:p>
      <w:pPr>
        <w:spacing w:line="550" w:lineRule="exact"/>
        <w:ind w:firstLine="640" w:firstLineChars="200"/>
        <w:rPr>
          <w:rFonts w:eastAsia="黑体"/>
          <w:sz w:val="32"/>
          <w:szCs w:val="32"/>
        </w:rPr>
      </w:pPr>
      <w:bookmarkStart w:id="22" w:name="_Toc113052438"/>
      <w:bookmarkEnd w:id="22"/>
      <w:r>
        <w:rPr>
          <w:rFonts w:eastAsia="黑体"/>
          <w:sz w:val="32"/>
          <w:szCs w:val="32"/>
        </w:rPr>
        <w:t>三、全力推进应急治理体系能力现代化</w:t>
      </w:r>
    </w:p>
    <w:p>
      <w:pPr>
        <w:spacing w:line="550" w:lineRule="exact"/>
        <w:ind w:firstLine="643" w:firstLineChars="200"/>
        <w:rPr>
          <w:rFonts w:eastAsia="楷体_GB2312"/>
          <w:b/>
          <w:sz w:val="32"/>
          <w:szCs w:val="32"/>
        </w:rPr>
      </w:pPr>
      <w:bookmarkStart w:id="23" w:name="_Toc113052439"/>
      <w:bookmarkEnd w:id="23"/>
      <w:r>
        <w:rPr>
          <w:rFonts w:eastAsia="楷体_GB2312"/>
          <w:b/>
          <w:sz w:val="32"/>
          <w:szCs w:val="32"/>
        </w:rPr>
        <w:t>（一）健全应急管理体制</w:t>
      </w:r>
    </w:p>
    <w:p>
      <w:pPr>
        <w:spacing w:line="550" w:lineRule="exact"/>
        <w:ind w:firstLine="640" w:firstLineChars="200"/>
        <w:rPr>
          <w:rFonts w:eastAsia="仿宋_GB2312"/>
          <w:sz w:val="32"/>
          <w:szCs w:val="32"/>
        </w:rPr>
      </w:pPr>
      <w:r>
        <w:rPr>
          <w:rFonts w:eastAsia="仿宋_GB2312"/>
          <w:sz w:val="32"/>
          <w:szCs w:val="32"/>
        </w:rPr>
        <w:t>健全完善统一领导、综合协调工作体制。深入学习《中共中央关于坚持和完善中国特色社会主义制度、推进国家治理体系和治理能力现代化若干重大问题的决定》等重要文章，对标党中央国务院、省委省政府关于推进治理体系和治理能力现代化的意见，建立完善各级党委政府领导下的应急管理体系，适应新时代“大安全”、“大减灾”、“大应急”需要，构建全区统一领导、权责一致、权威高效的应急能力体系，推动形成统一指挥、专常兼备、反应灵敏、上下联动、平战结合的应急管理体制。</w:t>
      </w:r>
    </w:p>
    <w:p>
      <w:pPr>
        <w:spacing w:line="550" w:lineRule="exact"/>
        <w:ind w:firstLine="640" w:firstLineChars="200"/>
        <w:rPr>
          <w:rFonts w:eastAsia="仿宋_GB2312"/>
          <w:sz w:val="32"/>
          <w:szCs w:val="32"/>
        </w:rPr>
      </w:pPr>
      <w:r>
        <w:rPr>
          <w:rFonts w:eastAsia="仿宋_GB2312"/>
          <w:sz w:val="32"/>
          <w:szCs w:val="32"/>
        </w:rPr>
        <w:t>健全完善分类管理、分工负责工作体制。推动成立区应急委员会和应急管理总指挥部，规范设置安全生产、自然灾害等领域的专项指挥协调机构，组建各级应急指挥部，统筹应对各类突发事件，协调推进应急管理体系和能力建设。充分发挥各行业领域主管部门专业优势，负责本行业领域灾害事故风险防范、监测预警和突发事件先期应对处置工作。</w:t>
      </w:r>
    </w:p>
    <w:p>
      <w:pPr>
        <w:spacing w:line="550" w:lineRule="exact"/>
        <w:ind w:firstLine="640" w:firstLineChars="200"/>
        <w:rPr>
          <w:rFonts w:eastAsia="仿宋_GB2312"/>
          <w:sz w:val="32"/>
          <w:szCs w:val="32"/>
        </w:rPr>
      </w:pPr>
      <w:r>
        <w:rPr>
          <w:rFonts w:eastAsia="仿宋_GB2312"/>
          <w:sz w:val="32"/>
          <w:szCs w:val="32"/>
        </w:rPr>
        <w:t>健全完善分级负责、属地管理工作体制。明确区、乡（镇、场、街道）两级应对事故和灾害的事权划分。落实灾区统一指挥事故救援、防灾减灾、灾害救助等应急处置责任。落实乡（镇、场、街道）、企事业单位应急管理、安全生产和防灾减灾救灾工作责任。</w:t>
      </w:r>
    </w:p>
    <w:p>
      <w:pPr>
        <w:spacing w:line="550" w:lineRule="exact"/>
        <w:ind w:firstLine="640" w:firstLineChars="200"/>
        <w:rPr>
          <w:rFonts w:eastAsia="仿宋_GB2312"/>
          <w:sz w:val="32"/>
          <w:szCs w:val="32"/>
        </w:rPr>
      </w:pPr>
      <w:r>
        <w:rPr>
          <w:rFonts w:eastAsia="仿宋_GB2312"/>
          <w:sz w:val="32"/>
          <w:szCs w:val="32"/>
        </w:rPr>
        <w:t>建立和完善天气会商研判机制。在防汛抗旱防台、森林火险应急响应期间，坚持每日与气象、水利等相关单位进行会商，实现气象、水文等相关数据的实时分享，及时掌握各项数据动态，为开展防御工作做决策支撑，及时、准确的指导各地开展防御工作。</w:t>
      </w:r>
    </w:p>
    <w:p>
      <w:pPr>
        <w:spacing w:line="550" w:lineRule="exact"/>
        <w:ind w:firstLine="643" w:firstLineChars="200"/>
        <w:rPr>
          <w:rFonts w:eastAsia="楷体_GB2312"/>
          <w:b/>
          <w:sz w:val="32"/>
          <w:szCs w:val="32"/>
        </w:rPr>
      </w:pPr>
      <w:bookmarkStart w:id="24" w:name="_Toc113052440"/>
      <w:bookmarkEnd w:id="24"/>
      <w:r>
        <w:rPr>
          <w:rFonts w:eastAsia="楷体_GB2312"/>
          <w:b/>
          <w:sz w:val="32"/>
          <w:szCs w:val="32"/>
        </w:rPr>
        <w:t>（二）完善应急管理机制</w:t>
      </w:r>
    </w:p>
    <w:p>
      <w:pPr>
        <w:spacing w:line="550" w:lineRule="exact"/>
        <w:ind w:firstLine="640" w:firstLineChars="200"/>
        <w:rPr>
          <w:rFonts w:eastAsia="仿宋_GB2312"/>
          <w:sz w:val="32"/>
          <w:szCs w:val="32"/>
        </w:rPr>
      </w:pPr>
      <w:r>
        <w:rPr>
          <w:rFonts w:eastAsia="仿宋_GB2312"/>
          <w:sz w:val="32"/>
          <w:szCs w:val="32"/>
        </w:rPr>
        <w:t>完善部门协调联动机制。充分整合各种应急资源，发挥好应急管理部门的综合优势和各相关部门的专业优势，加强预案联动、信息联动、队伍联动、物资联动，重点抓好突发事件信息共享、紧急敏感事件会商评估、安全隐患联合整治、突发事件新闻报道和舆情回应快速反应等工作，形成应急处置强大合力。</w:t>
      </w:r>
    </w:p>
    <w:p>
      <w:pPr>
        <w:spacing w:line="550" w:lineRule="exact"/>
        <w:ind w:firstLine="640" w:firstLineChars="200"/>
        <w:rPr>
          <w:rFonts w:eastAsia="仿宋_GB2312"/>
          <w:sz w:val="32"/>
          <w:szCs w:val="32"/>
        </w:rPr>
      </w:pPr>
      <w:r>
        <w:rPr>
          <w:rFonts w:eastAsia="仿宋_GB2312"/>
          <w:sz w:val="32"/>
          <w:szCs w:val="32"/>
        </w:rPr>
        <w:t>完善军地协调联动机制。明确军地应急抢险职责分工，军队参加抢险救灾行动需地方党委、政府统一领导，应急管理部门承担灾害应急指挥部工作，通过灾害应急加强军地协作。结合应急指挥平台建设实施，强化军地应急联络沟通，进一步完善兵力提报机制，落实救灾物资、地质资料等应急保障工作，实现军地协同抢险救灾。</w:t>
      </w:r>
    </w:p>
    <w:p>
      <w:pPr>
        <w:spacing w:line="550" w:lineRule="exact"/>
        <w:ind w:firstLine="640" w:firstLineChars="200"/>
        <w:rPr>
          <w:rFonts w:eastAsia="仿宋_GB2312"/>
          <w:sz w:val="32"/>
          <w:szCs w:val="32"/>
        </w:rPr>
      </w:pPr>
      <w:r>
        <w:rPr>
          <w:rFonts w:eastAsia="仿宋_GB2312"/>
          <w:sz w:val="32"/>
          <w:szCs w:val="32"/>
        </w:rPr>
        <w:t>完善社会力量协同机制。培育扶持社会防灾减灾救灾力量，鼓励社会力量全方位参与防灾减灾救灾，开展各类应急队伍联合培训和演练，强化社会力量在风险防范、损失补偿、恢复重建等方面的积极作用。</w:t>
      </w:r>
    </w:p>
    <w:p>
      <w:pPr>
        <w:spacing w:line="550" w:lineRule="exact"/>
        <w:ind w:firstLine="643" w:firstLineChars="200"/>
        <w:rPr>
          <w:rFonts w:eastAsia="楷体_GB2312"/>
          <w:b/>
          <w:sz w:val="32"/>
          <w:szCs w:val="32"/>
        </w:rPr>
      </w:pPr>
      <w:bookmarkStart w:id="25" w:name="_Toc113052441"/>
      <w:bookmarkEnd w:id="25"/>
      <w:r>
        <w:rPr>
          <w:rFonts w:eastAsia="楷体_GB2312"/>
          <w:b/>
          <w:sz w:val="32"/>
          <w:szCs w:val="32"/>
        </w:rPr>
        <w:t>（三）强化应急责任体系</w:t>
      </w:r>
    </w:p>
    <w:p>
      <w:pPr>
        <w:spacing w:line="550" w:lineRule="exact"/>
        <w:ind w:firstLine="640" w:firstLineChars="200"/>
        <w:rPr>
          <w:rFonts w:eastAsia="仿宋_GB2312"/>
          <w:sz w:val="32"/>
          <w:szCs w:val="32"/>
        </w:rPr>
      </w:pPr>
      <w:r>
        <w:rPr>
          <w:rFonts w:eastAsia="仿宋_GB2312"/>
          <w:sz w:val="32"/>
          <w:szCs w:val="32"/>
        </w:rPr>
        <w:t>严格落实党政领导干部责任。督促各级党委政府切实担负“促一方发展、保一方平安”的政治责任，严格落实“党政同责、一岗双责、齐抓共管、失职追责”地方党政领导干部应急管理责任制。将应急管理工作纳入地方经济社会发展、领导干部政绩、部门绩效等考核内容，持续优化考核权重，发挥考核的导向作用。各级党委政府定期专题研究安全生产、防灾减灾救灾等应急管理工作，及时协调解决重点难点问题，切实落实重大安全风险防控责任。</w:t>
      </w:r>
    </w:p>
    <w:p>
      <w:pPr>
        <w:spacing w:line="550" w:lineRule="exact"/>
        <w:ind w:firstLine="640" w:firstLineChars="200"/>
        <w:rPr>
          <w:rFonts w:eastAsia="仿宋_GB2312"/>
          <w:sz w:val="32"/>
          <w:szCs w:val="32"/>
        </w:rPr>
      </w:pPr>
      <w:r>
        <w:rPr>
          <w:rFonts w:eastAsia="仿宋_GB2312"/>
          <w:sz w:val="32"/>
          <w:szCs w:val="32"/>
        </w:rPr>
        <w:t>严格落实行业部门监管责任。按照“管行业必须管安全、管业务必须管安全、管生产经营必须管安全”的要求，完善部门监管职责动态完善机制，加强新产业、新业态、新领域安全监管，消除监管盲区。统筹推进行业部门落实自然灾害防治责任，加强监督考核，健全风险提示单、整改报告单等督导落实制度，提升灾害风险防范化解能力和救早救小处置能力。推动区政府组织负有安全生产监督管理职责的部门依法编制安全生产权力和责任清单，公开并接受社会监督。</w:t>
      </w:r>
    </w:p>
    <w:p>
      <w:pPr>
        <w:spacing w:line="550" w:lineRule="exact"/>
        <w:ind w:firstLine="640" w:firstLineChars="200"/>
        <w:rPr>
          <w:rFonts w:eastAsia="仿宋_GB2312"/>
          <w:sz w:val="32"/>
          <w:szCs w:val="32"/>
        </w:rPr>
      </w:pPr>
      <w:r>
        <w:rPr>
          <w:rFonts w:eastAsia="仿宋_GB2312"/>
          <w:sz w:val="32"/>
          <w:szCs w:val="32"/>
        </w:rPr>
        <w:t>全面明确属地管理职责。完善分级负责、属地管理的应急管理体制，推动整合职能和配足配强人员。完善区、乡（镇、场、街道）两级应急管理事权、财权划分，细化明确各级管理机构在应对各类突发事件中的工作职责。严格监管执法，加强基层监管执法力度。</w:t>
      </w:r>
    </w:p>
    <w:p>
      <w:pPr>
        <w:spacing w:line="550" w:lineRule="exact"/>
        <w:ind w:firstLine="640" w:firstLineChars="200"/>
        <w:rPr>
          <w:rFonts w:eastAsia="仿宋_GB2312"/>
          <w:sz w:val="32"/>
          <w:szCs w:val="32"/>
        </w:rPr>
      </w:pPr>
      <w:r>
        <w:rPr>
          <w:rFonts w:eastAsia="仿宋_GB2312"/>
          <w:sz w:val="32"/>
          <w:szCs w:val="32"/>
        </w:rPr>
        <w:t>持续完善企业安全生产责任制。健全完善并严格落实企业安全生产全员责任制、全过程安全责任追溯制度，落实企业法定代表人、实际控制人、主要负责人安全生产第一责任人的责任，切实做到安全责任、安全管理、安全投入、安全培训、应急救援“五到位”。全面实施工业企业安全生产风险报告制度，深化隐患排查、风险管控制度，全面落实安全风险分级管控与隐患排查治理。有效发挥安全生产信用监管、安全生产责任保障、安全风险隐患有奖举报等作用，推动企业切实担起主体责任。</w:t>
      </w:r>
    </w:p>
    <w:p>
      <w:pPr>
        <w:spacing w:line="550" w:lineRule="exact"/>
        <w:ind w:firstLine="643" w:firstLineChars="200"/>
        <w:rPr>
          <w:rFonts w:eastAsia="楷体_GB2312"/>
          <w:b/>
          <w:sz w:val="32"/>
          <w:szCs w:val="32"/>
        </w:rPr>
      </w:pPr>
      <w:bookmarkStart w:id="26" w:name="_Toc113052442"/>
      <w:bookmarkEnd w:id="26"/>
      <w:r>
        <w:rPr>
          <w:rFonts w:eastAsia="楷体_GB2312"/>
          <w:b/>
          <w:sz w:val="32"/>
          <w:szCs w:val="32"/>
        </w:rPr>
        <w:t>（四）加强基层应急能力建设</w:t>
      </w:r>
    </w:p>
    <w:p>
      <w:pPr>
        <w:spacing w:line="550" w:lineRule="exact"/>
        <w:ind w:firstLine="640" w:firstLineChars="200"/>
        <w:rPr>
          <w:rFonts w:eastAsia="仿宋_GB2312"/>
          <w:sz w:val="32"/>
          <w:szCs w:val="32"/>
        </w:rPr>
      </w:pPr>
      <w:r>
        <w:rPr>
          <w:rFonts w:eastAsia="仿宋_GB2312"/>
          <w:sz w:val="32"/>
          <w:szCs w:val="32"/>
        </w:rPr>
        <w:t>推进应急管理网格化管理。根据江西省《关于加强基层应急管理体系和能力建设的意见》的要求，推进城乡社区和功能区网格化管理，促进网格化与基层群众自治有机衔接。整合现有的山洪地质灾害群测群防员、小型水库堤防安全管理员、护林员、灾情信息员、安全生产管理员、气象信息员、地震宏观观测员、防震减灾助理员等网格资源，加强与综治、消防网格员融合，实现资源共享，一体化推进综合性应急管理网格队伍建设。将安全生产、防灾减灾救灾、应急救援等纳入网格重要工作内容，构建应急管理网格化管控体系，推动联防联控、群防群治、全社会共同参与，打造共建共治共享的应急管理格局。</w:t>
      </w:r>
    </w:p>
    <w:p>
      <w:pPr>
        <w:spacing w:line="550" w:lineRule="exact"/>
        <w:ind w:firstLine="640" w:firstLineChars="200"/>
        <w:rPr>
          <w:rFonts w:eastAsia="仿宋_GB2312"/>
          <w:sz w:val="32"/>
          <w:szCs w:val="32"/>
        </w:rPr>
      </w:pPr>
      <w:r>
        <w:rPr>
          <w:rFonts w:eastAsia="仿宋_GB2312"/>
          <w:sz w:val="32"/>
          <w:szCs w:val="32"/>
        </w:rPr>
        <w:t>完善基层应急管理工作机制。配齐工作人员，原则上每个乡（镇、场、街道）至少配备2-3名专兼职应急管理人员，每个行政村（社区）、应急管理网格至少配备1名专兼职应急管理人员。乡（镇、场、街道）以辖区内可调动的应急队伍力量为基础，组建一支不少于30人的应急救援队伍。行政村（社区）组建一支不少于10人的应急救援力量，负责灾害事故先期处置、受困群众救援、受威胁群众转移撤离等工作。乡（镇、场、街道）要制定一套应急管理制度、一套应急工作机制、一套应急预案、一张应急管理网格表、一张安全生产和自然灾害重大风险分布图、一套安全生产事故和自然灾害重点隐患台账、一张安全转移避险路线图、一批监测预警设备、一批警示教育宣传牌、一套应急救援培训和演练计划，夯实辖区内应急管理基础性工作。将基层应急管理体系和能力建设工作纳入市县高质量发展综合绩效考核评价体系。建立事故灾害风险隐患举报奖励机制，推动基层应急管理向好发展。</w:t>
      </w:r>
    </w:p>
    <w:p>
      <w:pPr>
        <w:spacing w:line="550" w:lineRule="exact"/>
        <w:ind w:firstLine="640" w:firstLineChars="200"/>
        <w:rPr>
          <w:rFonts w:eastAsia="黑体"/>
          <w:sz w:val="32"/>
          <w:szCs w:val="32"/>
        </w:rPr>
      </w:pPr>
      <w:bookmarkStart w:id="27" w:name="_Toc113052443"/>
      <w:bookmarkEnd w:id="27"/>
      <w:r>
        <w:rPr>
          <w:rFonts w:eastAsia="黑体"/>
          <w:sz w:val="32"/>
          <w:szCs w:val="32"/>
        </w:rPr>
        <w:t>四、健全安全风险防控体系</w:t>
      </w:r>
    </w:p>
    <w:p>
      <w:pPr>
        <w:spacing w:line="550" w:lineRule="exact"/>
        <w:ind w:firstLine="643" w:firstLineChars="200"/>
        <w:rPr>
          <w:rFonts w:eastAsia="楷体_GB2312"/>
          <w:b/>
          <w:sz w:val="32"/>
          <w:szCs w:val="32"/>
        </w:rPr>
      </w:pPr>
      <w:bookmarkStart w:id="28" w:name="_Toc113052444"/>
      <w:bookmarkEnd w:id="28"/>
      <w:r>
        <w:rPr>
          <w:rFonts w:eastAsia="楷体_GB2312"/>
          <w:b/>
          <w:sz w:val="32"/>
          <w:szCs w:val="32"/>
        </w:rPr>
        <w:t>（一）加强风险源头治理</w:t>
      </w:r>
    </w:p>
    <w:p>
      <w:pPr>
        <w:spacing w:line="550" w:lineRule="exact"/>
        <w:ind w:firstLine="640" w:firstLineChars="200"/>
        <w:rPr>
          <w:rFonts w:eastAsia="仿宋_GB2312"/>
          <w:sz w:val="32"/>
          <w:szCs w:val="32"/>
        </w:rPr>
      </w:pPr>
      <w:r>
        <w:rPr>
          <w:rFonts w:eastAsia="仿宋_GB2312"/>
          <w:sz w:val="32"/>
          <w:szCs w:val="32"/>
        </w:rPr>
        <w:t>强化规划管控。建立健全国土空间等规划安全风险评估会商机制，确保城市防灾减灾基础设施用地，深化应急避难场所规划，加快形成有效防控重大安全风险的城市空间格局、产业结构和生产生活方式布局。完善自然灾害防治区划，科学设置高危行业产能的生产区域、储存场所、经营市场和运输干道，严格控制区域风险等级及风险容量。</w:t>
      </w:r>
    </w:p>
    <w:p>
      <w:pPr>
        <w:spacing w:line="550" w:lineRule="exact"/>
        <w:ind w:firstLine="640" w:firstLineChars="200"/>
        <w:rPr>
          <w:rFonts w:eastAsia="仿宋_GB2312"/>
          <w:sz w:val="32"/>
          <w:szCs w:val="32"/>
        </w:rPr>
      </w:pPr>
      <w:r>
        <w:rPr>
          <w:rFonts w:eastAsia="仿宋_GB2312"/>
          <w:sz w:val="32"/>
          <w:szCs w:val="32"/>
        </w:rPr>
        <w:t>严格安全准入。严格工业园区、企业和项目选址的规划设计要求，从严审批高危行业领域建设项目。健全重大项目决策安全风险论证机制，严格实行城乡规划、产业发展规划、重大工程、重点项目实施重大安全风险“一票否决”。完善建设项目安全设施“三同时”制度。</w:t>
      </w:r>
    </w:p>
    <w:p>
      <w:pPr>
        <w:spacing w:line="550" w:lineRule="exact"/>
        <w:ind w:firstLine="640" w:firstLineChars="200"/>
        <w:rPr>
          <w:rFonts w:eastAsia="仿宋_GB2312"/>
          <w:sz w:val="32"/>
          <w:szCs w:val="32"/>
        </w:rPr>
      </w:pPr>
      <w:r>
        <w:rPr>
          <w:rFonts w:eastAsia="仿宋_GB2312"/>
          <w:sz w:val="32"/>
          <w:szCs w:val="32"/>
        </w:rPr>
        <w:t>加强安全风险管控。完善企业安全风险评估制度，实行安全风险分级分类管理，严格落实安全风险管控责任，监督核查生产经营单位安全生产管理指标体系落实情况，鼓励引入第三方参与安全风险评估。针对高危工艺、设备、物品、场所和岗位等重点环节，适时开展动态评估，调整风险等级和管控措施。针对不同安全风险等级的企业，施行差异化监管执法。严格落实安全风险管控“一图、一牌、三清单”管理。</w:t>
      </w:r>
    </w:p>
    <w:p>
      <w:pPr>
        <w:spacing w:line="550" w:lineRule="exact"/>
        <w:ind w:firstLine="643" w:firstLineChars="200"/>
        <w:rPr>
          <w:rFonts w:eastAsia="楷体_GB2312"/>
          <w:b/>
          <w:sz w:val="32"/>
          <w:szCs w:val="32"/>
        </w:rPr>
      </w:pPr>
      <w:bookmarkStart w:id="29" w:name="_Toc113052445"/>
      <w:bookmarkEnd w:id="29"/>
      <w:r>
        <w:rPr>
          <w:rFonts w:eastAsia="楷体_GB2312"/>
          <w:b/>
          <w:sz w:val="32"/>
          <w:szCs w:val="32"/>
        </w:rPr>
        <w:t>（二）强化监测预报预警</w:t>
      </w:r>
    </w:p>
    <w:p>
      <w:pPr>
        <w:spacing w:line="550" w:lineRule="exact"/>
        <w:ind w:firstLine="640" w:firstLineChars="200"/>
        <w:rPr>
          <w:rFonts w:eastAsia="仿宋_GB2312"/>
          <w:sz w:val="32"/>
          <w:szCs w:val="32"/>
        </w:rPr>
      </w:pPr>
      <w:r>
        <w:rPr>
          <w:rFonts w:eastAsia="仿宋_GB2312"/>
          <w:sz w:val="32"/>
          <w:szCs w:val="32"/>
        </w:rPr>
        <w:t>提升风险监测能力。系统集成物联网、卫星遥感、5G等高新技术，整合水文、气象、自然资源、住建、生态环境等部门资源，推动建设全覆盖的灾害事故监测感知网络。加强气象灾害敏感区、森林火灾敏感区、水旱灾害多发区、地质灾害易发区等重点灾害风险区域的监测站建设，加强我区灾害综合风险普查，编制区域灾害综合风险图。到2025年，完成25个地质灾害监测点建设。</w:t>
      </w:r>
    </w:p>
    <w:p>
      <w:pPr>
        <w:spacing w:line="550" w:lineRule="exact"/>
        <w:ind w:firstLine="640" w:firstLineChars="200"/>
        <w:rPr>
          <w:rFonts w:eastAsia="仿宋_GB2312"/>
          <w:sz w:val="32"/>
          <w:szCs w:val="32"/>
        </w:rPr>
      </w:pPr>
      <w:r>
        <w:rPr>
          <w:rFonts w:eastAsia="仿宋_GB2312"/>
          <w:sz w:val="32"/>
          <w:szCs w:val="32"/>
        </w:rPr>
        <w:t>强化预报预警信息精准发布能力。健全灾害事故预报预警机制，实现各类灾害事故信息“早发现、早报送、早预防”。拓宽预警信息发布渠道，充分运用短信、广播、电视、警报器、宣传车、移动互联网、公共场所电子显示屏等途径及时发布权威信息，提高预警信息发布覆盖面和时效性，有效解决信息发布“最后一公里”问题，提高灾害事故预报预警信息发布的精准性、时效性和公众覆盖率。</w:t>
      </w:r>
    </w:p>
    <w:p>
      <w:pPr>
        <w:spacing w:line="550" w:lineRule="exact"/>
        <w:ind w:firstLine="643" w:firstLineChars="200"/>
        <w:rPr>
          <w:rFonts w:eastAsia="楷体_GB2312"/>
          <w:b/>
          <w:sz w:val="32"/>
          <w:szCs w:val="32"/>
        </w:rPr>
      </w:pPr>
      <w:bookmarkStart w:id="30" w:name="_Toc113052446"/>
      <w:bookmarkEnd w:id="30"/>
      <w:r>
        <w:rPr>
          <w:rFonts w:eastAsia="楷体_GB2312"/>
          <w:b/>
          <w:sz w:val="32"/>
          <w:szCs w:val="32"/>
        </w:rPr>
        <w:t>（三）强化灾害系统治理</w:t>
      </w:r>
    </w:p>
    <w:p>
      <w:pPr>
        <w:spacing w:line="550" w:lineRule="exact"/>
        <w:ind w:firstLine="640" w:firstLineChars="200"/>
        <w:rPr>
          <w:rFonts w:eastAsia="仿宋_GB2312"/>
          <w:sz w:val="32"/>
          <w:szCs w:val="32"/>
        </w:rPr>
      </w:pPr>
      <w:r>
        <w:rPr>
          <w:rFonts w:eastAsia="仿宋_GB2312"/>
          <w:sz w:val="32"/>
          <w:szCs w:val="32"/>
        </w:rPr>
        <w:t>强化自然灾害风险管控。建立防震减灾公共服务事项清单，全面实施灾害风险普查，强化灾害风险清单式管理，推进气象、水旱等领域灾害风险管控机制建设，编制年度地质灾害防治方案，开展野外火源治理和打击违法森林用火专项行动，加强隐患排查。持续开展学校、医院等重要人员密集场所排查和抗震性能鉴定，对抗震性能不足的建筑物进行建档和抗震加固。压实行业部门风险管理责任和属地政府主体责任，在乡、村推广应用灾害风险隐患报送信息系统，确保2小时内通过自然灾害灾情管理系统上报灾情初报并定期续、核报灾情，落实防震减灾工程建设项目审批事项和中介服务事项，推进自然灾害风险网格化管理，提高基层灾害风险防范化解能力。</w:t>
      </w:r>
    </w:p>
    <w:p>
      <w:pPr>
        <w:spacing w:line="550" w:lineRule="exact"/>
        <w:ind w:firstLine="640" w:firstLineChars="200"/>
        <w:rPr>
          <w:rFonts w:eastAsia="仿宋_GB2312"/>
          <w:sz w:val="32"/>
          <w:szCs w:val="32"/>
        </w:rPr>
      </w:pPr>
      <w:r>
        <w:rPr>
          <w:rFonts w:eastAsia="仿宋_GB2312"/>
          <w:sz w:val="32"/>
          <w:szCs w:val="32"/>
        </w:rPr>
        <w:t>提升自然灾害防御能力。完善自然灾害防治体系，提升水旱灾害、气象灾害、地震灾害、地质灾害、森林火灾等自然灾害防御工程标准，加快病险水库除险加固，全面推进堤防建设，加强重大工程和设施安全风险防控，提高灾害事故抵御能力。加快避难安置场所规范化建设，到2025年，乡镇级避难安置场规范化建设率达到85%以上，完成30个小型地质灾害隐患点治理工程。</w:t>
      </w:r>
    </w:p>
    <w:p>
      <w:pPr>
        <w:spacing w:line="550" w:lineRule="exact"/>
        <w:ind w:firstLine="643" w:firstLineChars="200"/>
        <w:rPr>
          <w:rFonts w:eastAsia="楷体_GB2312"/>
          <w:b/>
          <w:sz w:val="32"/>
          <w:szCs w:val="32"/>
        </w:rPr>
      </w:pPr>
      <w:bookmarkStart w:id="31" w:name="_Toc113052447"/>
      <w:bookmarkEnd w:id="31"/>
      <w:r>
        <w:rPr>
          <w:rFonts w:eastAsia="楷体_GB2312"/>
          <w:b/>
          <w:sz w:val="32"/>
          <w:szCs w:val="32"/>
        </w:rPr>
        <w:t>（四）提升安全保障水平</w:t>
      </w:r>
    </w:p>
    <w:p>
      <w:pPr>
        <w:spacing w:line="550" w:lineRule="exact"/>
        <w:ind w:firstLine="640" w:firstLineChars="200"/>
        <w:rPr>
          <w:rFonts w:eastAsia="仿宋_GB2312"/>
          <w:sz w:val="32"/>
          <w:szCs w:val="32"/>
        </w:rPr>
      </w:pPr>
      <w:r>
        <w:rPr>
          <w:rFonts w:eastAsia="仿宋_GB2312"/>
          <w:sz w:val="32"/>
          <w:szCs w:val="32"/>
        </w:rPr>
        <w:t>全面推进标准化建设。持续推动重点企业安全生产标准化“全覆盖”，突出高风险工贸企业标准化持续创建。推动企业依据安全生产技术标准制定完善作业规程和岗位安全操作规程，将企业标准化与企业安全生产治理体系深度融合，实施高危行业安全生产企业标准“一企一策”。深化企业安全生产标准化建设，严格落实企业标准化创建、复评、退出等机制，到2025年，力争100家企业完成安全生产标准化建设，其中高危行业企业和规模以上企业达标率达到100%。</w:t>
      </w:r>
    </w:p>
    <w:p>
      <w:pPr>
        <w:spacing w:line="550" w:lineRule="exact"/>
        <w:ind w:firstLine="640" w:firstLineChars="200"/>
        <w:rPr>
          <w:rFonts w:eastAsia="仿宋_GB2312"/>
          <w:sz w:val="32"/>
          <w:szCs w:val="32"/>
        </w:rPr>
      </w:pPr>
      <w:r>
        <w:rPr>
          <w:rFonts w:eastAsia="仿宋_GB2312"/>
          <w:sz w:val="32"/>
          <w:szCs w:val="32"/>
        </w:rPr>
        <w:t>推进企业安全生产诚信体系建设。完善安全生产承诺制度、不良信用记录制度、诚信“黑名单”制度及诚信评价和管理制度。健全完善安全生产失信行为联合惩戒制度，对存在以隐蔽、欺骗或阻碍等方式逃避、对抗安全生产监管，违章指挥、违章作业产生重大安全隐患，违规更改工艺流程，破坏监测监控设施，不依法依规开展各类安全检测、检定或出具虚假检定、检测结论，以及发生事故隐瞒不报、谎报或迟报事故等严重危害人民群众生命财产安全的主观故意行为的单位及主要责任人，依法依规将其纳入信用记录，加强失信惩戒，从严监管。</w:t>
      </w:r>
    </w:p>
    <w:p>
      <w:pPr>
        <w:spacing w:line="550" w:lineRule="exact"/>
        <w:ind w:firstLine="640" w:firstLineChars="200"/>
        <w:rPr>
          <w:rFonts w:eastAsia="仿宋_GB2312"/>
          <w:sz w:val="32"/>
          <w:szCs w:val="32"/>
        </w:rPr>
      </w:pPr>
      <w:r>
        <w:rPr>
          <w:rFonts w:eastAsia="仿宋_GB2312"/>
          <w:sz w:val="32"/>
          <w:szCs w:val="32"/>
        </w:rPr>
        <w:t>全面开展系统性整治。持续开展安全生产专项治理三年行动，以安全生产重点行业领域专项整治为突破口，综合运用安全生产大检查、事故查处、技术改造、联合执法等手段加强全方位安全监管和隐患整治，强化隐患闭环管理，落实不具备安全条件的企业强制退出机制，有效防范和遏制各类事故发生。</w:t>
      </w:r>
    </w:p>
    <w:p>
      <w:pPr>
        <w:pStyle w:val="2"/>
        <w:spacing w:before="0" w:beforeAutospacing="0" w:after="0" w:line="550" w:lineRule="exact"/>
        <w:jc w:val="center"/>
        <w:rPr>
          <w:rFonts w:ascii="黑体" w:hAnsi="黑体" w:eastAsia="黑体"/>
          <w:sz w:val="32"/>
          <w:szCs w:val="32"/>
        </w:rPr>
      </w:pPr>
      <w:r>
        <w:rPr>
          <w:rFonts w:ascii="黑体" w:hAnsi="黑体" w:eastAsia="黑体"/>
          <w:sz w:val="32"/>
          <w:szCs w:val="32"/>
        </w:rPr>
        <w:t>专栏 重点领域专项整治内容</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1．危险化学品专项整治。</w:t>
      </w:r>
      <w:r>
        <w:rPr>
          <w:rFonts w:eastAsia="仿宋_GB2312"/>
          <w:sz w:val="32"/>
          <w:szCs w:val="32"/>
        </w:rPr>
        <w:t>进行危险化学品生产、储存企业调查，开展定量风险评估，强化安全管控。加强化工过程、危化品运输安全管理，健全危险化学品生产、储存、运输、装卸、销售等环节的信息共享机制，建立重大危险源分布电子地图，实现全生命周期监管。</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2．非煤矿山安全专项整治。</w:t>
      </w:r>
      <w:r>
        <w:rPr>
          <w:rFonts w:eastAsia="仿宋_GB2312"/>
          <w:sz w:val="32"/>
          <w:szCs w:val="32"/>
        </w:rPr>
        <w:t>严格非煤矿山建设项目安全设施设计审查和企业安全生产许可，推进非煤矿山不断完善风险管控等安全管理长效制度、实施精细化管理，建立“一矿一册”监管清单，从严从实落实各项安全防范责任和措施。</w:t>
      </w:r>
    </w:p>
    <w:p>
      <w:pPr>
        <w:spacing w:line="550" w:lineRule="exact"/>
        <w:ind w:firstLine="643" w:firstLineChars="200"/>
        <w:rPr>
          <w:rFonts w:eastAsia="仿宋_GB2312"/>
          <w:b/>
          <w:sz w:val="32"/>
          <w:szCs w:val="32"/>
        </w:rPr>
      </w:pPr>
      <w:r>
        <w:rPr>
          <w:rFonts w:eastAsia="仿宋_GB2312"/>
          <w:b/>
          <w:sz w:val="32"/>
          <w:szCs w:val="32"/>
        </w:rPr>
        <w:t>3．消防安全专项整治。</w:t>
      </w:r>
      <w:r>
        <w:rPr>
          <w:rFonts w:eastAsia="仿宋_GB2312"/>
          <w:sz w:val="32"/>
          <w:szCs w:val="32"/>
        </w:rPr>
        <w:t>因地制宜开展消防“生命通道”工程、高层建筑、地下空间、大型商业综合体、“九小”场所及老旧社区、电动自行车、彩钢板、新材料新业态等重点消防安全综合整治。加强消防站点、消防力量、消防装备、消防水源、消防通信指挥系统、乡村公共消防基础建设，加大乡村火灾隐患整治力度。积极推广应用消防安全物联网监测等信息技术，实现社会火灾动态、精准防控。</w:t>
      </w:r>
    </w:p>
    <w:p>
      <w:pPr>
        <w:spacing w:line="550" w:lineRule="exact"/>
        <w:ind w:firstLine="643" w:firstLineChars="200"/>
        <w:rPr>
          <w:rFonts w:eastAsia="仿宋_GB2312"/>
          <w:sz w:val="32"/>
          <w:szCs w:val="32"/>
        </w:rPr>
      </w:pPr>
      <w:r>
        <w:rPr>
          <w:rFonts w:eastAsia="仿宋_GB2312"/>
          <w:b/>
          <w:sz w:val="32"/>
          <w:szCs w:val="32"/>
        </w:rPr>
        <w:t>4．烟花爆竹专项整治。</w:t>
      </w:r>
      <w:r>
        <w:rPr>
          <w:rFonts w:eastAsia="仿宋_GB2312"/>
          <w:sz w:val="32"/>
          <w:szCs w:val="32"/>
        </w:rPr>
        <w:t>合理布局烟花爆竹零售经营网点，加强烟花爆竹批发零售经营环节的安全管理，严把烟花爆竹经营许可关，整顿规范烟花爆竹经营单位，依法查处非法生产经营、储存、运输烟花爆竹行为。</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5．交通运输专项整治。</w:t>
      </w:r>
      <w:r>
        <w:rPr>
          <w:rFonts w:eastAsia="仿宋_GB2312"/>
          <w:sz w:val="32"/>
          <w:szCs w:val="32"/>
        </w:rPr>
        <w:t>重点整治“两客一危一校”和工程车辆等重点车辆，以及超员、超速、酒驾醉驾等严重交通安全违法行为。加强重点车辆运输安全治理，强化旅游客运、长途客运、货车超限、危险货物、校车交通、农村交通安全监管，规范城市工程运输车监管。严厉打击非法营运行为，开展“一盔一带”安全守护行动。严厉打击水路运输经营资质不达标、超范围从事运输经营等违法违规行为。多措并举强化铁路沿线安全环境治理。</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6．建设工程施工专项整治。</w:t>
      </w:r>
      <w:r>
        <w:rPr>
          <w:rFonts w:eastAsia="仿宋_GB2312"/>
          <w:sz w:val="32"/>
          <w:szCs w:val="32"/>
        </w:rPr>
        <w:t>强化建筑施工安全监督管理，特别对深基坑、高大支模架、起重设备等危险性较大的分部分项工程实施重点监管。强化高处坠落、施工坍塌等多发事故的专项整治，督促和检查重点区域、重点企业事故预防措施的制定和落实。规范建设程序与工程发承包管理，严格依法查处超越资质、转包、违法分包、挂靠、租借资质等违法违规行为。</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7．特种设备专项整治。</w:t>
      </w:r>
      <w:r>
        <w:rPr>
          <w:rFonts w:eastAsia="仿宋_GB2312"/>
          <w:sz w:val="32"/>
          <w:szCs w:val="32"/>
        </w:rPr>
        <w:t>持续开展特种设备整治，重点开展起重机械等专项治理，开展危险化学品相关特种设备以及“三无”电梯专项整治“回头看”，加强电梯安全监管，充分应用现代科学技术手段助推使用单位主体责任的落实。</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8．电力专项整治。</w:t>
      </w:r>
      <w:r>
        <w:rPr>
          <w:rFonts w:eastAsia="仿宋_GB2312"/>
          <w:sz w:val="32"/>
          <w:szCs w:val="32"/>
        </w:rPr>
        <w:t>电网企业要持续开展电网安全风险管控，坚决防范大面积停电事件发生。加大设备安全管理力度，研究建立预警机制，推动实现设备外部风险预先管控。加强电力设施保护，消除电力设施外部隐患；严格执行规定范围内施工许可制度，防范违规作业危及电力设施安全。</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9．农业机械专项整治。</w:t>
      </w:r>
      <w:r>
        <w:rPr>
          <w:rFonts w:eastAsia="仿宋_GB2312"/>
          <w:sz w:val="32"/>
          <w:szCs w:val="32"/>
        </w:rPr>
        <w:t>开展重点领域隐患排查，围绕出镇出村路口、农村道路施工路段、桥梁等重点路段，联合公安交警部门开展“打非治违”行动，严厉查处变型拖拉机非法载人、酒后驾驶、超载超速、无牌无证行驶、报废变拖上路等违法违规行为。</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10．城市建设领域专项整治。</w:t>
      </w:r>
      <w:r>
        <w:rPr>
          <w:rFonts w:eastAsia="仿宋_GB2312"/>
          <w:sz w:val="32"/>
          <w:szCs w:val="32"/>
        </w:rPr>
        <w:t>强化施工现场安全管理，严厉打击各类层层转包、分包、挂靠等违法违规行为。加强城市高空广告牌、道路路面、城市危险桥梁、污水管网等市政公用设施运行维护安全。全面排查将原有建筑物改建改用为酒店、饭店、学校、体育馆等人员聚集场所的安全隐患,逐一建档造册,逐一将排查结果纳入房屋结构安全信息化管理平台,实行台账管理。</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11．燃气安全专项整治。</w:t>
      </w:r>
      <w:r>
        <w:rPr>
          <w:rFonts w:eastAsia="仿宋_GB2312"/>
          <w:sz w:val="32"/>
          <w:szCs w:val="32"/>
        </w:rPr>
        <w:t>严格落实住建部制定的《燃气工程项目规范》和省住建厅制定的配套标准，制（修）定和落实我区城镇燃气事故应急预案和管道安全管理应急预案。加强城镇燃气经营、储存、充装、运输、使用等全过程的安全管理，落实安全防范措施，确保城镇燃气行业运行安全。持续深化城镇燃气安全隐患排查整治，建立问题隐患台账和隐患整治销号制度，能立行立改的安全隐患尽快完成整治，不能立行立改的安全隐患按序时完成整治。大力推进老旧管网更新改造，全面推广自有产权瓶使用，推动城镇燃气用户加装具有自动截断功能的燃气安全保护装置。做好城镇燃气安全监管信息化平台建设准备工作，推进源头可追溯、过程可监管、安全有保障的信息化监管体系建设。</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12．工贸行业专项整治。</w:t>
      </w:r>
      <w:r>
        <w:rPr>
          <w:rFonts w:eastAsia="仿宋_GB2312"/>
          <w:sz w:val="32"/>
          <w:szCs w:val="32"/>
        </w:rPr>
        <w:t>严格执行《全国安全生产专项整治三年行动计划》，完善落实八大特种作业规范，突出液氨制冷、金属冶炼、粉尘防爆、有限空间、有毒有害等重点领域和危险作业环节的专项治理，推动高风险、大空间的劳动密集型加工企业科学布局作业场所，实施安全技术改造，提升行业本质安全水平。</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13．水上交通安全专项整治。</w:t>
      </w:r>
      <w:r>
        <w:rPr>
          <w:rFonts w:eastAsia="仿宋_GB2312"/>
          <w:sz w:val="32"/>
          <w:szCs w:val="32"/>
        </w:rPr>
        <w:t>严厉打击船舶长期逃避海事监管、“三无”船舶非法从事水上运输等违法违规行为，加强我区籍内河船舶非法从事涉海运输源头管控；加强对“三无”采运砂船、装卸作业站点、码头的源头管理，改善砂石运输环境；在严格落实桥区水上标志维护工作的同时，全面开展船舶碰撞桥梁安全风险隐患排查；进一步强化渡口渡船安全监管，组织开展渡口渡船安全规范提升。</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14．渔业船舶安全专项整治。</w:t>
      </w:r>
      <w:r>
        <w:rPr>
          <w:rFonts w:eastAsia="仿宋_GB2312"/>
          <w:sz w:val="32"/>
          <w:szCs w:val="32"/>
        </w:rPr>
        <w:t>开展渔船安全隐患排查治理，重点开展渔船渔港安全隐患排查整治，严厉打击非法捕捞行为。梳理更新渔业船舶、渔业船员信息，实行登记管理，建立健全渔业船舶、船员数据库。支持老旧、木质渔船减船转产。加强渔船救生消防、通信导航设备配备。</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15．自建房安全专项整治。</w:t>
      </w:r>
      <w:r>
        <w:rPr>
          <w:rFonts w:eastAsia="仿宋_GB2312"/>
          <w:sz w:val="32"/>
          <w:szCs w:val="32"/>
        </w:rPr>
        <w:t>开展农村房屋安全隐患全面排查，完成经营性自建农房的整治工作，实施危房改造任务，加强动态监测，保障农村贫困人口住房安全。</w:t>
      </w:r>
    </w:p>
    <w:p>
      <w:pPr>
        <w:spacing w:line="550" w:lineRule="exact"/>
        <w:ind w:firstLine="640" w:firstLineChars="200"/>
        <w:rPr>
          <w:rFonts w:eastAsia="黑体"/>
          <w:sz w:val="32"/>
          <w:szCs w:val="32"/>
        </w:rPr>
      </w:pPr>
      <w:bookmarkStart w:id="32" w:name="_Toc113052448"/>
      <w:bookmarkEnd w:id="32"/>
      <w:r>
        <w:rPr>
          <w:rFonts w:eastAsia="黑体"/>
          <w:sz w:val="32"/>
          <w:szCs w:val="32"/>
        </w:rPr>
        <w:t>五、完善应急支撑保障体系</w:t>
      </w:r>
    </w:p>
    <w:p>
      <w:pPr>
        <w:spacing w:line="550" w:lineRule="exact"/>
        <w:ind w:firstLine="643" w:firstLineChars="200"/>
        <w:rPr>
          <w:rFonts w:eastAsia="楷体_GB2312"/>
          <w:b/>
          <w:sz w:val="32"/>
          <w:szCs w:val="32"/>
        </w:rPr>
      </w:pPr>
      <w:bookmarkStart w:id="33" w:name="_Toc113052449"/>
      <w:bookmarkEnd w:id="33"/>
      <w:r>
        <w:rPr>
          <w:rFonts w:eastAsia="楷体_GB2312"/>
          <w:b/>
          <w:sz w:val="32"/>
          <w:szCs w:val="32"/>
        </w:rPr>
        <w:t>（一）健全应急预案体系</w:t>
      </w:r>
    </w:p>
    <w:p>
      <w:pPr>
        <w:spacing w:line="550" w:lineRule="exact"/>
        <w:ind w:firstLine="640" w:firstLineChars="200"/>
        <w:rPr>
          <w:rFonts w:eastAsia="仿宋_GB2312"/>
          <w:sz w:val="32"/>
          <w:szCs w:val="32"/>
        </w:rPr>
      </w:pPr>
      <w:r>
        <w:rPr>
          <w:rFonts w:eastAsia="仿宋_GB2312"/>
          <w:sz w:val="32"/>
          <w:szCs w:val="32"/>
        </w:rPr>
        <w:t>完善现有预案体系。强化各类各层级应急预案的备案管理和衔接融通，形成上下纵贯、协调联动，覆盖全区域、全灾种、全过程的应急预案体系。以市级预案为基准，编制总体应急预案，推进乡镇一级应急预案编制工作。修订自然灾害救助等专项预案，及时调整和废止与社会发展脱节的内容。加强应急预案编制、审核、评估过程管理，考察预案科学性、实战性和可行性。</w:t>
      </w:r>
    </w:p>
    <w:p>
      <w:pPr>
        <w:spacing w:line="550" w:lineRule="exact"/>
        <w:ind w:firstLine="640" w:firstLineChars="200"/>
        <w:rPr>
          <w:rFonts w:eastAsia="仿宋_GB2312"/>
          <w:sz w:val="32"/>
          <w:szCs w:val="32"/>
        </w:rPr>
      </w:pPr>
      <w:r>
        <w:rPr>
          <w:rFonts w:eastAsia="仿宋_GB2312"/>
          <w:sz w:val="32"/>
          <w:szCs w:val="32"/>
        </w:rPr>
        <w:t>加强应急预案演练管理。逐步形成常态化、实战化组织应急预案演练，每年开展至少1次含装备技术保障、生活物资、交通运输保障的应急救援实战拉动演练，指导行政村（社区）开展现场处置演练，各级各类应急救援队伍每年至少组织1次应急救援演练，强化演练过程管理，注重对每次演练的分析研判、总结评估，发挥演练成果对应急预案的效果反馈，改善提升现有预案，体现应急预案演练的质量和实效。</w:t>
      </w:r>
    </w:p>
    <w:p>
      <w:pPr>
        <w:spacing w:line="550" w:lineRule="exact"/>
        <w:ind w:firstLine="643" w:firstLineChars="200"/>
        <w:rPr>
          <w:rFonts w:eastAsia="楷体_GB2312"/>
          <w:b/>
          <w:sz w:val="32"/>
          <w:szCs w:val="32"/>
        </w:rPr>
      </w:pPr>
      <w:bookmarkStart w:id="34" w:name="_Toc113052450"/>
      <w:bookmarkEnd w:id="34"/>
      <w:r>
        <w:rPr>
          <w:rFonts w:eastAsia="楷体_GB2312"/>
          <w:b/>
          <w:sz w:val="32"/>
          <w:szCs w:val="32"/>
        </w:rPr>
        <w:t>（二）完善应急物资保障体系</w:t>
      </w:r>
    </w:p>
    <w:p>
      <w:pPr>
        <w:spacing w:line="550" w:lineRule="exact"/>
        <w:ind w:firstLine="640" w:firstLineChars="200"/>
        <w:rPr>
          <w:rFonts w:eastAsia="仿宋_GB2312"/>
          <w:sz w:val="32"/>
          <w:szCs w:val="32"/>
        </w:rPr>
      </w:pPr>
      <w:r>
        <w:rPr>
          <w:rFonts w:eastAsia="仿宋_GB2312"/>
          <w:sz w:val="32"/>
          <w:szCs w:val="32"/>
        </w:rPr>
        <w:t>拓宽应急物资来源渠道。积极推进防汛抗旱、森林防灭火、危化品、矿山救援、地质灾害救援的应急物资储备库建设，推动安全生产重点企业建设应急物资储备库，积极引导各类社会主体储备必要的应急物资，提高应急物资调配的精确性。建立健全应急物资协同保障和应急联动机制，制定社会应急物资征用补偿标准，试点应急救援社会化有偿服务、物资装备征用补偿，强化区域应急物资统筹调配。针对市场保有量充足、保质期短、养护条件高的应急物资，合理利用本地大型商超的储货、维护和周转能力，运用财政补贴和金融手段鼓励社会资源参与协议储备。扶持食品制造等应急装备物资生产企业提高生产能力，形成实物储备、协议储备和产能储备的多元化物资来源渠道。</w:t>
      </w:r>
    </w:p>
    <w:p>
      <w:pPr>
        <w:spacing w:line="550" w:lineRule="exact"/>
        <w:ind w:firstLine="640" w:firstLineChars="200"/>
        <w:rPr>
          <w:rFonts w:eastAsia="仿宋_GB2312"/>
          <w:sz w:val="32"/>
          <w:szCs w:val="32"/>
        </w:rPr>
      </w:pPr>
      <w:r>
        <w:rPr>
          <w:rFonts w:eastAsia="仿宋_GB2312"/>
          <w:sz w:val="32"/>
          <w:szCs w:val="32"/>
        </w:rPr>
        <w:t>加强应急物资储备管理。优化政府应急物资储备基地、物资仓库、器材库的站点布局，推进乡镇储备点建设。制定应急物资实物储备和更新轮换计划，保证应急物资充足无缺口，加强抢险救援保障、应急救援力量保障和受灾人员基本生活保障类应急物资综合管理，健全应急物资储备标准，核算应急物资储备水平，充分利用柴桑区政务信息系统，加强军队、政府、社会、企业等各类主体的应急物资储备信息共享，开展应急物资保障数据资源建设，公开应急物资需求信息、生产信息、存储信息和运输信息，推进应急物资保障数据整合，确保灾害面前迅速获取应急物资储存地点、储存数量。有针对性地分类配置储备基地中救援装备，使其能够迅速服务安全生产、山洪河洪和地质灾害，确保救灾专用车辆、应急通讯广播设施和无人机、水域救援装备等救援专业器械一应俱全，争取到2025年全区完成救援装备配置保障。基层单位要配备小型发电机、局部通风设备、带动力排水泵、乡村大喇叭、手持扩音器、应急广播接收终端设备、GPS等必要应急器材。</w:t>
      </w:r>
    </w:p>
    <w:p>
      <w:pPr>
        <w:spacing w:line="550" w:lineRule="exact"/>
        <w:ind w:firstLine="640" w:firstLineChars="200"/>
        <w:rPr>
          <w:rFonts w:eastAsia="仿宋_GB2312"/>
          <w:sz w:val="32"/>
          <w:szCs w:val="32"/>
        </w:rPr>
      </w:pPr>
      <w:r>
        <w:rPr>
          <w:rFonts w:eastAsia="仿宋_GB2312"/>
          <w:sz w:val="32"/>
          <w:szCs w:val="32"/>
        </w:rPr>
        <w:t>提升紧急运输调控能力。保障应急物资采购、供应环节通畅，加强紧急运输绿色通道建设，确保紧急情况下应急物资顺利、高速、免费、优先通行。合理配置空间资源和人力资源，实现应急物资储备基地常时和战时功能状态迅速切换。提升应急物资信息化管理水平，运用先进技术实现储备物资的远程监管和数字化调配，确保应急物资调配高效通畅。</w:t>
      </w:r>
    </w:p>
    <w:p>
      <w:pPr>
        <w:spacing w:line="550" w:lineRule="exact"/>
        <w:ind w:firstLine="643" w:firstLineChars="200"/>
        <w:rPr>
          <w:rFonts w:eastAsia="楷体_GB2312"/>
          <w:b/>
          <w:sz w:val="32"/>
          <w:szCs w:val="32"/>
        </w:rPr>
      </w:pPr>
      <w:bookmarkStart w:id="35" w:name="_Toc113052451"/>
      <w:bookmarkEnd w:id="35"/>
      <w:r>
        <w:rPr>
          <w:rFonts w:eastAsia="楷体_GB2312"/>
          <w:b/>
          <w:sz w:val="32"/>
          <w:szCs w:val="32"/>
        </w:rPr>
        <w:t>（三）加强灾后救助恢复</w:t>
      </w:r>
    </w:p>
    <w:p>
      <w:pPr>
        <w:spacing w:line="550" w:lineRule="exact"/>
        <w:ind w:firstLine="640" w:firstLineChars="200"/>
        <w:rPr>
          <w:rFonts w:eastAsia="仿宋_GB2312"/>
          <w:sz w:val="32"/>
          <w:szCs w:val="32"/>
        </w:rPr>
      </w:pPr>
      <w:r>
        <w:rPr>
          <w:rFonts w:eastAsia="仿宋_GB2312"/>
          <w:sz w:val="32"/>
          <w:szCs w:val="32"/>
        </w:rPr>
        <w:t>强化灾情信息管理，统筹灾后救助恢复。完善灾情信息通报机制，健全“区—乡—村”三级灾情管理体系，完善灾情统计范围和指标，规范灾情报送程序，制订安置、救助、补偿、抚恤、保险等恢复重建工作程序，建立完善自然灾害救助资金标准与经济社会发展水平相适应、与财力状况匹配的动态调整机制，统筹协调受灾群众过渡性安置、救助及灾后恢复等工作。</w:t>
      </w:r>
    </w:p>
    <w:p>
      <w:pPr>
        <w:spacing w:line="550" w:lineRule="exact"/>
        <w:ind w:firstLine="640" w:firstLineChars="200"/>
        <w:rPr>
          <w:rFonts w:eastAsia="仿宋_GB2312"/>
          <w:sz w:val="32"/>
          <w:szCs w:val="32"/>
        </w:rPr>
      </w:pPr>
      <w:r>
        <w:rPr>
          <w:rFonts w:eastAsia="仿宋_GB2312"/>
          <w:sz w:val="32"/>
          <w:szCs w:val="32"/>
        </w:rPr>
        <w:t>健全灾情评估机制，强化灾后风险管控。建立健全突发事件调查评估工作机制，规范突发事件调查评估的组织和工作流程，科学开展灾害损失等评估，统筹制定恢复重建规划和配套政策，全面部署抢修恢复基础设施，提升灾后供电、供水、供气、交通和通信枢纽等生命线工程的重建能力，强化风险研判、隐患排查整改，防范次生灾害。</w:t>
      </w:r>
    </w:p>
    <w:p>
      <w:pPr>
        <w:spacing w:line="550" w:lineRule="exact"/>
        <w:ind w:firstLine="640" w:firstLineChars="200"/>
        <w:rPr>
          <w:rFonts w:eastAsia="仿宋_GB2312"/>
          <w:sz w:val="32"/>
          <w:szCs w:val="32"/>
        </w:rPr>
      </w:pPr>
      <w:r>
        <w:rPr>
          <w:rFonts w:eastAsia="仿宋_GB2312"/>
          <w:sz w:val="32"/>
          <w:szCs w:val="32"/>
        </w:rPr>
        <w:t>完善社会救助体系，规范灾后恢复重建。建立区、乡（镇、场、街道）两级统一的社会救助平台，提高统筹协调社会救助力量和物资的能力；完善自然灾害救助政策，鼓励、引导单位和个人参与自然灾害救助捐赠、志愿服务等活动，加强对企业事业单位、社会团体、基层群众自治组织捐赠和募捐活动的指导和监督；积极探索引入市场化手段，鼓励多形式金融资本参与灾后重建，推进灾区长期可持续性发展。</w:t>
      </w:r>
    </w:p>
    <w:p>
      <w:pPr>
        <w:spacing w:line="550" w:lineRule="exact"/>
        <w:ind w:firstLine="643" w:firstLineChars="200"/>
        <w:rPr>
          <w:rFonts w:eastAsia="楷体_GB2312"/>
          <w:b/>
          <w:sz w:val="32"/>
          <w:szCs w:val="32"/>
        </w:rPr>
      </w:pPr>
      <w:bookmarkStart w:id="36" w:name="_Toc113052452"/>
      <w:bookmarkEnd w:id="36"/>
      <w:bookmarkStart w:id="37" w:name="OLE_LINK1"/>
      <w:bookmarkEnd w:id="37"/>
      <w:bookmarkStart w:id="38" w:name="OLE_LINK2"/>
      <w:r>
        <w:rPr>
          <w:rFonts w:eastAsia="楷体_GB2312"/>
          <w:b/>
          <w:sz w:val="32"/>
          <w:szCs w:val="32"/>
        </w:rPr>
        <w:t>（四）合理设置应急避难场所</w:t>
      </w:r>
      <w:bookmarkEnd w:id="38"/>
    </w:p>
    <w:p>
      <w:pPr>
        <w:spacing w:line="550" w:lineRule="exact"/>
        <w:ind w:firstLine="640" w:firstLineChars="200"/>
        <w:rPr>
          <w:rFonts w:eastAsia="仿宋_GB2312"/>
          <w:sz w:val="32"/>
          <w:szCs w:val="32"/>
        </w:rPr>
      </w:pPr>
      <w:r>
        <w:rPr>
          <w:rFonts w:eastAsia="仿宋_GB2312"/>
          <w:sz w:val="32"/>
          <w:szCs w:val="32"/>
        </w:rPr>
        <w:t>优化现有应急避难场所。对已设为应急避难场所的中华贤母园、悠然园进行应急基础设施提升和优化，基本满足自然灾害、事故灾难等突发事件的避难需求。</w:t>
      </w:r>
    </w:p>
    <w:p>
      <w:pPr>
        <w:spacing w:line="550" w:lineRule="exact"/>
        <w:ind w:firstLine="640" w:firstLineChars="200"/>
        <w:rPr>
          <w:rFonts w:eastAsia="仿宋_GB2312"/>
          <w:sz w:val="32"/>
          <w:szCs w:val="32"/>
        </w:rPr>
      </w:pPr>
      <w:r>
        <w:rPr>
          <w:rFonts w:eastAsia="仿宋_GB2312"/>
          <w:sz w:val="32"/>
          <w:szCs w:val="32"/>
        </w:rPr>
        <w:t>补充建设应急避难场所。结合柴桑区城市整体规划，统筹兼顾，分步建设，协调发展，逐步建成以应急避难场所为主的灾时人员防护体系，初步建立适应柴桑区灾害特征的安全、高效、综合的应急避难场所体系，选择现状条件较好、群众熟知度高的公共设施规划室内应急避难场所和室外应急避难场所，2025年全区各乡（镇、场、街道）利用中小学校、体育场、社区公园、停车场、小广场、街头绿地、空地等设立至少1个固定室外应急避难场所，完成各应急避难场所的标识系统建设，按照灾害种类进行地上室内应急避难场所、地下人防掩蔽工程、中心避难场所、固定避难场所和紧急避难场所功能分区。</w:t>
      </w:r>
    </w:p>
    <w:p>
      <w:pPr>
        <w:spacing w:line="550" w:lineRule="exact"/>
        <w:ind w:firstLine="640" w:firstLineChars="200"/>
        <w:rPr>
          <w:rFonts w:eastAsia="黑体"/>
          <w:sz w:val="32"/>
          <w:szCs w:val="32"/>
        </w:rPr>
      </w:pPr>
      <w:bookmarkStart w:id="39" w:name="_Toc113052453"/>
      <w:bookmarkEnd w:id="39"/>
      <w:r>
        <w:rPr>
          <w:rFonts w:eastAsia="黑体"/>
          <w:sz w:val="32"/>
          <w:szCs w:val="32"/>
        </w:rPr>
        <w:t>六、加强应急救援力量建设</w:t>
      </w:r>
    </w:p>
    <w:p>
      <w:pPr>
        <w:spacing w:line="550" w:lineRule="exact"/>
        <w:ind w:firstLine="643" w:firstLineChars="200"/>
        <w:rPr>
          <w:rFonts w:eastAsia="楷体_GB2312"/>
          <w:b/>
          <w:sz w:val="32"/>
          <w:szCs w:val="32"/>
        </w:rPr>
      </w:pPr>
      <w:bookmarkStart w:id="40" w:name="_Toc113052454"/>
      <w:bookmarkEnd w:id="40"/>
      <w:r>
        <w:rPr>
          <w:rFonts w:eastAsia="楷体_GB2312"/>
          <w:b/>
          <w:sz w:val="32"/>
          <w:szCs w:val="32"/>
        </w:rPr>
        <w:t>（一）加强综合性应急救援队伍建设</w:t>
      </w:r>
    </w:p>
    <w:p>
      <w:pPr>
        <w:spacing w:line="550" w:lineRule="exact"/>
        <w:ind w:firstLine="640" w:firstLineChars="200"/>
        <w:rPr>
          <w:rFonts w:eastAsia="仿宋_GB2312"/>
          <w:sz w:val="32"/>
          <w:szCs w:val="32"/>
        </w:rPr>
      </w:pPr>
      <w:r>
        <w:rPr>
          <w:rFonts w:eastAsia="仿宋_GB2312"/>
          <w:sz w:val="32"/>
          <w:szCs w:val="32"/>
        </w:rPr>
        <w:t>扩充综合应急救援队伍。不断完善以应急救援指挥平台为核心，以消防救援部门为依托，以各专业、专职和社会化应急救援队伍为补充，以应急救援综合训练基地、装备、信息等为基础保障，与本地经济社会发展相适应和应急救援任务相匹配的综合性应急救援队伍体系，扩充现有综合应急救援队伍每年不少于10-15人。</w:t>
      </w:r>
    </w:p>
    <w:p>
      <w:pPr>
        <w:spacing w:line="550" w:lineRule="exact"/>
        <w:ind w:firstLine="640" w:firstLineChars="200"/>
        <w:rPr>
          <w:rFonts w:eastAsia="仿宋_GB2312"/>
          <w:sz w:val="32"/>
          <w:szCs w:val="32"/>
        </w:rPr>
      </w:pPr>
      <w:r>
        <w:rPr>
          <w:rFonts w:eastAsia="仿宋_GB2312"/>
          <w:sz w:val="32"/>
          <w:szCs w:val="32"/>
        </w:rPr>
        <w:t>明确综合应急救援队伍职责。在承担消防工作的同时，按照国家规定，承担重大灾害事故和其他以抢救人员生命为主的综合性应急救援任务，协助有关专业队伍做好水旱灾害、森林火灾、气象灾害、地质灾害、地震灾害、危险化学品事故、水上事故和环境污染等突发事件的抢险救援工作。着力培养造就一批能进行水下水域紧急救援、懂水域灾情、能自救互救的水域救援业务骨干，组建一定规模的“全灾种”综合性救援队伍，探索消防救援队伍由单一功能转向防火救火、自然灾害抢险和社会事件救援三个功能维度，立足“一专多能、一队多用”，完善应急救援协调工作机制，全面提升综合应急救援水平。</w:t>
      </w:r>
    </w:p>
    <w:p>
      <w:pPr>
        <w:spacing w:line="550" w:lineRule="exact"/>
        <w:ind w:firstLine="643" w:firstLineChars="200"/>
        <w:rPr>
          <w:rFonts w:eastAsia="楷体_GB2312"/>
          <w:b/>
          <w:sz w:val="32"/>
          <w:szCs w:val="32"/>
        </w:rPr>
      </w:pPr>
      <w:bookmarkStart w:id="41" w:name="_Toc113052455"/>
      <w:bookmarkEnd w:id="41"/>
      <w:r>
        <w:rPr>
          <w:rFonts w:eastAsia="楷体_GB2312"/>
          <w:b/>
          <w:sz w:val="32"/>
          <w:szCs w:val="32"/>
        </w:rPr>
        <w:t>（二）强化专业应急救援队伍建设</w:t>
      </w:r>
    </w:p>
    <w:p>
      <w:pPr>
        <w:spacing w:line="550" w:lineRule="exact"/>
        <w:ind w:firstLine="640" w:firstLineChars="200"/>
        <w:rPr>
          <w:rFonts w:eastAsia="仿宋_GB2312"/>
          <w:sz w:val="32"/>
          <w:szCs w:val="32"/>
        </w:rPr>
      </w:pPr>
      <w:r>
        <w:rPr>
          <w:rFonts w:eastAsia="仿宋_GB2312"/>
          <w:sz w:val="32"/>
          <w:szCs w:val="32"/>
        </w:rPr>
        <w:t>提升应急救援能力建设。通过集中轮训、辅导讲座、网络课堂、实战演练等多种形式，分类分级开展培训，加强对各类重大灾害事故和其他以抢救人员生命为主的应急救援战术战法研究，不断提高岗位人员整体素质水平和应急履职能力，持续推动已有森林消防队正规化建设，加速推进森林防灭火扑救专业化、现代化、科学化，保障队伍具备接警后按不同等级灾情在有限时间内出营、在复杂地形条件下持续行进和连续扑救地表火的能力。</w:t>
      </w:r>
    </w:p>
    <w:p>
      <w:pPr>
        <w:spacing w:line="550" w:lineRule="exact"/>
        <w:ind w:firstLine="640" w:firstLineChars="200"/>
        <w:rPr>
          <w:rFonts w:eastAsia="仿宋_GB2312"/>
          <w:sz w:val="32"/>
          <w:szCs w:val="32"/>
        </w:rPr>
      </w:pPr>
      <w:r>
        <w:rPr>
          <w:rFonts w:eastAsia="仿宋_GB2312"/>
          <w:sz w:val="32"/>
          <w:szCs w:val="32"/>
        </w:rPr>
        <w:t>完善训练基地建设。保障场地面积满足队伍全体人员日常训练需要，努力建成精干高效、装备优良、战斗力强的专业应急救援队伍。</w:t>
      </w:r>
    </w:p>
    <w:p>
      <w:pPr>
        <w:spacing w:line="550" w:lineRule="exact"/>
        <w:ind w:firstLine="643" w:firstLineChars="200"/>
        <w:rPr>
          <w:rFonts w:eastAsia="楷体_GB2312"/>
          <w:b/>
          <w:sz w:val="32"/>
          <w:szCs w:val="32"/>
        </w:rPr>
      </w:pPr>
      <w:bookmarkStart w:id="42" w:name="_Toc113052456"/>
      <w:bookmarkEnd w:id="42"/>
      <w:r>
        <w:rPr>
          <w:rFonts w:eastAsia="楷体_GB2312"/>
          <w:b/>
          <w:sz w:val="32"/>
          <w:szCs w:val="32"/>
        </w:rPr>
        <w:t>（三）加强社会应急救援队伍建设</w:t>
      </w:r>
    </w:p>
    <w:p>
      <w:pPr>
        <w:spacing w:line="550" w:lineRule="exact"/>
        <w:ind w:firstLine="640" w:firstLineChars="200"/>
        <w:rPr>
          <w:rFonts w:eastAsia="仿宋_GB2312"/>
          <w:sz w:val="32"/>
          <w:szCs w:val="32"/>
        </w:rPr>
      </w:pPr>
      <w:r>
        <w:rPr>
          <w:rFonts w:eastAsia="仿宋_GB2312"/>
          <w:sz w:val="32"/>
          <w:szCs w:val="32"/>
        </w:rPr>
        <w:t>健全社会应急体系架构。在工业园区涉及危险化学品生产、经营、储运的企业、大型商场、主要旅游景点等重点生产经营单位建立人员稳定的专兼职救援队伍，实现政社联动，形成救援合力。指导各乡（镇、场、街道）建设自治性、志愿性应急救援队伍，切实发挥社会力量和基层力量各自优势所长，在隐患监控、信息报告和前期处置中形成快速反应功能。</w:t>
      </w:r>
    </w:p>
    <w:p>
      <w:pPr>
        <w:spacing w:line="550" w:lineRule="exact"/>
        <w:ind w:firstLine="640" w:firstLineChars="200"/>
        <w:rPr>
          <w:rFonts w:eastAsia="仿宋_GB2312"/>
          <w:sz w:val="32"/>
          <w:szCs w:val="32"/>
        </w:rPr>
      </w:pPr>
      <w:r>
        <w:rPr>
          <w:rFonts w:eastAsia="仿宋_GB2312"/>
          <w:sz w:val="32"/>
          <w:szCs w:val="32"/>
        </w:rPr>
        <w:t>提升社会应急救援专业能力。充分发挥专业应急救援队伍传帮带作用，搭建社会组织参与的应急救援、培训、演练等互动平台，加强队伍间的交流与合作，注重专业、突出实用、贴近实战，强化重点生产经营单位、乡（镇、场、街道）及社区级应急救援人员技能培训，提升应急处置、自救互救和紧急避险能力。重点提升社会化救援力量水域救援能力，保障社会救援力量的个人潜水救援能力和团队水下救援能力能够满足复杂多变水域救援的需求。</w:t>
      </w:r>
    </w:p>
    <w:p>
      <w:pPr>
        <w:spacing w:line="550" w:lineRule="exact"/>
        <w:ind w:firstLine="640" w:firstLineChars="200"/>
        <w:rPr>
          <w:rFonts w:eastAsia="黑体"/>
          <w:sz w:val="32"/>
          <w:szCs w:val="32"/>
        </w:rPr>
      </w:pPr>
      <w:bookmarkStart w:id="43" w:name="_Toc113052457"/>
      <w:bookmarkEnd w:id="43"/>
      <w:r>
        <w:rPr>
          <w:rFonts w:eastAsia="黑体"/>
          <w:sz w:val="32"/>
          <w:szCs w:val="32"/>
        </w:rPr>
        <w:t>七、强化科技和人才保障体系</w:t>
      </w:r>
    </w:p>
    <w:p>
      <w:pPr>
        <w:spacing w:line="550" w:lineRule="exact"/>
        <w:ind w:firstLine="643" w:firstLineChars="200"/>
        <w:rPr>
          <w:rFonts w:eastAsia="楷体_GB2312"/>
          <w:b/>
          <w:sz w:val="32"/>
          <w:szCs w:val="32"/>
        </w:rPr>
      </w:pPr>
      <w:bookmarkStart w:id="44" w:name="_Toc113052458"/>
      <w:bookmarkEnd w:id="44"/>
      <w:r>
        <w:rPr>
          <w:rFonts w:eastAsia="楷体_GB2312"/>
          <w:b/>
          <w:sz w:val="32"/>
          <w:szCs w:val="32"/>
        </w:rPr>
        <w:t>（一）提升应急科技支撑水平</w:t>
      </w:r>
    </w:p>
    <w:p>
      <w:pPr>
        <w:spacing w:line="550" w:lineRule="exact"/>
        <w:ind w:firstLine="640" w:firstLineChars="200"/>
        <w:rPr>
          <w:rFonts w:eastAsia="仿宋_GB2312"/>
          <w:sz w:val="32"/>
          <w:szCs w:val="32"/>
        </w:rPr>
      </w:pPr>
      <w:r>
        <w:rPr>
          <w:rFonts w:eastAsia="仿宋_GB2312"/>
          <w:sz w:val="32"/>
          <w:szCs w:val="32"/>
        </w:rPr>
        <w:t>全面深化科技强安专项行动。加强政策引导与资金支持，推进管理部门与工矿企业加大先进装备配备力度，迭代升级日常运行管理可视化技术，加强应急管理科技合作交流，鼓励企业参与应急管理先进技术研发，完善应急管理科技成果转化激励制度，加强防汛信息化系统建设，深度利用自然灾害信息系统平台、“智慧消防”远程监控平台和地质灾害四级动态监管系统，持续完善重大危险源监测监控系统，建设区应急指挥中心，建成集通信、指挥、调度和预警于一体，高度智能化的应急指挥系统，深化应急管理部门与相关部门、科研机构的合作水平，开展自然灾害风险普查，建立配套基础数据库，大力提高应急管理现代化水平。</w:t>
      </w:r>
    </w:p>
    <w:p>
      <w:pPr>
        <w:spacing w:line="550" w:lineRule="exact"/>
        <w:ind w:firstLine="643" w:firstLineChars="200"/>
        <w:rPr>
          <w:rFonts w:eastAsia="楷体_GB2312"/>
          <w:b/>
          <w:sz w:val="32"/>
          <w:szCs w:val="32"/>
        </w:rPr>
      </w:pPr>
      <w:bookmarkStart w:id="45" w:name="_Toc113052459"/>
      <w:bookmarkEnd w:id="45"/>
      <w:r>
        <w:rPr>
          <w:rFonts w:eastAsia="楷体_GB2312"/>
          <w:b/>
          <w:sz w:val="32"/>
          <w:szCs w:val="32"/>
        </w:rPr>
        <w:t>（二）提升信息支撑能力</w:t>
      </w:r>
    </w:p>
    <w:p>
      <w:pPr>
        <w:spacing w:line="550" w:lineRule="exact"/>
        <w:ind w:firstLine="640" w:firstLineChars="200"/>
        <w:rPr>
          <w:rFonts w:eastAsia="仿宋_GB2312"/>
          <w:sz w:val="32"/>
          <w:szCs w:val="32"/>
        </w:rPr>
      </w:pPr>
      <w:r>
        <w:rPr>
          <w:rFonts w:eastAsia="仿宋_GB2312"/>
          <w:sz w:val="32"/>
          <w:szCs w:val="32"/>
        </w:rPr>
        <w:t>大力推进应急管理信息化。坚持需求导向，以信息化引领应急管理能力现代化，推广工业互联网、物联网、大数据、云计算、5G、人工智能等新技术、新方法的使用，深度融合先进技术与安全生产、应急管理，按照《江西省“智慧应急”建设方案》，重点推动监测预警、风险识别、风险研判等关键技术的普及，提升九江市地质灾害四级动态巡查监管系统的使用深度。加快推进</w:t>
      </w:r>
      <w:bookmarkStart w:id="46" w:name="_Hlk91506542"/>
      <w:r>
        <w:rPr>
          <w:rFonts w:eastAsia="仿宋_GB2312"/>
          <w:sz w:val="32"/>
          <w:szCs w:val="32"/>
        </w:rPr>
        <w:t>“智赣119”建设</w:t>
      </w:r>
      <w:bookmarkEnd w:id="46"/>
      <w:r>
        <w:rPr>
          <w:rFonts w:eastAsia="仿宋_GB2312"/>
          <w:sz w:val="32"/>
          <w:szCs w:val="32"/>
        </w:rPr>
        <w:t>，2025年前建成本区“智赣119”消防物联网运维中心，提高快速反应能力。设置推广森林“防火码”，充分利用“互联网+森林草原防火督查”信息系统。贯彻《九江市“十四五”安全生产规划》的精神，建立全时贯通的感知网络、天地一体的应急通信网络，推进安全生产、防灾减灾和应急管理预警系统的全覆盖和智能化，补齐现有业务领域应用短板，提高极端情况下的通讯保障能力，为安全生产监管、自然灾害防治、应急指挥保障、应急事业高质量发展提供强有力的信息支撑保障。</w:t>
      </w:r>
    </w:p>
    <w:p>
      <w:pPr>
        <w:spacing w:line="550" w:lineRule="exact"/>
        <w:ind w:firstLine="643" w:firstLineChars="200"/>
        <w:rPr>
          <w:rFonts w:eastAsia="楷体_GB2312"/>
          <w:b/>
          <w:sz w:val="32"/>
          <w:szCs w:val="32"/>
        </w:rPr>
      </w:pPr>
      <w:bookmarkStart w:id="47" w:name="_Toc113052460"/>
      <w:bookmarkEnd w:id="47"/>
      <w:r>
        <w:rPr>
          <w:rFonts w:eastAsia="楷体_GB2312"/>
          <w:b/>
          <w:sz w:val="32"/>
          <w:szCs w:val="32"/>
        </w:rPr>
        <w:t>（三）加强人才队伍建设</w:t>
      </w:r>
    </w:p>
    <w:p>
      <w:pPr>
        <w:spacing w:line="550" w:lineRule="exact"/>
        <w:ind w:firstLine="640" w:firstLineChars="200"/>
        <w:rPr>
          <w:rFonts w:eastAsia="仿宋_GB2312"/>
          <w:sz w:val="32"/>
          <w:szCs w:val="32"/>
        </w:rPr>
      </w:pPr>
      <w:r>
        <w:rPr>
          <w:rFonts w:eastAsia="仿宋_GB2312"/>
          <w:sz w:val="32"/>
          <w:szCs w:val="32"/>
        </w:rPr>
        <w:t>加大应急管理人才培养力度。建立“外引内培”制度优化人才队伍，吸纳安全工程、应急管理等相关专业高素质人才充实应急管理队伍，通过专业培训、开展区域部门和企业应急领域工作交流等方式提升现有管理人员专业化监管和科学处置突发事件的能力，以“注册安全工程师”为抓手，鼓励高危行业培养应急管理技能型人才，培养一批安全标杆企业，创建安全管理示范及教学基地，坚持“强基导向”，加快基层急需岗位的人员配置工作，着力解决基层基础力量薄弱的现状，保障基层应急管理工作有序推进，拓宽不同行业领域应急管理人才参与区应急管理的方式和渠道，组建跨部门、跨学科、跨行业的专家库，打造应急管理智库，构建层次分明、技术全面的人才队伍体系，为应急管理工作提供人才支撑。</w:t>
      </w:r>
    </w:p>
    <w:p>
      <w:pPr>
        <w:spacing w:line="550" w:lineRule="exact"/>
        <w:ind w:firstLine="640" w:firstLineChars="200"/>
        <w:rPr>
          <w:rFonts w:eastAsia="黑体"/>
          <w:sz w:val="32"/>
          <w:szCs w:val="32"/>
        </w:rPr>
      </w:pPr>
      <w:bookmarkStart w:id="48" w:name="_Toc113052461"/>
      <w:bookmarkEnd w:id="48"/>
      <w:r>
        <w:rPr>
          <w:rFonts w:eastAsia="黑体"/>
          <w:sz w:val="32"/>
          <w:szCs w:val="32"/>
        </w:rPr>
        <w:t>八、构建应急管理共治体系</w:t>
      </w:r>
    </w:p>
    <w:p>
      <w:pPr>
        <w:spacing w:line="550" w:lineRule="exact"/>
        <w:ind w:firstLine="643" w:firstLineChars="200"/>
        <w:rPr>
          <w:rFonts w:eastAsia="楷体_GB2312"/>
          <w:b/>
          <w:sz w:val="32"/>
          <w:szCs w:val="32"/>
        </w:rPr>
      </w:pPr>
      <w:bookmarkStart w:id="49" w:name="_Toc113052462"/>
      <w:bookmarkEnd w:id="49"/>
      <w:r>
        <w:rPr>
          <w:rFonts w:eastAsia="楷体_GB2312"/>
          <w:b/>
          <w:sz w:val="32"/>
          <w:szCs w:val="32"/>
        </w:rPr>
        <w:t>（一）提升应急监管执法水平</w:t>
      </w:r>
    </w:p>
    <w:p>
      <w:pPr>
        <w:spacing w:line="550" w:lineRule="exact"/>
        <w:ind w:firstLine="640" w:firstLineChars="200"/>
        <w:rPr>
          <w:rFonts w:eastAsia="仿宋_GB2312"/>
          <w:sz w:val="32"/>
          <w:szCs w:val="32"/>
        </w:rPr>
      </w:pPr>
      <w:r>
        <w:rPr>
          <w:rFonts w:eastAsia="仿宋_GB2312"/>
          <w:sz w:val="32"/>
          <w:szCs w:val="32"/>
        </w:rPr>
        <w:t>加强监管执法规范化建设。贯彻九江市《关于深化全市应急管理综合行政执法改革的实施方案》的要求，适应“放管服”改革和加强事中事后监管要求，形成以重点检查为主抓、以“双随机、一公开”和“四不两直”检查为辅助、以信用监管为基础的新型应急管理行政执法机制。严格制度执行，落实行政执法公示制度、执法全过记录制度、重大执法决定审核制度，实现责任可追溯、行为可监督。将防震减灾执法纳入综合执法改革，推进基层应急管理规范化建设，按照应急管理部门权力清单细化更新本单位行政权力和政务服务事项，严格限制基层执法自由裁量权，实施分级分类精准执法，推进执法力量向基层和一线倾斜，逐步试点执法权限下沉，扩大基层处置事项范畴。制定监管执法评议考核制度，推动执法水平科学评价。加强行政执法与刑事司法衔接，严格执行移送标准和程序，综合提高应急管理法治化、规范化水平。</w:t>
      </w:r>
    </w:p>
    <w:p>
      <w:pPr>
        <w:spacing w:line="550" w:lineRule="exact"/>
        <w:ind w:firstLine="640" w:firstLineChars="200"/>
        <w:rPr>
          <w:rFonts w:eastAsia="仿宋_GB2312"/>
          <w:sz w:val="32"/>
          <w:szCs w:val="32"/>
        </w:rPr>
      </w:pPr>
      <w:r>
        <w:rPr>
          <w:rFonts w:eastAsia="仿宋_GB2312"/>
          <w:sz w:val="32"/>
          <w:szCs w:val="32"/>
        </w:rPr>
        <w:t>提升安全生产执法保障。补充生产行政执法专业人员力量，严格监管执法人员资格管理，制定安全生产监管执法人员录用标准，通过公开招录、遴选等方式选拔安全生产监管专业人才，提高专业监管人员比例。建立健全安全生产监管执法人员入职培训、持证上岗和定期轮训制度。强化执法人员职业保障，完善执法人员工资待遇保障政策，依法为执法人员参加工伤保险，鼓励为执法人员购买人身意外伤害保险，提升职业荣誉感和吸引力。按照《九江市应急管理综合行政执法提升集中行动工作方案》的要求，严格执行统一的应急管理综合行政执法装备标准，配齐配足执法记录仪、移动执法终端、便携式打印机等必要执法装备。</w:t>
      </w:r>
    </w:p>
    <w:p>
      <w:pPr>
        <w:spacing w:line="550" w:lineRule="exact"/>
        <w:ind w:firstLine="640" w:firstLineChars="200"/>
        <w:rPr>
          <w:rFonts w:eastAsia="仿宋_GB2312"/>
          <w:sz w:val="32"/>
          <w:szCs w:val="32"/>
        </w:rPr>
      </w:pPr>
      <w:r>
        <w:rPr>
          <w:rFonts w:eastAsia="仿宋_GB2312"/>
          <w:sz w:val="32"/>
          <w:szCs w:val="32"/>
        </w:rPr>
        <w:t>推进监管手段迭代升级。持续探索新型执法方式，推进“互联网+监管”和“互联网+执法”，推动现场执法向远程执法、移动执法和非现场执法转变，以适应应急管理全覆盖、全天候、全过程的要求，有效缓解现有机构专业技术人员不足的问题，提升监管执法时效性和准确性，完善执法信息传递体系，规范非现场执法与现场执法的有效衔接，确保监管执法工作标准不降、工作方式灵活、服务管理全面。</w:t>
      </w:r>
    </w:p>
    <w:p>
      <w:pPr>
        <w:spacing w:line="550" w:lineRule="exact"/>
        <w:ind w:firstLine="643" w:firstLineChars="200"/>
        <w:rPr>
          <w:rFonts w:eastAsia="楷体_GB2312"/>
          <w:b/>
          <w:sz w:val="32"/>
          <w:szCs w:val="32"/>
        </w:rPr>
      </w:pPr>
      <w:bookmarkStart w:id="50" w:name="_Toc113052463"/>
      <w:bookmarkEnd w:id="50"/>
      <w:r>
        <w:rPr>
          <w:rFonts w:eastAsia="楷体_GB2312"/>
          <w:b/>
          <w:sz w:val="32"/>
          <w:szCs w:val="32"/>
        </w:rPr>
        <w:t>（二）提升宣传教育水平</w:t>
      </w:r>
    </w:p>
    <w:p>
      <w:pPr>
        <w:spacing w:line="550" w:lineRule="exact"/>
        <w:ind w:firstLine="640" w:firstLineChars="200"/>
        <w:rPr>
          <w:rFonts w:eastAsia="仿宋_GB2312"/>
          <w:sz w:val="32"/>
          <w:szCs w:val="32"/>
        </w:rPr>
      </w:pPr>
      <w:r>
        <w:rPr>
          <w:rFonts w:eastAsia="仿宋_GB2312"/>
          <w:sz w:val="32"/>
          <w:szCs w:val="32"/>
        </w:rPr>
        <w:t>全方位开展应急宣传教育。开展全民应急素质能力提升行动，将群众性应急宣传教育与管理干部应急能力培训相结合，推进“两位一体”应急宣传培训，提升全员安全意识和应急处置能力。组织开展“512全国防灾减灾日”等群众性主题宣传教育活动，持续创建“综合减灾示范社区”，2025年成功打造一个综合减灾示范精品示范点。积极推动应急知识科普宣教进企业、进校园、进机关、进社区、进农村、进家庭等，强化公众防灾减灾救灾意识，夯实应急安全根基；组织开展应急管理干部培训班，将应急管理纳入领导干部培训内容，提高领导干部专业化监管和应急处突的能力。</w:t>
      </w:r>
    </w:p>
    <w:p>
      <w:pPr>
        <w:spacing w:line="550" w:lineRule="exact"/>
        <w:ind w:firstLine="640" w:firstLineChars="200"/>
        <w:rPr>
          <w:rFonts w:eastAsia="仿宋_GB2312"/>
          <w:sz w:val="32"/>
          <w:szCs w:val="32"/>
        </w:rPr>
      </w:pPr>
      <w:r>
        <w:rPr>
          <w:rFonts w:eastAsia="仿宋_GB2312"/>
          <w:sz w:val="32"/>
          <w:szCs w:val="32"/>
        </w:rPr>
        <w:t>常态化开展应急宣传教育。完善面向公众的应急科普宣教渠道，强化应急宣传教育阵地，加强新闻、出版、广播、电视等公益宣传平台建设，充分运用手机短信、微信、微博等传播手段，利用“平安春季行动”、“森林防火宣传月”、“安全生产月”、“119消防宣传月”、消防安全“五进”等活动，加大应急管理科普知识宣传力度，常态化普及应急基础知识和基本技能，提高公众避险逃生意识和自救互救能力。</w:t>
      </w:r>
    </w:p>
    <w:p>
      <w:pPr>
        <w:spacing w:line="550" w:lineRule="exact"/>
        <w:ind w:firstLine="640" w:firstLineChars="200"/>
        <w:rPr>
          <w:rFonts w:eastAsia="仿宋_GB2312"/>
          <w:sz w:val="32"/>
          <w:szCs w:val="32"/>
        </w:rPr>
      </w:pPr>
      <w:r>
        <w:rPr>
          <w:rFonts w:eastAsia="仿宋_GB2312"/>
          <w:sz w:val="32"/>
          <w:szCs w:val="32"/>
        </w:rPr>
        <w:t>专业化开展应急宣传教育。开展沉浸式宣传教育，依托现有大数据、云计算及VR等先进技术，推进网上科普平台及虚拟体验馆利用，支持企业、社会组织等建设具有专业特色的安全体验教育基地；引入第三方应急专业培训，依托科研机构、高等院校及社会培训机构等专业优势，完善宣教师资数据库，推进专业化科普宣教团队建设，提升应急宣传教育的专业化水平。</w:t>
      </w:r>
    </w:p>
    <w:p>
      <w:pPr>
        <w:spacing w:line="550" w:lineRule="exact"/>
        <w:ind w:firstLine="643" w:firstLineChars="200"/>
        <w:rPr>
          <w:rFonts w:eastAsia="楷体_GB2312"/>
          <w:b/>
          <w:sz w:val="32"/>
          <w:szCs w:val="32"/>
        </w:rPr>
      </w:pPr>
      <w:bookmarkStart w:id="51" w:name="_Toc113052464"/>
      <w:bookmarkEnd w:id="51"/>
      <w:r>
        <w:rPr>
          <w:rFonts w:eastAsia="楷体_GB2312"/>
          <w:b/>
          <w:sz w:val="32"/>
          <w:szCs w:val="32"/>
        </w:rPr>
        <w:t>（三）提升应急服务能力</w:t>
      </w:r>
    </w:p>
    <w:p>
      <w:pPr>
        <w:spacing w:line="550" w:lineRule="exact"/>
        <w:ind w:firstLine="640" w:firstLineChars="200"/>
        <w:rPr>
          <w:rFonts w:eastAsia="仿宋_GB2312"/>
          <w:sz w:val="32"/>
          <w:szCs w:val="32"/>
        </w:rPr>
      </w:pPr>
      <w:r>
        <w:rPr>
          <w:rFonts w:eastAsia="仿宋_GB2312"/>
          <w:sz w:val="32"/>
          <w:szCs w:val="32"/>
        </w:rPr>
        <w:t>优化现场管理。不断深化“放管服”改革，逐步转变监管方式和监管理念，关口前移，主动服务，指导企业完善安全生产责任制，推动风险隐患双重预防体系建设，督促企业安全生产标准化达标创建，开展现场安全监督检查，及时发现消除各类安全隐患。通过召开会议、行政指导、专家“把脉”查隐患等多种方式，不断完善现场管理跟踪服务。</w:t>
      </w:r>
    </w:p>
    <w:p>
      <w:pPr>
        <w:spacing w:line="550" w:lineRule="exact"/>
        <w:ind w:firstLine="640" w:firstLineChars="200"/>
        <w:rPr>
          <w:rFonts w:eastAsia="仿宋_GB2312"/>
          <w:sz w:val="32"/>
          <w:szCs w:val="32"/>
        </w:rPr>
      </w:pPr>
      <w:r>
        <w:rPr>
          <w:rFonts w:eastAsia="仿宋_GB2312"/>
          <w:sz w:val="32"/>
          <w:szCs w:val="32"/>
        </w:rPr>
        <w:t>加强窗口服务。打造“亲民、便民、利民”服务窗口，全面落实首问负责制、一次性告知制、限时办结制、责任追究制等制度，认真执行办事程序公开、办事依据公开、办事时限公开、办事结果公开。加强政务服务网上事项梳理、数据归集和办件巡查，进一步提高服务质量，持续精简行政许可办事材料，做到无投诉、无行政复议、无行政诉讼。</w:t>
      </w:r>
    </w:p>
    <w:p>
      <w:pPr>
        <w:spacing w:line="550" w:lineRule="exact"/>
        <w:ind w:firstLine="643" w:firstLineChars="200"/>
        <w:rPr>
          <w:rFonts w:eastAsia="楷体_GB2312"/>
          <w:b/>
          <w:sz w:val="32"/>
          <w:szCs w:val="32"/>
        </w:rPr>
      </w:pPr>
      <w:bookmarkStart w:id="52" w:name="_Toc113052465"/>
      <w:bookmarkEnd w:id="52"/>
      <w:r>
        <w:rPr>
          <w:rFonts w:eastAsia="楷体_GB2312"/>
          <w:b/>
          <w:sz w:val="32"/>
          <w:szCs w:val="32"/>
        </w:rPr>
        <w:t>（四）推动应急产业发展</w:t>
      </w:r>
    </w:p>
    <w:p>
      <w:pPr>
        <w:spacing w:line="550" w:lineRule="exact"/>
        <w:ind w:firstLine="640" w:firstLineChars="200"/>
        <w:rPr>
          <w:rFonts w:eastAsia="仿宋_GB2312"/>
          <w:sz w:val="32"/>
          <w:szCs w:val="32"/>
        </w:rPr>
      </w:pPr>
      <w:r>
        <w:rPr>
          <w:rFonts w:eastAsia="仿宋_GB2312"/>
          <w:sz w:val="32"/>
          <w:szCs w:val="32"/>
        </w:rPr>
        <w:t>优化应急产业结构。大力发展应急安全先进制造业，深化供给侧结构性改革，贯彻《江西省“十四五”应急体系规划》的精神，重点支持区内消防安全产业领域，引导企业研发应急管理新业态，通过财政补助、税收扶持等政策支持应急产业领域中小微企业，促进特色明显、创新能力强的中小微企业加速发展，提升灾害事故防治企业智能制造水平。</w:t>
      </w:r>
    </w:p>
    <w:p>
      <w:pPr>
        <w:spacing w:line="550" w:lineRule="exact"/>
        <w:ind w:firstLine="640" w:firstLineChars="200"/>
        <w:rPr>
          <w:rFonts w:eastAsia="仿宋_GB2312"/>
          <w:sz w:val="32"/>
          <w:szCs w:val="32"/>
        </w:rPr>
      </w:pPr>
      <w:r>
        <w:rPr>
          <w:rFonts w:eastAsia="仿宋_GB2312"/>
          <w:sz w:val="32"/>
          <w:szCs w:val="32"/>
        </w:rPr>
        <w:t>推广应急产品和服务。推动消费观念转变，培育应急产品和服务消费需求，拓宽应急产品营销渠道，推广应用适用于家庭单元和个人的成套应急用品，完善高层建筑、学校、医院、机关等人员密集场所应急设施设备配置及应急产品实物储备，逐步推动保险产品或产业基金投入灾害事故防范救助体系和应急基础设施建设。</w:t>
      </w:r>
    </w:p>
    <w:p>
      <w:pPr>
        <w:spacing w:line="550" w:lineRule="exact"/>
        <w:ind w:firstLine="640" w:firstLineChars="200"/>
        <w:rPr>
          <w:rFonts w:eastAsia="黑体"/>
          <w:sz w:val="32"/>
          <w:szCs w:val="32"/>
        </w:rPr>
      </w:pPr>
      <w:bookmarkStart w:id="53" w:name="_Toc113052466"/>
      <w:bookmarkEnd w:id="53"/>
      <w:r>
        <w:rPr>
          <w:rFonts w:eastAsia="黑体"/>
          <w:sz w:val="32"/>
          <w:szCs w:val="32"/>
        </w:rPr>
        <w:t>九、重点任务</w:t>
      </w:r>
    </w:p>
    <w:p>
      <w:pPr>
        <w:spacing w:line="550" w:lineRule="exact"/>
        <w:ind w:firstLine="643" w:firstLineChars="200"/>
        <w:rPr>
          <w:rFonts w:eastAsia="楷体_GB2312"/>
          <w:b/>
          <w:sz w:val="32"/>
          <w:szCs w:val="32"/>
        </w:rPr>
      </w:pPr>
      <w:bookmarkStart w:id="54" w:name="_Toc113052467"/>
      <w:bookmarkEnd w:id="54"/>
      <w:r>
        <w:rPr>
          <w:rFonts w:eastAsia="楷体_GB2312"/>
          <w:b/>
          <w:sz w:val="32"/>
          <w:szCs w:val="32"/>
        </w:rPr>
        <w:t>（一）安全生产</w:t>
      </w:r>
    </w:p>
    <w:p>
      <w:pPr>
        <w:spacing w:line="550" w:lineRule="exact"/>
        <w:ind w:firstLine="640" w:firstLineChars="200"/>
        <w:rPr>
          <w:rFonts w:eastAsia="仿宋_GB2312"/>
          <w:sz w:val="32"/>
          <w:szCs w:val="32"/>
        </w:rPr>
      </w:pPr>
      <w:r>
        <w:rPr>
          <w:rFonts w:eastAsia="仿宋_GB2312"/>
          <w:sz w:val="32"/>
          <w:szCs w:val="32"/>
        </w:rPr>
        <w:t>夯实安全生产防控基础。严格安全生产准入，实行安全风险分级分类管理，严格落实安全风险管控责任。健全风险辨识管控，开展经常性安全生产隐患排查治理。推进安全生产专项整治，持续开展危险化学品、非煤矿山、消防、烟花爆竹、交通运输、建设工程施工、特种设备、电力、农业机械、城市建设、工贸、渔业船舶、水上交通、自建房等重点行业领域安全生产专项整治，有效防范和遏制各类事故发生。</w:t>
      </w:r>
    </w:p>
    <w:p>
      <w:pPr>
        <w:spacing w:line="550" w:lineRule="exact"/>
        <w:ind w:firstLine="640" w:firstLineChars="200"/>
        <w:rPr>
          <w:rFonts w:eastAsia="仿宋_GB2312"/>
          <w:sz w:val="32"/>
          <w:szCs w:val="32"/>
        </w:rPr>
      </w:pPr>
      <w:r>
        <w:rPr>
          <w:rFonts w:eastAsia="仿宋_GB2312"/>
          <w:sz w:val="32"/>
          <w:szCs w:val="32"/>
        </w:rPr>
        <w:t>提升安全生产执法水平。坚持“双随机、一公开”和“四不两直”检查，深入推进“互联网+执法”系统完善升级和应用。完善安全监管执法人员选拔、培训、考核等制度，充实一线执法队伍，保障执法装备及业务培训，提升一线执法人员履职能力。</w:t>
      </w:r>
    </w:p>
    <w:p>
      <w:pPr>
        <w:spacing w:line="550" w:lineRule="exact"/>
        <w:ind w:firstLine="640" w:firstLineChars="200"/>
        <w:rPr>
          <w:rFonts w:eastAsia="仿宋_GB2312"/>
          <w:sz w:val="32"/>
          <w:szCs w:val="32"/>
        </w:rPr>
      </w:pPr>
      <w:r>
        <w:rPr>
          <w:rFonts w:eastAsia="仿宋_GB2312"/>
          <w:sz w:val="32"/>
          <w:szCs w:val="32"/>
        </w:rPr>
        <w:t>加强安全生产宣传教育。定期开展“安全生产月”、“安全生产万里行”等系列活动，推进安全生产知识进企业、进校园、进机关、进社区、进农村、进家庭、进公共场所工作。</w:t>
      </w:r>
    </w:p>
    <w:p>
      <w:pPr>
        <w:spacing w:line="550" w:lineRule="exact"/>
        <w:ind w:firstLine="643" w:firstLineChars="200"/>
        <w:rPr>
          <w:rFonts w:eastAsia="楷体_GB2312"/>
          <w:b/>
          <w:sz w:val="32"/>
          <w:szCs w:val="32"/>
        </w:rPr>
      </w:pPr>
      <w:bookmarkStart w:id="55" w:name="_Toc113052468"/>
      <w:bookmarkEnd w:id="55"/>
      <w:r>
        <w:rPr>
          <w:rFonts w:eastAsia="楷体_GB2312"/>
          <w:b/>
          <w:sz w:val="32"/>
          <w:szCs w:val="32"/>
        </w:rPr>
        <w:t>（二）森林防灭火</w:t>
      </w:r>
    </w:p>
    <w:p>
      <w:pPr>
        <w:spacing w:line="550" w:lineRule="exact"/>
        <w:ind w:firstLine="640" w:firstLineChars="200"/>
        <w:rPr>
          <w:rFonts w:eastAsia="仿宋_GB2312"/>
          <w:sz w:val="32"/>
          <w:szCs w:val="32"/>
        </w:rPr>
      </w:pPr>
      <w:r>
        <w:rPr>
          <w:rFonts w:eastAsia="仿宋_GB2312"/>
          <w:sz w:val="32"/>
          <w:szCs w:val="32"/>
        </w:rPr>
        <w:t>加强野外火源管控。严格落实全区重点区域森林防火包点责任单位职责清单，严格执行林区生产野外用火审批制度，从源头减少森林火灾的发生，重要节假日、高火险时段，各林区村安排责任人在重点地段、重点山头全天候巡查，对特殊群体落实监护措施，对野外违章用火从严查处，确保火种不上山，火源不入林。</w:t>
      </w:r>
    </w:p>
    <w:p>
      <w:pPr>
        <w:spacing w:line="550" w:lineRule="exact"/>
        <w:ind w:firstLine="640" w:firstLineChars="200"/>
        <w:rPr>
          <w:rFonts w:eastAsia="仿宋_GB2312"/>
          <w:sz w:val="32"/>
          <w:szCs w:val="32"/>
        </w:rPr>
      </w:pPr>
      <w:r>
        <w:rPr>
          <w:rFonts w:eastAsia="仿宋_GB2312"/>
          <w:sz w:val="32"/>
          <w:szCs w:val="32"/>
        </w:rPr>
        <w:t>要强化应急处置水平。结合我区森林火灾特点，修订《九江市柴桑区森林火灾应急预案》并开展应急演练。提升专业森林消防队救援能力，科学安全组织扑救。做好森林消防队伍营房、装备物资、经费和荣誉体系保障。</w:t>
      </w:r>
    </w:p>
    <w:p>
      <w:pPr>
        <w:spacing w:line="550" w:lineRule="exact"/>
        <w:ind w:firstLine="640" w:firstLineChars="200"/>
        <w:rPr>
          <w:rFonts w:eastAsia="仿宋_GB2312"/>
          <w:sz w:val="32"/>
          <w:szCs w:val="32"/>
        </w:rPr>
      </w:pPr>
      <w:r>
        <w:rPr>
          <w:rFonts w:eastAsia="仿宋_GB2312"/>
          <w:sz w:val="32"/>
          <w:szCs w:val="32"/>
        </w:rPr>
        <w:t>加强森林防灭火宣传工作。进一步提升全民森林防灭火意识，林区各级政府加强森林防火宣传，充分利用条幅标语、宣传牌、鸣锣示警、喇叭等传统方式和网络、森林防火码等新媒体方式，营造“森林防火、人人有责”的良好氛围。</w:t>
      </w:r>
    </w:p>
    <w:p>
      <w:pPr>
        <w:spacing w:line="550" w:lineRule="exact"/>
        <w:ind w:firstLine="643" w:firstLineChars="200"/>
        <w:rPr>
          <w:rFonts w:eastAsia="楷体_GB2312"/>
          <w:b/>
          <w:sz w:val="32"/>
          <w:szCs w:val="32"/>
        </w:rPr>
      </w:pPr>
      <w:bookmarkStart w:id="56" w:name="_Toc113052469"/>
      <w:bookmarkEnd w:id="56"/>
      <w:r>
        <w:rPr>
          <w:rFonts w:eastAsia="楷体_GB2312"/>
          <w:b/>
          <w:sz w:val="32"/>
          <w:szCs w:val="32"/>
        </w:rPr>
        <w:t>（三）防汛抗旱</w:t>
      </w:r>
    </w:p>
    <w:p>
      <w:pPr>
        <w:spacing w:line="550" w:lineRule="exact"/>
        <w:ind w:firstLine="640" w:firstLineChars="200"/>
        <w:rPr>
          <w:rFonts w:eastAsia="仿宋_GB2312"/>
          <w:sz w:val="32"/>
          <w:szCs w:val="32"/>
        </w:rPr>
      </w:pPr>
      <w:r>
        <w:rPr>
          <w:rFonts w:eastAsia="仿宋_GB2312"/>
          <w:sz w:val="32"/>
          <w:szCs w:val="32"/>
        </w:rPr>
        <w:t>做好防汛抗旱责任落实。始终坚持人民至上、生命至上，切实维护人民群众生命安全和身体健康。要压实工作责任，严格落实山洪灾害五级联防责任制，形成一级抓一级、层层抓落实的格局。</w:t>
      </w:r>
    </w:p>
    <w:p>
      <w:pPr>
        <w:spacing w:line="550" w:lineRule="exact"/>
        <w:ind w:firstLine="640" w:firstLineChars="200"/>
        <w:rPr>
          <w:rFonts w:eastAsia="仿宋_GB2312"/>
          <w:sz w:val="32"/>
          <w:szCs w:val="32"/>
        </w:rPr>
      </w:pPr>
      <w:r>
        <w:rPr>
          <w:rFonts w:eastAsia="仿宋_GB2312"/>
          <w:sz w:val="32"/>
          <w:szCs w:val="32"/>
        </w:rPr>
        <w:t>强化防汛抗旱物资保障。切实提升防汛抗旱能力水平。健全防汛物资信息管理台账，规范防汛抢险物资采购、储备、调用、报废等程序，优化抢险救援物资、装备储备布局，认真做好防汛设备日常保养和维修，确保防汛抗旱物资关键时刻备得足、调得出、用得上。</w:t>
      </w:r>
    </w:p>
    <w:p>
      <w:pPr>
        <w:spacing w:line="550" w:lineRule="exact"/>
        <w:ind w:firstLine="640" w:firstLineChars="200"/>
        <w:rPr>
          <w:rFonts w:eastAsia="仿宋_GB2312"/>
          <w:sz w:val="32"/>
          <w:szCs w:val="32"/>
        </w:rPr>
      </w:pPr>
      <w:r>
        <w:rPr>
          <w:rFonts w:eastAsia="仿宋_GB2312"/>
          <w:sz w:val="32"/>
          <w:szCs w:val="32"/>
        </w:rPr>
        <w:t>增强工程防汛抗旱能力。保障农业生产需求，全力推进水毁设施修复项目保质保量保进度，重点核查各灌排泵站和节制闸运行、灌排水渠系畅通情况，对运行有障碍的泵站、节制闸和淤塞漏水渠道，及时进行检修维护、清淤补漏，确保灌排渠系相连相通。</w:t>
      </w:r>
    </w:p>
    <w:p>
      <w:pPr>
        <w:spacing w:line="550" w:lineRule="exact"/>
        <w:ind w:firstLine="640" w:firstLineChars="200"/>
        <w:rPr>
          <w:rFonts w:eastAsia="仿宋_GB2312"/>
          <w:sz w:val="32"/>
          <w:szCs w:val="32"/>
        </w:rPr>
      </w:pPr>
      <w:r>
        <w:rPr>
          <w:rFonts w:eastAsia="仿宋_GB2312"/>
          <w:sz w:val="32"/>
          <w:szCs w:val="32"/>
        </w:rPr>
        <w:t>综合防范汛期旱情危机。科学调度水资源，在确保防汛安全的同时，做好蓄水保水等工作，修订完善《九江市柴桑区防汛抗旱应急预案》。提高水风险防范化解及综合应对能力，对全区26座圩堤、67座水库、赛城湖和赤湖认真开展汛前隐患排查，摸清风险底数，全力排查全区排涝设施存在的问题并及时整改。</w:t>
      </w:r>
    </w:p>
    <w:p>
      <w:pPr>
        <w:spacing w:line="550" w:lineRule="exact"/>
        <w:ind w:firstLine="643" w:firstLineChars="200"/>
        <w:rPr>
          <w:rFonts w:eastAsia="楷体_GB2312"/>
          <w:b/>
          <w:sz w:val="32"/>
          <w:szCs w:val="32"/>
        </w:rPr>
      </w:pPr>
      <w:bookmarkStart w:id="57" w:name="_Toc113052470"/>
      <w:bookmarkEnd w:id="57"/>
      <w:r>
        <w:rPr>
          <w:rFonts w:eastAsia="楷体_GB2312"/>
          <w:b/>
          <w:sz w:val="32"/>
          <w:szCs w:val="32"/>
        </w:rPr>
        <w:t>（四）地质灾害</w:t>
      </w:r>
    </w:p>
    <w:p>
      <w:pPr>
        <w:spacing w:line="550" w:lineRule="exact"/>
        <w:ind w:firstLine="640" w:firstLineChars="200"/>
        <w:rPr>
          <w:rFonts w:eastAsia="仿宋_GB2312"/>
          <w:sz w:val="32"/>
          <w:szCs w:val="32"/>
        </w:rPr>
      </w:pPr>
      <w:r>
        <w:rPr>
          <w:rFonts w:eastAsia="仿宋_GB2312"/>
          <w:sz w:val="32"/>
          <w:szCs w:val="32"/>
        </w:rPr>
        <w:t>严格落实组织领导责任。明确各级、各部门在地质灾害应急抢险救援中的工作职责，形成“党委领导、政府统筹、自然资源部门指导、部门协作、群众参与”的新格局。</w:t>
      </w:r>
    </w:p>
    <w:p>
      <w:pPr>
        <w:spacing w:line="550" w:lineRule="exact"/>
        <w:ind w:firstLine="640" w:firstLineChars="200"/>
        <w:rPr>
          <w:rFonts w:eastAsia="仿宋_GB2312"/>
          <w:sz w:val="32"/>
          <w:szCs w:val="32"/>
        </w:rPr>
      </w:pPr>
      <w:r>
        <w:rPr>
          <w:rFonts w:eastAsia="仿宋_GB2312"/>
          <w:sz w:val="32"/>
          <w:szCs w:val="32"/>
        </w:rPr>
        <w:t>开展地质灾害专业调查。全面完成1：5万地质灾害详细调查及风险评价，深入开展全区地质灾害风险普查，进一步摸清地质灾害风险隐患底数，为政府决策和地质灾害防治提供科学依据。</w:t>
      </w:r>
    </w:p>
    <w:p>
      <w:pPr>
        <w:spacing w:line="550" w:lineRule="exact"/>
        <w:ind w:firstLine="640" w:firstLineChars="200"/>
        <w:rPr>
          <w:rFonts w:eastAsia="仿宋_GB2312"/>
          <w:sz w:val="32"/>
          <w:szCs w:val="32"/>
        </w:rPr>
      </w:pPr>
      <w:r>
        <w:rPr>
          <w:rFonts w:eastAsia="仿宋_GB2312"/>
          <w:sz w:val="32"/>
          <w:szCs w:val="32"/>
        </w:rPr>
        <w:t>加强地质灾害隐患排查消除。进一步加强对地质灾害的预警、防范和处理工作，新建25处地质灾害自动化监测站点，全面排查辖区山体斜坡、道路护坡、水库坝体等安全隐患点，完成30个小型地质灾害隐患点治理工程。</w:t>
      </w:r>
    </w:p>
    <w:p>
      <w:pPr>
        <w:spacing w:line="550" w:lineRule="exact"/>
        <w:ind w:firstLine="640" w:firstLineChars="200"/>
        <w:rPr>
          <w:rFonts w:eastAsia="仿宋_GB2312"/>
          <w:sz w:val="32"/>
          <w:szCs w:val="32"/>
        </w:rPr>
      </w:pPr>
      <w:r>
        <w:rPr>
          <w:rFonts w:eastAsia="仿宋_GB2312"/>
          <w:sz w:val="32"/>
          <w:szCs w:val="32"/>
        </w:rPr>
        <w:t>健全地质灾害应急响应机制。修订完善《九江市柴桑区突发地质灾害应急预案》，推动各乡（镇）编制地质灾害防灾方案，组织开展年度地质灾害综合应急演练。</w:t>
      </w:r>
    </w:p>
    <w:p>
      <w:pPr>
        <w:spacing w:line="550" w:lineRule="exact"/>
        <w:ind w:firstLine="643" w:firstLineChars="200"/>
        <w:rPr>
          <w:rFonts w:eastAsia="楷体_GB2312"/>
          <w:b/>
          <w:sz w:val="32"/>
          <w:szCs w:val="32"/>
        </w:rPr>
      </w:pPr>
      <w:bookmarkStart w:id="58" w:name="_Toc113052471"/>
      <w:bookmarkEnd w:id="58"/>
      <w:r>
        <w:rPr>
          <w:rFonts w:eastAsia="楷体_GB2312"/>
          <w:b/>
          <w:sz w:val="32"/>
          <w:szCs w:val="32"/>
        </w:rPr>
        <w:t>（五）地震灾害</w:t>
      </w:r>
    </w:p>
    <w:p>
      <w:pPr>
        <w:spacing w:line="550" w:lineRule="exact"/>
        <w:ind w:firstLine="640" w:firstLineChars="200"/>
        <w:rPr>
          <w:rFonts w:eastAsia="仿宋_GB2312"/>
          <w:sz w:val="32"/>
          <w:szCs w:val="32"/>
        </w:rPr>
      </w:pPr>
      <w:r>
        <w:rPr>
          <w:rFonts w:eastAsia="仿宋_GB2312"/>
          <w:sz w:val="32"/>
          <w:szCs w:val="32"/>
        </w:rPr>
        <w:t>提升地震监测预报预警能力。提升地震监测信息化智能化水平，建设地震易发区地震预评估与灾情快速评估系统，实现观测数据异常自动识别、指标判定与预测结果自动产出，地震基本参数自动速报时效小于1分钟，切实保障群众生命财产安全。</w:t>
      </w:r>
    </w:p>
    <w:p>
      <w:pPr>
        <w:spacing w:line="550" w:lineRule="exact"/>
        <w:ind w:firstLine="640" w:firstLineChars="200"/>
        <w:rPr>
          <w:rFonts w:eastAsia="仿宋_GB2312"/>
          <w:sz w:val="32"/>
          <w:szCs w:val="32"/>
        </w:rPr>
      </w:pPr>
      <w:r>
        <w:rPr>
          <w:rFonts w:eastAsia="仿宋_GB2312"/>
          <w:sz w:val="32"/>
          <w:szCs w:val="32"/>
        </w:rPr>
        <w:t>加强地震应急保障能力。优化现有应急避难场所设施，每个乡镇至少建设一个应急避难场所。积极组织学校、医院、企业、政府部门开展形式多样的地震应急演练，检验应急预案的可操作性，切实提高各级政府部门和社会公众地震应急救援能力。</w:t>
      </w:r>
    </w:p>
    <w:p>
      <w:pPr>
        <w:spacing w:line="550" w:lineRule="exact"/>
        <w:ind w:firstLine="640" w:firstLineChars="200"/>
        <w:rPr>
          <w:rFonts w:eastAsia="仿宋_GB2312"/>
          <w:sz w:val="32"/>
          <w:szCs w:val="32"/>
        </w:rPr>
      </w:pPr>
      <w:r>
        <w:rPr>
          <w:rFonts w:eastAsia="仿宋_GB2312"/>
          <w:sz w:val="32"/>
          <w:szCs w:val="32"/>
        </w:rPr>
        <w:t>推进防震减灾宣传教育。结合“七进”工作，组织开展大型防震减灾科普宣传活动。积极推进“互联网＋防震减灾科普”的应用创新，加强互联网在防震减灾科普中的应用，提高社会公众参与的主动性和积极性。</w:t>
      </w:r>
    </w:p>
    <w:p>
      <w:pPr>
        <w:spacing w:line="550" w:lineRule="exact"/>
        <w:ind w:firstLine="643" w:firstLineChars="200"/>
        <w:rPr>
          <w:rFonts w:eastAsia="楷体_GB2312"/>
          <w:b/>
          <w:sz w:val="32"/>
          <w:szCs w:val="32"/>
        </w:rPr>
      </w:pPr>
      <w:bookmarkStart w:id="59" w:name="_Toc113052472"/>
      <w:bookmarkEnd w:id="59"/>
      <w:r>
        <w:rPr>
          <w:rFonts w:eastAsia="楷体_GB2312"/>
          <w:b/>
          <w:sz w:val="32"/>
          <w:szCs w:val="32"/>
        </w:rPr>
        <w:t>（六）减灾救灾</w:t>
      </w:r>
    </w:p>
    <w:p>
      <w:pPr>
        <w:spacing w:line="550" w:lineRule="exact"/>
        <w:ind w:firstLine="640" w:firstLineChars="200"/>
        <w:rPr>
          <w:rFonts w:eastAsia="仿宋_GB2312"/>
          <w:sz w:val="32"/>
          <w:szCs w:val="32"/>
        </w:rPr>
      </w:pPr>
      <w:r>
        <w:rPr>
          <w:rFonts w:eastAsia="仿宋_GB2312"/>
          <w:sz w:val="32"/>
          <w:szCs w:val="32"/>
        </w:rPr>
        <w:t>加强应急物资保障工作。全面加强救灾物资储备体系建设，拓宽应急物资来源渠道，不断提高救灾物资储备能力；加强应急物资储备管理，扩大物资储备品种和数量；提升紧急运输调控能力，确保救灾工作需要。</w:t>
      </w:r>
    </w:p>
    <w:p>
      <w:pPr>
        <w:spacing w:line="550" w:lineRule="exact"/>
        <w:ind w:firstLine="640" w:firstLineChars="200"/>
        <w:rPr>
          <w:rFonts w:eastAsia="仿宋_GB2312"/>
          <w:sz w:val="32"/>
          <w:szCs w:val="32"/>
        </w:rPr>
      </w:pPr>
      <w:r>
        <w:rPr>
          <w:rFonts w:eastAsia="仿宋_GB2312"/>
          <w:sz w:val="32"/>
          <w:szCs w:val="32"/>
        </w:rPr>
        <w:t>健全灾害救助工作机制。强化灾情信息管理，统筹灾后救助恢复，进一步强化部门协作，健全工作机制、完善政策措施、落实救助资金，有效保障受灾群众基本生活。健全灾情评估机制，强化灾后风险管控。完善社会救助体系，鼓励引导慈善组织、社会工作服务机构、志愿服务组织等社会力量通过各种形式，有序参与受灾群众救助工作，引导社会组织依法合规参与灾后恢复重建工作。</w:t>
      </w:r>
    </w:p>
    <w:p>
      <w:pPr>
        <w:spacing w:line="550" w:lineRule="exact"/>
        <w:ind w:firstLine="643" w:firstLineChars="200"/>
        <w:rPr>
          <w:rFonts w:eastAsia="楷体_GB2312"/>
          <w:b/>
          <w:sz w:val="32"/>
          <w:szCs w:val="32"/>
        </w:rPr>
      </w:pPr>
      <w:bookmarkStart w:id="60" w:name="_Toc113052473"/>
      <w:bookmarkEnd w:id="60"/>
      <w:r>
        <w:rPr>
          <w:rFonts w:eastAsia="楷体_GB2312"/>
          <w:b/>
          <w:sz w:val="32"/>
          <w:szCs w:val="32"/>
        </w:rPr>
        <w:t>（七）消防救援</w:t>
      </w:r>
    </w:p>
    <w:p>
      <w:pPr>
        <w:spacing w:line="550" w:lineRule="exact"/>
        <w:ind w:firstLine="640" w:firstLineChars="200"/>
        <w:rPr>
          <w:rFonts w:eastAsia="仿宋_GB2312"/>
          <w:sz w:val="32"/>
          <w:szCs w:val="32"/>
        </w:rPr>
      </w:pPr>
      <w:r>
        <w:rPr>
          <w:rFonts w:eastAsia="仿宋_GB2312"/>
          <w:sz w:val="32"/>
          <w:szCs w:val="32"/>
        </w:rPr>
        <w:t>强化消防救援力量体系。推动我区消防救援人员参加全省各类专业队基地轮训，逐一开展资质评估。加强灭火救援能力建设，强化实战化训练。大力发展消防救援队伍，扩充现有消防救援队伍每年不少于10-15人。组建一定规模的“全灾种”救援队伍，探索消防救援队伍由单一功能转向防火救火、自然灾害抢险和社会事件救援三个功能维度，立足“一专多能、一队多用”。</w:t>
      </w:r>
    </w:p>
    <w:p>
      <w:pPr>
        <w:spacing w:line="550" w:lineRule="exact"/>
        <w:ind w:firstLine="640" w:firstLineChars="200"/>
        <w:rPr>
          <w:rFonts w:eastAsia="仿宋_GB2312"/>
          <w:sz w:val="32"/>
          <w:szCs w:val="32"/>
        </w:rPr>
      </w:pPr>
      <w:r>
        <w:rPr>
          <w:rFonts w:eastAsia="仿宋_GB2312"/>
          <w:sz w:val="32"/>
          <w:szCs w:val="32"/>
        </w:rPr>
        <w:t>推进智慧消防建设工作。建成区应急指挥中心，建设“智赣119”消防物联网大数据平台，实现多系统平台数据资源的互联共享。各消防救援站完成接处警系统、会议视频系统和消防救援站营区监控建设及通信装备；执勤车辆100%配备一体化车载通信终端，做好应急通信保障。</w:t>
      </w:r>
    </w:p>
    <w:p>
      <w:pPr>
        <w:spacing w:line="550" w:lineRule="exact"/>
        <w:ind w:firstLine="640" w:firstLineChars="200"/>
        <w:rPr>
          <w:rFonts w:eastAsia="仿宋_GB2312"/>
          <w:sz w:val="32"/>
          <w:szCs w:val="32"/>
        </w:rPr>
      </w:pPr>
      <w:r>
        <w:rPr>
          <w:rFonts w:eastAsia="仿宋_GB2312"/>
          <w:sz w:val="32"/>
          <w:szCs w:val="32"/>
        </w:rPr>
        <w:t>增强消防综合保障能力。不断提升城镇公共场所消防设施一体化建设水平。按照《“十四五”国家消防工作规划》、《江西省“十四五”消防救援事业发展规划》和《九江市“十四五”消防救援事业发展规划》要求，配齐训练设施、基本作战装备、特种灾害救援装备、个人防护装备，其中特种灾害救援装备配备比例不低于10%。建成消防战勤保障分队，储备持续时间不少于72小时的战勤保障物资，构建“1小时”保障圈。新建柴桑区高铁新区消防站，力争到2025年新增300个消火栓，实现城乡消防安全基础提质增效。完善消防职业保障机制，激励广大消防救援人员忠诚履职、许党报国。</w:t>
      </w:r>
    </w:p>
    <w:p>
      <w:pPr>
        <w:spacing w:line="550" w:lineRule="exact"/>
        <w:ind w:firstLine="640" w:firstLineChars="200"/>
        <w:rPr>
          <w:rFonts w:eastAsia="黑体"/>
          <w:sz w:val="32"/>
          <w:szCs w:val="32"/>
        </w:rPr>
      </w:pPr>
      <w:bookmarkStart w:id="61" w:name="_Toc113052474"/>
      <w:bookmarkEnd w:id="61"/>
      <w:r>
        <w:rPr>
          <w:rFonts w:eastAsia="黑体"/>
          <w:sz w:val="32"/>
          <w:szCs w:val="32"/>
        </w:rPr>
        <w:t>十、重点工程</w:t>
      </w:r>
    </w:p>
    <w:p>
      <w:pPr>
        <w:spacing w:line="550" w:lineRule="exact"/>
        <w:ind w:firstLine="643" w:firstLineChars="200"/>
        <w:rPr>
          <w:rFonts w:eastAsia="楷体_GB2312"/>
          <w:b/>
          <w:sz w:val="32"/>
          <w:szCs w:val="32"/>
        </w:rPr>
      </w:pPr>
      <w:bookmarkStart w:id="62" w:name="_Toc113052475"/>
      <w:bookmarkEnd w:id="62"/>
      <w:r>
        <w:rPr>
          <w:rFonts w:eastAsia="楷体_GB2312"/>
          <w:b/>
          <w:sz w:val="32"/>
          <w:szCs w:val="32"/>
        </w:rPr>
        <w:t>（一）应急指挥能力提升工程</w:t>
      </w:r>
    </w:p>
    <w:p>
      <w:pPr>
        <w:spacing w:line="550" w:lineRule="exact"/>
        <w:ind w:firstLine="643" w:firstLineChars="200"/>
        <w:rPr>
          <w:rFonts w:eastAsia="仿宋_GB2312"/>
          <w:b/>
          <w:sz w:val="32"/>
          <w:szCs w:val="32"/>
        </w:rPr>
      </w:pPr>
      <w:bookmarkStart w:id="63" w:name="_Toc113052476"/>
      <w:bookmarkEnd w:id="63"/>
      <w:r>
        <w:rPr>
          <w:rFonts w:eastAsia="仿宋_GB2312"/>
          <w:b/>
          <w:sz w:val="32"/>
          <w:szCs w:val="32"/>
        </w:rPr>
        <w:t>1．柴桑区应急指挥中心工程</w:t>
      </w:r>
    </w:p>
    <w:p>
      <w:pPr>
        <w:spacing w:line="550" w:lineRule="exact"/>
        <w:ind w:firstLine="640" w:firstLineChars="200"/>
        <w:rPr>
          <w:rFonts w:eastAsia="仿宋_GB2312"/>
          <w:sz w:val="32"/>
          <w:szCs w:val="32"/>
        </w:rPr>
      </w:pPr>
      <w:r>
        <w:rPr>
          <w:rFonts w:eastAsia="仿宋_GB2312"/>
          <w:sz w:val="32"/>
          <w:szCs w:val="32"/>
        </w:rPr>
        <w:t>根据《九江市应急指挥信息系统规范化建设指导意见》，拓展指挥场所，按要求落实各功能空间，提升通信系统、显示系统、音频系统等支撑保障能力，强化指挥调度信息化支撑。推进包括应急指挥平台、值班保障用房、公用配套设施等内容的应急指挥中心建设，与地方政府部门音频、视频等通信数据信号对接，增强不同网络、不同设备信号的有机结合，在应急处置中做到与其他部门信息互联互通，高效发挥应急指挥中心作用。</w:t>
      </w:r>
    </w:p>
    <w:p>
      <w:pPr>
        <w:spacing w:line="550" w:lineRule="exact"/>
        <w:ind w:firstLine="643" w:firstLineChars="200"/>
        <w:rPr>
          <w:rFonts w:eastAsia="仿宋_GB2312"/>
          <w:b/>
          <w:sz w:val="32"/>
          <w:szCs w:val="32"/>
        </w:rPr>
      </w:pPr>
      <w:bookmarkStart w:id="64" w:name="_Toc113052477"/>
      <w:bookmarkEnd w:id="64"/>
      <w:r>
        <w:rPr>
          <w:rFonts w:eastAsia="仿宋_GB2312"/>
          <w:b/>
          <w:sz w:val="32"/>
          <w:szCs w:val="32"/>
        </w:rPr>
        <w:t>2．乡镇基层应急体系建设工程</w:t>
      </w:r>
    </w:p>
    <w:p>
      <w:pPr>
        <w:spacing w:line="550" w:lineRule="exact"/>
        <w:ind w:firstLine="640" w:firstLineChars="200"/>
        <w:rPr>
          <w:rFonts w:eastAsia="仿宋_GB2312"/>
          <w:sz w:val="32"/>
          <w:szCs w:val="32"/>
        </w:rPr>
      </w:pPr>
      <w:r>
        <w:rPr>
          <w:rFonts w:eastAsia="仿宋_GB2312"/>
          <w:sz w:val="32"/>
          <w:szCs w:val="32"/>
        </w:rPr>
        <w:t>推进乡镇基层应急体系建设，深化网格化管理，不断完善区、乡（镇、场、街道）、行政村、村民小组四级应急管理体系，每年至少对各级网格员开展一次集中培训，提升其应急处突能力，统筹应急管理、安全监管、防灾减灾三大职能，完善政府主导、分级负责、上下合作、社会联动的应急管理机制，全面推进基层应急管理工作“一张网”、“一盘棋”，形成“区中有网、网中有格、格中定人、人人尽责”的工作格局，最大限度避免、减少人员伤亡和财产损失，每个乡镇至少建设一个应急避难场所，力争创建1个省级综合减灾示范社区。</w:t>
      </w:r>
    </w:p>
    <w:p>
      <w:pPr>
        <w:spacing w:line="550" w:lineRule="exact"/>
        <w:ind w:firstLine="643" w:firstLineChars="200"/>
        <w:rPr>
          <w:rFonts w:eastAsia="楷体_GB2312"/>
          <w:b/>
          <w:sz w:val="32"/>
          <w:szCs w:val="32"/>
        </w:rPr>
      </w:pPr>
      <w:bookmarkStart w:id="65" w:name="_Toc113052478"/>
      <w:bookmarkEnd w:id="65"/>
      <w:r>
        <w:rPr>
          <w:rFonts w:eastAsia="楷体_GB2312"/>
          <w:b/>
          <w:sz w:val="32"/>
          <w:szCs w:val="32"/>
        </w:rPr>
        <w:t>（二）安全生产能力提升工程</w:t>
      </w:r>
    </w:p>
    <w:p>
      <w:pPr>
        <w:spacing w:line="550" w:lineRule="exact"/>
        <w:ind w:firstLine="643" w:firstLineChars="200"/>
        <w:rPr>
          <w:rFonts w:eastAsia="仿宋_GB2312"/>
          <w:b/>
          <w:sz w:val="32"/>
          <w:szCs w:val="32"/>
        </w:rPr>
      </w:pPr>
      <w:bookmarkStart w:id="66" w:name="_Toc113052479"/>
      <w:bookmarkEnd w:id="66"/>
      <w:r>
        <w:rPr>
          <w:rFonts w:eastAsia="仿宋_GB2312"/>
          <w:b/>
          <w:sz w:val="32"/>
          <w:szCs w:val="32"/>
        </w:rPr>
        <w:t>1．安全生产标准化提升工程</w:t>
      </w:r>
    </w:p>
    <w:p>
      <w:pPr>
        <w:spacing w:line="550" w:lineRule="exact"/>
        <w:ind w:firstLine="640" w:firstLineChars="200"/>
        <w:rPr>
          <w:rFonts w:eastAsia="仿宋_GB2312"/>
          <w:sz w:val="32"/>
          <w:szCs w:val="32"/>
        </w:rPr>
      </w:pPr>
      <w:r>
        <w:rPr>
          <w:rFonts w:eastAsia="仿宋_GB2312"/>
          <w:sz w:val="32"/>
          <w:szCs w:val="32"/>
        </w:rPr>
        <w:t>在危险化学品、商贸等行业领域全面开展安全生产标准化建设提升工程，进一步完善有利于安全生产标准化建设的激励约束政策措施，将企业安全生产标准化建设作为信贷信用、社会信用、安全生产信用等级评定的重要依据，在项目批准、用地审批、银行贷款和评先评优等资格方面优先支持或推荐，推进企业单位开展安全生产标准化创建提升工作。</w:t>
      </w:r>
    </w:p>
    <w:p>
      <w:pPr>
        <w:spacing w:line="550" w:lineRule="exact"/>
        <w:ind w:firstLine="643" w:firstLineChars="200"/>
        <w:rPr>
          <w:rFonts w:eastAsia="仿宋_GB2312"/>
          <w:b/>
          <w:sz w:val="32"/>
          <w:szCs w:val="32"/>
        </w:rPr>
      </w:pPr>
      <w:bookmarkStart w:id="67" w:name="_Toc113052480"/>
      <w:bookmarkEnd w:id="67"/>
      <w:r>
        <w:rPr>
          <w:rFonts w:eastAsia="仿宋_GB2312"/>
          <w:b/>
          <w:sz w:val="32"/>
          <w:szCs w:val="32"/>
        </w:rPr>
        <w:t>2．安全气象数据互联互通工程</w:t>
      </w:r>
    </w:p>
    <w:p>
      <w:pPr>
        <w:spacing w:line="550" w:lineRule="exact"/>
        <w:ind w:firstLine="640" w:firstLineChars="200"/>
        <w:rPr>
          <w:rFonts w:eastAsia="仿宋_GB2312"/>
          <w:sz w:val="32"/>
          <w:szCs w:val="32"/>
        </w:rPr>
      </w:pPr>
      <w:r>
        <w:rPr>
          <w:rFonts w:eastAsia="仿宋_GB2312"/>
          <w:sz w:val="32"/>
          <w:szCs w:val="32"/>
        </w:rPr>
        <w:t>深入挖掘气象部门卫星监测系统的成果价值，通过网络专线，将卫星监测系统的数据引入应急指挥中心，在可视范围内建立起一张全天候、多角度、大范围的安全监控网，实现火情、重特大公共突发事件、自然灾害等的监测、预测、决策和处置，推进安全监管向智慧化和现代化转变，提高安全监管和应急处置工作效率。</w:t>
      </w:r>
    </w:p>
    <w:p>
      <w:pPr>
        <w:spacing w:line="550" w:lineRule="exact"/>
        <w:ind w:firstLine="643" w:firstLineChars="200"/>
        <w:rPr>
          <w:rFonts w:eastAsia="楷体_GB2312"/>
          <w:b/>
          <w:sz w:val="32"/>
          <w:szCs w:val="32"/>
        </w:rPr>
      </w:pPr>
      <w:bookmarkStart w:id="68" w:name="_Toc113052481"/>
      <w:bookmarkEnd w:id="68"/>
      <w:r>
        <w:rPr>
          <w:rFonts w:eastAsia="楷体_GB2312"/>
          <w:b/>
          <w:sz w:val="32"/>
          <w:szCs w:val="32"/>
        </w:rPr>
        <w:t>（三）防灾减灾能力提升工程</w:t>
      </w:r>
    </w:p>
    <w:p>
      <w:pPr>
        <w:spacing w:line="550" w:lineRule="exact"/>
        <w:ind w:firstLine="643" w:firstLineChars="200"/>
        <w:rPr>
          <w:rFonts w:eastAsia="仿宋_GB2312"/>
          <w:b/>
          <w:sz w:val="32"/>
          <w:szCs w:val="32"/>
        </w:rPr>
      </w:pPr>
      <w:bookmarkStart w:id="69" w:name="_Toc113052482"/>
      <w:bookmarkEnd w:id="69"/>
      <w:r>
        <w:rPr>
          <w:rFonts w:eastAsia="仿宋_GB2312"/>
          <w:b/>
          <w:sz w:val="32"/>
          <w:szCs w:val="32"/>
        </w:rPr>
        <w:t>1．1/50000地质灾害风险调查与区划工程</w:t>
      </w:r>
    </w:p>
    <w:p>
      <w:pPr>
        <w:spacing w:line="550" w:lineRule="exact"/>
        <w:ind w:firstLine="640" w:firstLineChars="200"/>
        <w:rPr>
          <w:rFonts w:eastAsia="仿宋_GB2312"/>
          <w:sz w:val="32"/>
          <w:szCs w:val="32"/>
        </w:rPr>
      </w:pPr>
      <w:r>
        <w:rPr>
          <w:rFonts w:eastAsia="仿宋_GB2312"/>
          <w:sz w:val="32"/>
          <w:szCs w:val="32"/>
        </w:rPr>
        <w:t>以收集资料为基础，以遥感解译、地面调查等为主要工作手段，开展柴桑区1/50000地质灾害风险调查与区划工作。对本区进行地质灾害易发性、危险性、易损性及风险评价，形成以区域为单元的地质灾害易发程度区划图、危险区区划图、易损性分布图和风险区划图，并对地质灾害风险防控措施进行分析，提出地质灾害防治措施建议，为本区防灾减灾服务，为地质灾害防治规划提供依据，建立地质灾害风险调查空间数据库。</w:t>
      </w:r>
    </w:p>
    <w:p>
      <w:pPr>
        <w:spacing w:line="550" w:lineRule="exact"/>
        <w:ind w:firstLine="643" w:firstLineChars="200"/>
        <w:rPr>
          <w:rFonts w:eastAsia="仿宋_GB2312"/>
          <w:b/>
          <w:sz w:val="32"/>
          <w:szCs w:val="32"/>
        </w:rPr>
      </w:pPr>
      <w:bookmarkStart w:id="70" w:name="_Toc113052483"/>
      <w:bookmarkEnd w:id="70"/>
      <w:r>
        <w:rPr>
          <w:rFonts w:eastAsia="仿宋_GB2312"/>
          <w:b/>
          <w:sz w:val="32"/>
          <w:szCs w:val="32"/>
        </w:rPr>
        <w:t>2．自然灾害综合风险普查工程</w:t>
      </w:r>
    </w:p>
    <w:p>
      <w:pPr>
        <w:spacing w:line="550" w:lineRule="exact"/>
        <w:ind w:firstLine="640" w:firstLineChars="200"/>
        <w:rPr>
          <w:rFonts w:eastAsia="仿宋_GB2312"/>
          <w:sz w:val="32"/>
          <w:szCs w:val="32"/>
        </w:rPr>
      </w:pPr>
      <w:r>
        <w:rPr>
          <w:rFonts w:eastAsia="仿宋_GB2312"/>
          <w:sz w:val="32"/>
          <w:szCs w:val="32"/>
        </w:rPr>
        <w:t>按照国家开展第一次全国自然灾害综合风险普查的统一部署开展柴桑区自然灾害综合风险普查，摸清自然灾害风险底数，全面获取本区地震灾害、地质灾害、气象灾害、水旱灾害、森林火灾的致灾信息，把握自然灾害风险规律，评估政府、社会和基层三方面的防灾减灾救灾能力，编制地质灾害风险区划和防治区划，形成分区域、分类型的自然灾害综合风险基础数据库。</w:t>
      </w:r>
    </w:p>
    <w:p>
      <w:pPr>
        <w:spacing w:line="550" w:lineRule="exact"/>
        <w:ind w:firstLine="643" w:firstLineChars="200"/>
        <w:rPr>
          <w:rFonts w:eastAsia="仿宋_GB2312"/>
          <w:b/>
          <w:sz w:val="32"/>
          <w:szCs w:val="32"/>
        </w:rPr>
      </w:pPr>
      <w:bookmarkStart w:id="71" w:name="_Toc113052484"/>
      <w:bookmarkEnd w:id="71"/>
      <w:r>
        <w:rPr>
          <w:rFonts w:eastAsia="仿宋_GB2312"/>
          <w:b/>
          <w:sz w:val="32"/>
          <w:szCs w:val="32"/>
        </w:rPr>
        <w:t>3．环庐山生物防火林带建设工程</w:t>
      </w:r>
    </w:p>
    <w:p>
      <w:pPr>
        <w:spacing w:line="550" w:lineRule="exact"/>
        <w:ind w:firstLine="640" w:firstLineChars="200"/>
        <w:rPr>
          <w:rFonts w:eastAsia="仿宋_GB2312"/>
          <w:sz w:val="32"/>
          <w:szCs w:val="32"/>
        </w:rPr>
      </w:pPr>
      <w:r>
        <w:rPr>
          <w:rFonts w:eastAsia="仿宋_GB2312"/>
          <w:sz w:val="32"/>
          <w:szCs w:val="32"/>
        </w:rPr>
        <w:t>在充分利用现有阻隔带的基础上，通过培育、改造、新建等措施，到2025年完成长5.5公里、宽60米的生物防火带，具体为建设一条长5.5公里、宽10米的消防通道，依托消防通道建设一条长5.5公里、宽50米的生物防火林带，栽植木荷、油茶等经济林果防火树种2.2万棵，逐步形成林带与自然、工程阻隔带相互衔接的林火阻隔网络，提高预防和控制森林火灾能力，保护庐山森林资源，保护生态环境，为社会、经济的可持续发展服务。</w:t>
      </w:r>
    </w:p>
    <w:p>
      <w:pPr>
        <w:spacing w:line="550" w:lineRule="exact"/>
        <w:ind w:firstLine="643" w:firstLineChars="200"/>
        <w:rPr>
          <w:rFonts w:eastAsia="仿宋_GB2312"/>
          <w:b/>
          <w:sz w:val="32"/>
          <w:szCs w:val="32"/>
        </w:rPr>
      </w:pPr>
      <w:bookmarkStart w:id="72" w:name="_Toc113052485"/>
      <w:bookmarkEnd w:id="72"/>
      <w:r>
        <w:rPr>
          <w:rFonts w:eastAsia="仿宋_GB2312"/>
          <w:b/>
          <w:sz w:val="32"/>
          <w:szCs w:val="32"/>
        </w:rPr>
        <w:t>4．专业森林消防队营房建设工程</w:t>
      </w:r>
    </w:p>
    <w:p>
      <w:pPr>
        <w:spacing w:line="550" w:lineRule="exact"/>
        <w:ind w:firstLine="640" w:firstLineChars="200"/>
        <w:rPr>
          <w:rFonts w:eastAsia="仿宋_GB2312"/>
          <w:sz w:val="32"/>
          <w:szCs w:val="32"/>
        </w:rPr>
      </w:pPr>
      <w:r>
        <w:rPr>
          <w:rFonts w:eastAsia="仿宋_GB2312"/>
          <w:sz w:val="32"/>
          <w:szCs w:val="32"/>
        </w:rPr>
        <w:t>按照《专业森林消防队正规化建设的意见》要求，参照省专业队营房标准，建设占地面积达到8亩、可供至少30名消防队员使用的森林消防队营房，初步具备森林防火指挥中心、视频会议、办公、值班值勤、宣教、活动训练、住宿、物资储备等功能，并配套运动场、练兵场、食堂、装备库、车库等，加强规划建设水平，巩固和提高森防队伍灭火救援战斗力，为全区森林防灭火提供坚强的保障。</w:t>
      </w:r>
    </w:p>
    <w:p>
      <w:pPr>
        <w:spacing w:line="550" w:lineRule="exact"/>
        <w:ind w:firstLine="640" w:firstLineChars="200"/>
        <w:rPr>
          <w:rFonts w:eastAsia="黑体"/>
          <w:sz w:val="32"/>
          <w:szCs w:val="32"/>
        </w:rPr>
      </w:pPr>
      <w:bookmarkStart w:id="73" w:name="_Toc113052486"/>
      <w:bookmarkEnd w:id="73"/>
      <w:r>
        <w:rPr>
          <w:rFonts w:eastAsia="黑体"/>
          <w:sz w:val="32"/>
          <w:szCs w:val="32"/>
        </w:rPr>
        <w:t>十一、保障措施</w:t>
      </w:r>
    </w:p>
    <w:p>
      <w:pPr>
        <w:spacing w:line="550" w:lineRule="exact"/>
        <w:ind w:firstLine="643" w:firstLineChars="200"/>
        <w:rPr>
          <w:rFonts w:eastAsia="楷体_GB2312"/>
          <w:b/>
          <w:sz w:val="32"/>
          <w:szCs w:val="32"/>
        </w:rPr>
      </w:pPr>
      <w:bookmarkStart w:id="74" w:name="_Toc113052487"/>
      <w:bookmarkEnd w:id="74"/>
      <w:r>
        <w:rPr>
          <w:rFonts w:eastAsia="楷体_GB2312"/>
          <w:b/>
          <w:sz w:val="32"/>
          <w:szCs w:val="32"/>
        </w:rPr>
        <w:t>（一）统一领导、精心组织</w:t>
      </w:r>
    </w:p>
    <w:p>
      <w:pPr>
        <w:spacing w:line="550" w:lineRule="exact"/>
        <w:ind w:firstLine="640" w:firstLineChars="200"/>
        <w:rPr>
          <w:rFonts w:eastAsia="仿宋_GB2312"/>
          <w:sz w:val="32"/>
          <w:szCs w:val="32"/>
        </w:rPr>
      </w:pPr>
      <w:r>
        <w:rPr>
          <w:rFonts w:eastAsia="仿宋_GB2312"/>
          <w:sz w:val="32"/>
          <w:szCs w:val="32"/>
        </w:rPr>
        <w:t>各级党委政府和各有关部门要充分发挥规划引领作用，切实加强组织领导，紧密联系本地本部门实际，细化落实工作责任和建设任务，制定切实可行的规划实施方案和推进计划，共同做好各项工作。各级党委政府要加强沟通协调、建立联动机制、明确责任归属、理顺体制机制，打造无缝衔接的应急管理规划实施平台，确保规划任务有序推进、目标如期完成。</w:t>
      </w:r>
    </w:p>
    <w:p>
      <w:pPr>
        <w:spacing w:line="550" w:lineRule="exact"/>
        <w:ind w:firstLine="643" w:firstLineChars="200"/>
        <w:rPr>
          <w:rFonts w:eastAsia="楷体_GB2312"/>
          <w:b/>
          <w:sz w:val="32"/>
          <w:szCs w:val="32"/>
        </w:rPr>
      </w:pPr>
      <w:bookmarkStart w:id="75" w:name="_Toc113052488"/>
      <w:bookmarkEnd w:id="75"/>
      <w:r>
        <w:rPr>
          <w:rFonts w:eastAsia="楷体_GB2312"/>
          <w:b/>
          <w:sz w:val="32"/>
          <w:szCs w:val="32"/>
        </w:rPr>
        <w:t>（二）财政保障、顺利实施</w:t>
      </w:r>
    </w:p>
    <w:p>
      <w:pPr>
        <w:spacing w:line="550" w:lineRule="exact"/>
        <w:ind w:firstLine="640" w:firstLineChars="200"/>
        <w:rPr>
          <w:rFonts w:eastAsia="仿宋_GB2312"/>
          <w:sz w:val="32"/>
          <w:szCs w:val="32"/>
        </w:rPr>
      </w:pPr>
      <w:r>
        <w:rPr>
          <w:rFonts w:eastAsia="仿宋_GB2312"/>
          <w:sz w:val="32"/>
          <w:szCs w:val="32"/>
        </w:rPr>
        <w:t>各级党委政府要将安全生产、防灾减灾救灾、森林防灭火、消防、地质灾害防治等应急管理经费列入本级财政预算，加强重点工程建设方面的经费投入，将重点工程建设列为财政重点保障对象，用好中央直补资金，加强金融信贷支持，鼓励和动员社会化投入，切实保障应急管理工作持续健康发展。</w:t>
      </w:r>
    </w:p>
    <w:p>
      <w:pPr>
        <w:spacing w:line="550" w:lineRule="exact"/>
        <w:ind w:firstLine="643" w:firstLineChars="200"/>
        <w:rPr>
          <w:rFonts w:eastAsia="楷体_GB2312"/>
          <w:b/>
          <w:sz w:val="32"/>
          <w:szCs w:val="32"/>
        </w:rPr>
      </w:pPr>
      <w:bookmarkStart w:id="76" w:name="_Toc113052489"/>
      <w:bookmarkEnd w:id="76"/>
      <w:r>
        <w:rPr>
          <w:rFonts w:eastAsia="楷体_GB2312"/>
          <w:b/>
          <w:sz w:val="32"/>
          <w:szCs w:val="32"/>
        </w:rPr>
        <w:t>（三）跟踪督查、考核评估</w:t>
      </w:r>
    </w:p>
    <w:p>
      <w:pPr>
        <w:spacing w:line="550" w:lineRule="exact"/>
        <w:ind w:firstLine="640" w:firstLineChars="200"/>
        <w:rPr>
          <w:rFonts w:eastAsia="仿宋_GB2312"/>
          <w:sz w:val="32"/>
          <w:szCs w:val="32"/>
        </w:rPr>
      </w:pPr>
      <w:r>
        <w:rPr>
          <w:rFonts w:eastAsia="仿宋_GB2312"/>
          <w:sz w:val="32"/>
          <w:szCs w:val="32"/>
        </w:rPr>
        <w:t>应急管理部门要制定本级应急管理规划目标任务分解方案，明确责任部门和责任人，进一步完善考核机制，突出工作过程和结果量化，对重要指标的实施完成情况及时跟踪，将任务完成情况纳入部门和政府年度工作考核，保障全区应急管理体系发展目标、重点任务和重大工程顺利完成。</w:t>
      </w:r>
    </w:p>
    <w:p>
      <w:pPr>
        <w:pStyle w:val="11"/>
        <w:shd w:val="clear" w:color="auto" w:fill="FFFFFF"/>
        <w:spacing w:line="550" w:lineRule="exact"/>
        <w:jc w:val="both"/>
        <w:rPr>
          <w:rFonts w:hint="eastAsia" w:ascii="Times New Roman" w:hAnsi="Times New Roman"/>
          <w:shd w:val="clear" w:color="auto" w:fill="FFFFFF"/>
        </w:rPr>
      </w:pPr>
    </w:p>
    <w:p>
      <w:pPr>
        <w:pStyle w:val="11"/>
        <w:widowControl/>
        <w:spacing w:line="600" w:lineRule="exact"/>
        <w:jc w:val="both"/>
        <w:textAlignment w:val="baseline"/>
        <w:rPr>
          <w:rFonts w:ascii="Times New Roman" w:hAnsi="Times New Roman" w:eastAsia="仿宋_GB2312"/>
          <w:sz w:val="32"/>
          <w:szCs w:val="32"/>
        </w:rPr>
      </w:pPr>
    </w:p>
    <w:sectPr>
      <w:footerReference r:id="rId3" w:type="default"/>
      <w:footerReference r:id="rId4" w:type="even"/>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Times New Roman" w:hAnsi="Times New Roman"/>
        <w:sz w:val="28"/>
        <w:szCs w:val="28"/>
      </w:rPr>
    </w:pPr>
    <w:r>
      <w:rPr>
        <w:rStyle w:val="15"/>
        <w:rFonts w:ascii="Times New Roman" w:hAnsi="Times New Roman"/>
        <w:sz w:val="28"/>
        <w:szCs w:val="28"/>
      </w:rPr>
      <w:fldChar w:fldCharType="begin"/>
    </w:r>
    <w:r>
      <w:rPr>
        <w:rStyle w:val="15"/>
        <w:rFonts w:ascii="Times New Roman" w:hAnsi="Times New Roman"/>
        <w:sz w:val="28"/>
        <w:szCs w:val="28"/>
      </w:rPr>
      <w:instrText xml:space="preserve">PAGE  </w:instrText>
    </w:r>
    <w:r>
      <w:rPr>
        <w:rStyle w:val="15"/>
        <w:rFonts w:ascii="Times New Roman" w:hAnsi="Times New Roman"/>
        <w:sz w:val="28"/>
        <w:szCs w:val="28"/>
      </w:rPr>
      <w:fldChar w:fldCharType="separate"/>
    </w:r>
    <w:r>
      <w:rPr>
        <w:rStyle w:val="15"/>
        <w:rFonts w:ascii="Times New Roman" w:hAnsi="Times New Roman"/>
        <w:sz w:val="28"/>
        <w:szCs w:val="28"/>
      </w:rPr>
      <w:t>- 2 -</w:t>
    </w:r>
    <w:r>
      <w:rPr>
        <w:rStyle w:val="15"/>
        <w:rFonts w:ascii="Times New Roman" w:hAnsi="Times New Roman"/>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762D83"/>
    <w:rsid w:val="00106682"/>
    <w:rsid w:val="001F57B7"/>
    <w:rsid w:val="00212AF2"/>
    <w:rsid w:val="002E05D3"/>
    <w:rsid w:val="00302810"/>
    <w:rsid w:val="00325724"/>
    <w:rsid w:val="003A77EB"/>
    <w:rsid w:val="00426D7A"/>
    <w:rsid w:val="005100ED"/>
    <w:rsid w:val="00554352"/>
    <w:rsid w:val="00762D83"/>
    <w:rsid w:val="00824248"/>
    <w:rsid w:val="00843DEA"/>
    <w:rsid w:val="00891E4F"/>
    <w:rsid w:val="008A40DD"/>
    <w:rsid w:val="009033EA"/>
    <w:rsid w:val="00986259"/>
    <w:rsid w:val="009A765C"/>
    <w:rsid w:val="00A14C21"/>
    <w:rsid w:val="00A26C98"/>
    <w:rsid w:val="00A360CA"/>
    <w:rsid w:val="00A57746"/>
    <w:rsid w:val="00A72C92"/>
    <w:rsid w:val="00A9302D"/>
    <w:rsid w:val="00AF5E7D"/>
    <w:rsid w:val="00C0641D"/>
    <w:rsid w:val="00C94B58"/>
    <w:rsid w:val="00D6415C"/>
    <w:rsid w:val="00DF5E80"/>
    <w:rsid w:val="00E46578"/>
    <w:rsid w:val="00E9620F"/>
    <w:rsid w:val="00F1573E"/>
    <w:rsid w:val="00F56EF3"/>
    <w:rsid w:val="00F6716E"/>
    <w:rsid w:val="200444EE"/>
    <w:rsid w:val="23271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name="heading 2"/>
    <w:lsdException w:unhideWhenUsed="0" w:uiPriority="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semiHidden/>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semiHidden/>
    <w:uiPriority w:val="0"/>
    <w:pPr>
      <w:keepNext/>
      <w:keepLines/>
      <w:spacing w:before="260" w:after="260" w:line="415" w:lineRule="auto"/>
      <w:outlineLvl w:val="2"/>
    </w:pPr>
    <w:rPr>
      <w:rFonts w:ascii="Calibri" w:hAnsi="Calibri"/>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before="100" w:beforeAutospacing="1" w:after="120"/>
    </w:pPr>
  </w:style>
  <w:style w:type="paragraph" w:styleId="5">
    <w:name w:val="Body Text Indent"/>
    <w:basedOn w:val="1"/>
    <w:semiHidden/>
    <w:uiPriority w:val="0"/>
    <w:pPr>
      <w:spacing w:before="100" w:beforeAutospacing="1" w:after="120"/>
      <w:ind w:left="420" w:leftChars="200"/>
    </w:pPr>
  </w:style>
  <w:style w:type="paragraph" w:styleId="6">
    <w:name w:val="toc 3"/>
    <w:basedOn w:val="1"/>
    <w:next w:val="1"/>
    <w:semiHidden/>
    <w:qFormat/>
    <w:uiPriority w:val="0"/>
    <w:pPr>
      <w:spacing w:before="100" w:beforeAutospacing="1" w:after="100" w:afterAutospacing="1"/>
      <w:ind w:left="420"/>
      <w:jc w:val="left"/>
    </w:pPr>
    <w:rPr>
      <w:rFonts w:ascii="Calibri" w:hAnsi="Calibri"/>
      <w:i/>
      <w:iCs/>
      <w:sz w:val="20"/>
      <w:szCs w:val="20"/>
    </w:rPr>
  </w:style>
  <w:style w:type="paragraph" w:styleId="7">
    <w:name w:val="footer"/>
    <w:basedOn w:val="1"/>
    <w:semiHidden/>
    <w:uiPriority w:val="0"/>
    <w:pPr>
      <w:snapToGrid w:val="0"/>
      <w:jc w:val="left"/>
    </w:pPr>
    <w:rPr>
      <w:rFonts w:ascii="Calibri" w:hAnsi="Calibr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spacing w:before="120" w:after="120"/>
      <w:jc w:val="left"/>
    </w:pPr>
    <w:rPr>
      <w:rFonts w:ascii="Calibri" w:hAnsi="Calibri"/>
      <w:b/>
      <w:bCs/>
      <w:caps/>
      <w:sz w:val="20"/>
      <w:szCs w:val="20"/>
    </w:rPr>
  </w:style>
  <w:style w:type="paragraph" w:styleId="10">
    <w:name w:val="toc 2"/>
    <w:basedOn w:val="1"/>
    <w:next w:val="1"/>
    <w:semiHidden/>
    <w:qFormat/>
    <w:uiPriority w:val="0"/>
    <w:pPr>
      <w:spacing w:before="100" w:beforeAutospacing="1" w:after="100" w:afterAutospacing="1" w:line="360" w:lineRule="auto"/>
      <w:ind w:left="210"/>
      <w:jc w:val="left"/>
    </w:pPr>
    <w:rPr>
      <w:rFonts w:ascii="Calibri" w:hAnsi="Calibri"/>
      <w:smallCaps/>
      <w:sz w:val="20"/>
      <w:szCs w:val="20"/>
    </w:rPr>
  </w:style>
  <w:style w:type="paragraph" w:styleId="11">
    <w:name w:val="Normal (Web)"/>
    <w:basedOn w:val="1"/>
    <w:uiPriority w:val="0"/>
    <w:pPr>
      <w:jc w:val="left"/>
    </w:pPr>
    <w:rPr>
      <w:rFonts w:ascii="Calibri" w:hAnsi="Calibri"/>
      <w:kern w:val="0"/>
      <w:sz w:val="24"/>
      <w:szCs w:val="24"/>
    </w:rPr>
  </w:style>
  <w:style w:type="paragraph" w:styleId="12">
    <w:name w:val="Body Text First Indent 2"/>
    <w:basedOn w:val="5"/>
    <w:semiHidden/>
    <w:qFormat/>
    <w:uiPriority w:val="0"/>
    <w:pPr>
      <w:ind w:firstLine="420" w:firstLineChars="200"/>
    </w:pPr>
  </w:style>
  <w:style w:type="character" w:styleId="15">
    <w:name w:val="page number"/>
    <w:basedOn w:val="14"/>
    <w:qFormat/>
    <w:uiPriority w:val="0"/>
  </w:style>
  <w:style w:type="character" w:styleId="16">
    <w:name w:val="FollowedHyperlink"/>
    <w:basedOn w:val="14"/>
    <w:qFormat/>
    <w:uiPriority w:val="0"/>
    <w:rPr>
      <w:color w:val="0000FF"/>
      <w:u w:val="single"/>
    </w:rPr>
  </w:style>
  <w:style w:type="character" w:styleId="17">
    <w:name w:val="Hyperlink"/>
    <w:basedOn w:val="14"/>
    <w:qFormat/>
    <w:uiPriority w:val="0"/>
    <w:rPr>
      <w:color w:val="0000FF"/>
      <w:u w:val="single"/>
    </w:rPr>
  </w:style>
  <w:style w:type="paragraph" w:customStyle="1" w:styleId="18">
    <w:name w:val="正文文本缩进 31"/>
    <w:basedOn w:val="1"/>
    <w:qFormat/>
    <w:uiPriority w:val="0"/>
    <w:pPr>
      <w:spacing w:line="360" w:lineRule="auto"/>
      <w:ind w:firstLine="200" w:firstLineChars="200"/>
    </w:pPr>
    <w:rPr>
      <w:rFonts w:eastAsia="仿宋"/>
      <w:kern w:val="0"/>
      <w:sz w:val="32"/>
      <w:szCs w:val="32"/>
    </w:rPr>
  </w:style>
  <w:style w:type="character" w:customStyle="1" w:styleId="19">
    <w:name w:val="10"/>
    <w:basedOn w:val="14"/>
    <w:qFormat/>
    <w:uiPriority w:val="0"/>
    <w:rPr>
      <w:rFonts w:hint="default" w:ascii="Calibri" w:hAnsi="Calibri"/>
    </w:rPr>
  </w:style>
  <w:style w:type="character" w:customStyle="1" w:styleId="20">
    <w:name w:val="15"/>
    <w:basedOn w:val="14"/>
    <w:qFormat/>
    <w:uiPriority w:val="0"/>
    <w:rPr>
      <w:rFonts w:hint="default" w:ascii="Calibri" w:hAnsi="Calibri"/>
      <w:color w:val="333333"/>
    </w:rPr>
  </w:style>
  <w:style w:type="character" w:customStyle="1" w:styleId="21">
    <w:name w:val="16"/>
    <w:basedOn w:val="14"/>
    <w:qFormat/>
    <w:uiPriority w:val="0"/>
    <w:rPr>
      <w:rFonts w:hint="default"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25486</Words>
  <Characters>25833</Characters>
  <Lines>258</Lines>
  <Paragraphs>72</Paragraphs>
  <TotalTime>7</TotalTime>
  <ScaleCrop>false</ScaleCrop>
  <LinksUpToDate>false</LinksUpToDate>
  <CharactersWithSpaces>25903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2022-10-27T03:47:00Z</dcterms:created>
  <dc:creator>vv</dc:creator>
  <cp:lastModifiedBy>网站余工</cp:lastModifiedBy>
  <dcterms:modified xsi:type="dcterms:W3CDTF">2023-02-07T17:42:43Z</dcterms:modified>
  <dc:title>九江市柴桑区人民政府文件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EA0EC25079F34D77B0637A420A5888DD</vt:lpwstr>
  </property>
</Properties>
</file>