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3620D">
      <w:pPr>
        <w:spacing w:line="240" w:lineRule="auto"/>
        <w:jc w:val="center"/>
        <w:rPr>
          <w:rFonts w:hint="default"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食品用塑料编织袋产品质量</w:t>
      </w:r>
      <w:bookmarkStart w:id="0" w:name="_GoBack"/>
      <w:bookmarkEnd w:id="0"/>
      <w:r>
        <w:rPr>
          <w:rFonts w:hint="eastAsia" w:ascii="Times New Roman" w:hAnsi="Times New Roman" w:eastAsia="仿宋" w:cs="Times New Roman"/>
          <w:b/>
          <w:bCs/>
          <w:color w:val="000000"/>
          <w:sz w:val="44"/>
          <w:szCs w:val="44"/>
          <w:lang w:eastAsia="zh-CN"/>
        </w:rPr>
        <w:t>监督抽查实施细则（202</w:t>
      </w:r>
      <w:r>
        <w:rPr>
          <w:rFonts w:hint="default" w:ascii="Times New Roman" w:hAnsi="Times New Roman" w:eastAsia="仿宋" w:cs="Times New Roman"/>
          <w:b/>
          <w:bCs/>
          <w:color w:val="000000"/>
          <w:sz w:val="44"/>
          <w:szCs w:val="44"/>
          <w:lang w:eastAsia="zh-CN"/>
        </w:rPr>
        <w:t>5</w:t>
      </w:r>
      <w:r>
        <w:rPr>
          <w:rFonts w:hint="eastAsia" w:ascii="Times New Roman" w:hAnsi="Times New Roman" w:eastAsia="仿宋" w:cs="Times New Roman"/>
          <w:b/>
          <w:bCs/>
          <w:color w:val="000000"/>
          <w:sz w:val="44"/>
          <w:szCs w:val="44"/>
          <w:lang w:eastAsia="zh-CN"/>
        </w:rPr>
        <w:t>年版）</w:t>
      </w:r>
    </w:p>
    <w:p w14:paraId="39B91CEB">
      <w:pPr>
        <w:adjustRightInd w:val="0"/>
        <w:snapToGrid w:val="0"/>
        <w:spacing w:line="440" w:lineRule="exact"/>
        <w:jc w:val="center"/>
        <w:rPr>
          <w:rFonts w:eastAsia="仿宋"/>
          <w:b/>
          <w:bCs/>
          <w:sz w:val="36"/>
          <w:szCs w:val="36"/>
          <w:highlight w:val="lightGray"/>
        </w:rPr>
      </w:pPr>
    </w:p>
    <w:p w14:paraId="78320528">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4532FCD6">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751A73C5">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14:paraId="00A1A5BA">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抽查样品基数满足抽样数量即可。</w:t>
      </w:r>
    </w:p>
    <w:p w14:paraId="59FB181F">
      <w:pPr>
        <w:adjustRightInd w:val="0"/>
        <w:spacing w:line="460" w:lineRule="exact"/>
        <w:ind w:left="420" w:leftChars="200"/>
        <w:rPr>
          <w:rFonts w:hint="default" w:ascii="Times New Roman" w:hAnsi="Times New Roman" w:cs="Times New Roman"/>
          <w:color w:val="000000"/>
        </w:rPr>
      </w:pPr>
      <w:r>
        <w:rPr>
          <w:rFonts w:hint="default" w:ascii="Times New Roman" w:hAnsi="Times New Roman" w:cs="Times New Roman"/>
        </w:rPr>
        <w:t>抽样数量:每批次产品抽取样品60条，其中40条作为检验样品，20条作为备用样品。在满足检验的条件下，产品抽样数量可根据样品的实际大小做适当调整。</w:t>
      </w:r>
    </w:p>
    <w:p w14:paraId="7C6EA3C0">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0C2313A3">
      <w:pPr>
        <w:jc w:val="center"/>
        <w:rPr>
          <w:rFonts w:hint="default" w:ascii="Times New Roman" w:hAnsi="Times New Roman" w:cs="Times New Roman"/>
        </w:rPr>
      </w:pPr>
      <w:r>
        <w:rPr>
          <w:rFonts w:hint="default" w:ascii="Times New Roman" w:hAnsi="Times New Roman" w:cs="Times New Roman"/>
        </w:rPr>
        <w:t>食品用塑料编织袋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923"/>
        <w:gridCol w:w="2144"/>
        <w:gridCol w:w="2703"/>
      </w:tblGrid>
      <w:tr w14:paraId="050E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3EF057D2">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16" w:type="pct"/>
            <w:vAlign w:val="center"/>
          </w:tcPr>
          <w:p w14:paraId="152FEBE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259" w:type="pct"/>
            <w:vAlign w:val="center"/>
          </w:tcPr>
          <w:p w14:paraId="1E8D2884">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1587" w:type="pct"/>
            <w:vAlign w:val="center"/>
          </w:tcPr>
          <w:p w14:paraId="3B3FA60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0A69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6FC7B63B">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1</w:t>
            </w:r>
          </w:p>
        </w:tc>
        <w:tc>
          <w:tcPr>
            <w:tcW w:w="1716" w:type="pct"/>
            <w:vAlign w:val="center"/>
          </w:tcPr>
          <w:p w14:paraId="5C35D58A">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感官要求</w:t>
            </w:r>
          </w:p>
        </w:tc>
        <w:tc>
          <w:tcPr>
            <w:tcW w:w="1259" w:type="pct"/>
            <w:vAlign w:val="center"/>
          </w:tcPr>
          <w:p w14:paraId="67662858">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131C2F02">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r>
      <w:tr w14:paraId="12A96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5742856A">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2</w:t>
            </w:r>
          </w:p>
        </w:tc>
        <w:tc>
          <w:tcPr>
            <w:tcW w:w="1716" w:type="pct"/>
            <w:vAlign w:val="center"/>
          </w:tcPr>
          <w:p w14:paraId="164DC48A">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总迁移量</w:t>
            </w:r>
          </w:p>
        </w:tc>
        <w:tc>
          <w:tcPr>
            <w:tcW w:w="1259" w:type="pct"/>
            <w:vAlign w:val="center"/>
          </w:tcPr>
          <w:p w14:paraId="184B8611">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38B2E733">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31604.8-2021</w:t>
            </w:r>
          </w:p>
        </w:tc>
      </w:tr>
      <w:tr w14:paraId="615A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1697256B">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3</w:t>
            </w:r>
          </w:p>
        </w:tc>
        <w:tc>
          <w:tcPr>
            <w:tcW w:w="1716" w:type="pct"/>
            <w:vAlign w:val="center"/>
          </w:tcPr>
          <w:p w14:paraId="43671F78">
            <w:pPr>
              <w:spacing w:line="240" w:lineRule="auto"/>
              <w:jc w:val="center"/>
              <w:rPr>
                <w:rFonts w:hint="eastAsia" w:ascii="宋体" w:hAnsi="宋体" w:eastAsia="宋体" w:cs="宋体"/>
                <w:sz w:val="21"/>
                <w:szCs w:val="21"/>
              </w:rPr>
            </w:pPr>
            <w:r>
              <w:rPr>
                <w:rFonts w:hint="eastAsia" w:ascii="宋体" w:hAnsi="宋体" w:eastAsia="宋体" w:cs="宋体"/>
                <w:sz w:val="21"/>
                <w:szCs w:val="21"/>
              </w:rPr>
              <w:t>高锰酸钾消耗量</w:t>
            </w:r>
          </w:p>
        </w:tc>
        <w:tc>
          <w:tcPr>
            <w:tcW w:w="1259" w:type="pct"/>
            <w:vAlign w:val="center"/>
          </w:tcPr>
          <w:p w14:paraId="3ABB3736">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57564933">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31604.2-2016</w:t>
            </w:r>
          </w:p>
        </w:tc>
      </w:tr>
      <w:tr w14:paraId="3AD9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0BDAA163">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4</w:t>
            </w:r>
          </w:p>
        </w:tc>
        <w:tc>
          <w:tcPr>
            <w:tcW w:w="1716" w:type="pct"/>
            <w:vAlign w:val="center"/>
          </w:tcPr>
          <w:p w14:paraId="6C47CA02">
            <w:pPr>
              <w:spacing w:line="240" w:lineRule="auto"/>
              <w:ind w:firstLine="480"/>
              <w:jc w:val="center"/>
              <w:rPr>
                <w:rFonts w:hint="eastAsia" w:ascii="宋体" w:hAnsi="宋体" w:eastAsia="宋体" w:cs="宋体"/>
                <w:sz w:val="21"/>
                <w:szCs w:val="21"/>
              </w:rPr>
            </w:pPr>
            <w:r>
              <w:rPr>
                <w:rFonts w:hint="eastAsia" w:ascii="宋体" w:hAnsi="宋体" w:eastAsia="宋体" w:cs="宋体"/>
                <w:sz w:val="21"/>
                <w:szCs w:val="21"/>
              </w:rPr>
              <w:t>重金属(以Pb 计)</w:t>
            </w:r>
          </w:p>
        </w:tc>
        <w:tc>
          <w:tcPr>
            <w:tcW w:w="1259" w:type="pct"/>
            <w:vAlign w:val="center"/>
          </w:tcPr>
          <w:p w14:paraId="4934C326">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3A9F61F1">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31604.9-2016</w:t>
            </w:r>
          </w:p>
        </w:tc>
      </w:tr>
      <w:tr w14:paraId="13EBE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1778A922">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5</w:t>
            </w:r>
          </w:p>
        </w:tc>
        <w:tc>
          <w:tcPr>
            <w:tcW w:w="1716" w:type="pct"/>
            <w:vAlign w:val="center"/>
          </w:tcPr>
          <w:p w14:paraId="7492470E">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脱色试验</w:t>
            </w:r>
          </w:p>
        </w:tc>
        <w:tc>
          <w:tcPr>
            <w:tcW w:w="1259" w:type="pct"/>
            <w:vAlign w:val="center"/>
          </w:tcPr>
          <w:p w14:paraId="4311C86B">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73D8A5F5">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31604.7-2023</w:t>
            </w:r>
          </w:p>
        </w:tc>
      </w:tr>
      <w:tr w14:paraId="4F1AD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5DF53DDC">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6</w:t>
            </w:r>
          </w:p>
        </w:tc>
        <w:tc>
          <w:tcPr>
            <w:tcW w:w="1716" w:type="pct"/>
            <w:vAlign w:val="center"/>
          </w:tcPr>
          <w:p w14:paraId="67558ADD">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芳香族伯胺迁移总量</w:t>
            </w:r>
          </w:p>
        </w:tc>
        <w:tc>
          <w:tcPr>
            <w:tcW w:w="1259" w:type="pct"/>
            <w:vAlign w:val="center"/>
          </w:tcPr>
          <w:p w14:paraId="38391414">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14:paraId="74270AFE">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31604.52-2021</w:t>
            </w:r>
          </w:p>
        </w:tc>
      </w:tr>
      <w:tr w14:paraId="16140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7B01B43E">
            <w:pPr>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1716" w:type="pct"/>
            <w:vAlign w:val="center"/>
          </w:tcPr>
          <w:p w14:paraId="0F97F3B3">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剥离力</w:t>
            </w:r>
          </w:p>
        </w:tc>
        <w:tc>
          <w:tcPr>
            <w:tcW w:w="1259" w:type="pct"/>
            <w:vAlign w:val="center"/>
          </w:tcPr>
          <w:p w14:paraId="72C45B99">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6AAF647A">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0C8FB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33D5AD3E">
            <w:pPr>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1716" w:type="pct"/>
            <w:vAlign w:val="center"/>
          </w:tcPr>
          <w:p w14:paraId="2B377DE8">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经密度</w:t>
            </w:r>
          </w:p>
        </w:tc>
        <w:tc>
          <w:tcPr>
            <w:tcW w:w="1259" w:type="pct"/>
            <w:vAlign w:val="center"/>
          </w:tcPr>
          <w:p w14:paraId="2B84E7F9">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06B67536">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451E6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66610613">
            <w:pPr>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1716" w:type="pct"/>
            <w:vAlign w:val="center"/>
          </w:tcPr>
          <w:p w14:paraId="06347DF7">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纬密度</w:t>
            </w:r>
          </w:p>
        </w:tc>
        <w:tc>
          <w:tcPr>
            <w:tcW w:w="1259" w:type="pct"/>
            <w:vAlign w:val="center"/>
          </w:tcPr>
          <w:p w14:paraId="16807B9C">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3B4F167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21CA5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1E284494">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716" w:type="pct"/>
            <w:vAlign w:val="center"/>
          </w:tcPr>
          <w:p w14:paraId="7F9F52AF">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袋的单位面积质量偏差</w:t>
            </w:r>
          </w:p>
        </w:tc>
        <w:tc>
          <w:tcPr>
            <w:tcW w:w="1259" w:type="pct"/>
            <w:vAlign w:val="center"/>
          </w:tcPr>
          <w:p w14:paraId="4636C6F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567E9CF0">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5388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55A85D5F">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1716" w:type="pct"/>
            <w:vAlign w:val="center"/>
          </w:tcPr>
          <w:p w14:paraId="7119C7C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拉伸负荷</w:t>
            </w:r>
          </w:p>
        </w:tc>
        <w:tc>
          <w:tcPr>
            <w:tcW w:w="1259" w:type="pct"/>
            <w:vAlign w:val="center"/>
          </w:tcPr>
          <w:p w14:paraId="31F38B02">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1343B648">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13B79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6D205549">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12</w:t>
            </w:r>
          </w:p>
        </w:tc>
        <w:tc>
          <w:tcPr>
            <w:tcW w:w="1716" w:type="pct"/>
            <w:vAlign w:val="center"/>
          </w:tcPr>
          <w:p w14:paraId="51EE50E0">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耐热性能</w:t>
            </w:r>
          </w:p>
        </w:tc>
        <w:tc>
          <w:tcPr>
            <w:tcW w:w="1259" w:type="pct"/>
            <w:vAlign w:val="center"/>
          </w:tcPr>
          <w:p w14:paraId="29263DB7">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0FCEBC00">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3726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14:paraId="4E98685B">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13</w:t>
            </w:r>
          </w:p>
        </w:tc>
        <w:tc>
          <w:tcPr>
            <w:tcW w:w="1716" w:type="pct"/>
            <w:vAlign w:val="center"/>
          </w:tcPr>
          <w:p w14:paraId="6FF483F0">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跌落性能</w:t>
            </w:r>
          </w:p>
        </w:tc>
        <w:tc>
          <w:tcPr>
            <w:tcW w:w="1259" w:type="pct"/>
            <w:vAlign w:val="center"/>
          </w:tcPr>
          <w:p w14:paraId="690D9223">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14:paraId="529E9D98">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14:paraId="024A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14:paraId="65C36CE5">
            <w:pPr>
              <w:adjustRightInd w:val="0"/>
              <w:snapToGrid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注：1.芳香族伯胺迁移总量仅适用于生产日期在2024年9月6日及之后的、且含有芳香族异氰酸酯和偶氮类着色剂等可能产生芳香族伯胺类物质的产品。</w:t>
            </w:r>
          </w:p>
          <w:p w14:paraId="63A44303">
            <w:pPr>
              <w:spacing w:line="240" w:lineRule="auto"/>
              <w:rPr>
                <w:rFonts w:hint="eastAsia" w:ascii="宋体" w:hAnsi="宋体" w:eastAsia="宋体" w:cs="宋体"/>
                <w:sz w:val="21"/>
                <w:szCs w:val="21"/>
              </w:rPr>
            </w:pPr>
            <w:r>
              <w:rPr>
                <w:rFonts w:hint="eastAsia" w:ascii="宋体" w:hAnsi="宋体" w:eastAsia="宋体" w:cs="宋体"/>
                <w:color w:val="000000"/>
                <w:sz w:val="21"/>
                <w:szCs w:val="21"/>
              </w:rPr>
              <w:t>2.</w:t>
            </w:r>
            <w:r>
              <w:rPr>
                <w:rFonts w:hint="eastAsia" w:ascii="宋体" w:hAnsi="宋体" w:eastAsia="宋体" w:cs="宋体"/>
                <w:sz w:val="21"/>
                <w:szCs w:val="21"/>
              </w:rPr>
              <w:t xml:space="preserve"> </w:t>
            </w:r>
            <w:r>
              <w:rPr>
                <w:rFonts w:hint="eastAsia" w:ascii="宋体" w:hAnsi="宋体" w:eastAsia="宋体" w:cs="宋体"/>
                <w:color w:val="000000"/>
                <w:sz w:val="21"/>
                <w:szCs w:val="21"/>
              </w:rPr>
              <w:t>脱色试验仅适用于添加了着色剂的产品。</w:t>
            </w:r>
          </w:p>
        </w:tc>
      </w:tr>
    </w:tbl>
    <w:p w14:paraId="628D60D7">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物理指标项目根据产品标准及检测方法是否符合细则要求，确定此项目是否需要检测。</w:t>
      </w:r>
    </w:p>
    <w:p w14:paraId="527E47A3">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14:paraId="018522BA">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0A99C401">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0789C339">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1A18ED62">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8946-2013 塑料编织袋通用技术要求</w:t>
      </w:r>
    </w:p>
    <w:p w14:paraId="58DB77BD">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4806.7-2023  食品安全国家标准 食品接触用塑料材料及制品</w:t>
      </w:r>
    </w:p>
    <w:p w14:paraId="09D56607">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14:paraId="27838F8A">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37F25AF2">
      <w:pPr>
        <w:snapToGrid w:val="0"/>
        <w:spacing w:line="400" w:lineRule="exact"/>
        <w:ind w:firstLine="420" w:firstLineChars="200"/>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14:paraId="609AE906">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14:paraId="7995F800">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14:paraId="1373C835">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14:paraId="2FE1C4A0">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14:paraId="3B820D6C">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14:paraId="7C35420C">
      <w:pPr>
        <w:snapToGrid w:val="0"/>
        <w:spacing w:line="400" w:lineRule="exact"/>
        <w:ind w:firstLine="417" w:firstLineChars="199"/>
        <w:rPr>
          <w:rFonts w:hint="default" w:ascii="Times New Roman" w:hAnsi="Times New Roman" w:cs="Times New Roman"/>
        </w:rPr>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65D44">
    <w:pPr>
      <w:pStyle w:val="5"/>
      <w:rPr>
        <w:rFonts w:hint="eastAsia"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7" name="文本框 1"/>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14:paraId="61A001FD">
                          <w:pPr>
                            <w:pStyle w:val="5"/>
                            <w:rPr>
                              <w:rFonts w:hint="eastAsia" w:eastAsia="宋体" w:cs="Calibri"/>
                            </w:rPr>
                          </w:pPr>
                          <w:r>
                            <w:fldChar w:fldCharType="begin"/>
                          </w:r>
                          <w:r>
                            <w:instrText xml:space="preserve"> PAGE  \* MERGEFORMAT </w:instrText>
                          </w:r>
                          <w:r>
                            <w:fldChar w:fldCharType="separate"/>
                          </w:r>
                          <w:r>
                            <w:t>3</w:t>
                          </w:r>
                          <w:r>
                            <w:fldChar w:fldCharType="end"/>
                          </w:r>
                        </w:p>
                      </w:txbxContent>
                    </wps:txbx>
                    <wps:bodyPr vert="horz" wrap="none" lIns="0" tIns="0" rIns="0" bIns="0" anchor="t" upright="1">
                      <a:spAutoFit/>
                    </wps:bodyPr>
                  </wps:wsp>
                </a:graphicData>
              </a:graphic>
            </wp:anchor>
          </w:drawing>
        </mc:Choice>
        <mc:Fallback>
          <w:pict>
            <v:rect id="文本框 1" o:spid="_x0000_s1026" o:spt="1" style="position:absolute;left:0pt;margin-top:0pt;height:12.2pt;width:4.75pt;mso-position-horizontal:center;mso-position-horizontal-relative:margin;mso-wrap-style:none;z-index:251659264;mso-width-relative:page;mso-height-relative:page;" filled="f" stroked="f" coordsize="21600,21600" o:gfxdata="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gEMXa0QAAAAIBAAAPAAAAAAAAAAEAIAAAACIA&#10;AABkcnMvZG93bnJldi54bWxQSwECFAAUAAAACACHTuJAdWV6WNcBAACbAwAADgAAAAAAAAABACAA&#10;AAAgAQAAZHJzL2Uyb0RvYy54bWxQSwUGAAAAAAYABgBZAQAAaQUAAAAA&#10;">
              <v:fill on="f" focussize="0,0"/>
              <v:stroke on="f"/>
              <v:imagedata o:title=""/>
              <o:lock v:ext="edit" aspectratio="f"/>
              <v:textbox inset="0mm,0mm,0mm,0mm" style="mso-fit-shape-to-text:t;">
                <w:txbxContent>
                  <w:p w14:paraId="61A001FD">
                    <w:pPr>
                      <w:pStyle w:val="5"/>
                      <w:rPr>
                        <w:rFonts w:hint="eastAsia" w:eastAsia="宋体" w:cs="Calibri"/>
                      </w:rPr>
                    </w:pPr>
                    <w:r>
                      <w:fldChar w:fldCharType="begin"/>
                    </w:r>
                    <w:r>
                      <w:instrText xml:space="preserve"> PAGE  \* MERGEFORMAT </w:instrText>
                    </w:r>
                    <w:r>
                      <w:fldChar w:fldCharType="separate"/>
                    </w:r>
                    <w:r>
                      <w:t>3</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39796">
    <w:pPr>
      <w:pStyle w:val="5"/>
      <w:rPr>
        <w:rFonts w:hint="eastAsia" w:cs="Calibri"/>
      </w:rPr>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4098" name="文本框 2"/>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14:paraId="1CF55CD6">
                          <w:pPr>
                            <w:pStyle w:val="5"/>
                            <w:rPr>
                              <w:rFonts w:hint="eastAsia" w:eastAsia="宋体" w:cs="Calibri"/>
                            </w:rPr>
                          </w:pPr>
                          <w:r>
                            <w:fldChar w:fldCharType="begin"/>
                          </w:r>
                          <w:r>
                            <w:instrText xml:space="preserve"> PAGE  \* MERGEFORMAT </w:instrText>
                          </w:r>
                          <w:r>
                            <w:fldChar w:fldCharType="separate"/>
                          </w:r>
                          <w:r>
                            <w:t>1</w:t>
                          </w:r>
                          <w:r>
                            <w:fldChar w:fldCharType="end"/>
                          </w:r>
                        </w:p>
                      </w:txbxContent>
                    </wps:txbx>
                    <wps:bodyPr vert="horz" wrap="none" lIns="0" tIns="0" rIns="0" bIns="0" anchor="t" upright="1">
                      <a:spAutoFit/>
                    </wps:bodyPr>
                  </wps:wsp>
                </a:graphicData>
              </a:graphic>
            </wp:anchor>
          </w:drawing>
        </mc:Choice>
        <mc:Fallback>
          <w:pict>
            <v:rect id="文本框 2" o:spid="_x0000_s1026" o:spt="1"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AQxdrRAAAAAgEAAA8AAAAAAAAAAQAgAAAAIgAA&#10;AGRycy9kb3ducmV2LnhtbFBLAQIUABQAAAAIAIdO4kABXfIp1gEAAJsDAAAOAAAAAAAAAAEAIAAA&#10;ACABAABkcnMvZTJvRG9jLnhtbFBLBQYAAAAABgAGAFkBAABoBQAAAAA=&#10;">
              <v:fill on="f" focussize="0,0"/>
              <v:stroke on="f"/>
              <v:imagedata o:title=""/>
              <o:lock v:ext="edit" aspectratio="f"/>
              <v:textbox inset="0mm,0mm,0mm,0mm" style="mso-fit-shape-to-text:t;">
                <w:txbxContent>
                  <w:p w14:paraId="1CF55CD6">
                    <w:pPr>
                      <w:pStyle w:val="5"/>
                      <w:rPr>
                        <w:rFonts w:hint="eastAsia" w:eastAsia="宋体" w:cs="Calibri"/>
                      </w:rPr>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oNotHyphenateCaps/>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hYTExOTI3ZGJhYmUxZWY5OTFjNzM4MDYyZGIyZDUifQ=="/>
  </w:docVars>
  <w:rsids>
    <w:rsidRoot w:val="0011273E"/>
    <w:rsid w:val="00083DEB"/>
    <w:rsid w:val="0011273E"/>
    <w:rsid w:val="001C230A"/>
    <w:rsid w:val="003B673D"/>
    <w:rsid w:val="004366DD"/>
    <w:rsid w:val="0065350C"/>
    <w:rsid w:val="008D01D4"/>
    <w:rsid w:val="00EA64D1"/>
    <w:rsid w:val="00F7262E"/>
    <w:rsid w:val="147143AE"/>
    <w:rsid w:val="14F03AEF"/>
    <w:rsid w:val="209D2BCF"/>
    <w:rsid w:val="4D116D48"/>
    <w:rsid w:val="61547C91"/>
    <w:rsid w:val="A1F2F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qFormat/>
    <w:uiPriority w:val="99"/>
    <w:rPr>
      <w:rFonts w:ascii="Calibri" w:hAnsi="Calibri" w:eastAsia="宋体" w:cs="Calibri"/>
      <w:sz w:val="21"/>
      <w:szCs w:val="21"/>
    </w:rPr>
  </w:style>
  <w:style w:type="character" w:customStyle="1" w:styleId="11">
    <w:name w:val="批注框文本 字符"/>
    <w:link w:val="4"/>
    <w:qFormat/>
    <w:uiPriority w:val="99"/>
    <w:rPr>
      <w:rFonts w:ascii="Calibri" w:hAnsi="Calibri" w:eastAsia="宋体" w:cs="Calibri"/>
      <w:kern w:val="2"/>
      <w:sz w:val="18"/>
      <w:szCs w:val="18"/>
    </w:rPr>
  </w:style>
  <w:style w:type="character" w:customStyle="1" w:styleId="12">
    <w:name w:val="页脚 字符"/>
    <w:link w:val="5"/>
    <w:qFormat/>
    <w:uiPriority w:val="99"/>
    <w:rPr>
      <w:sz w:val="18"/>
      <w:szCs w:val="18"/>
    </w:rPr>
  </w:style>
  <w:style w:type="character" w:customStyle="1" w:styleId="13">
    <w:name w:val="页眉 字符"/>
    <w:link w:val="6"/>
    <w:qFormat/>
    <w:uiPriority w:val="99"/>
    <w:rPr>
      <w:sz w:val="18"/>
      <w:szCs w:val="18"/>
    </w:rPr>
  </w:style>
  <w:style w:type="paragraph" w:customStyle="1" w:styleId="14">
    <w:name w:val="修订1"/>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928</Words>
  <Characters>1262</Characters>
  <Lines>61</Lines>
  <Paragraphs>87</Paragraphs>
  <TotalTime>0</TotalTime>
  <ScaleCrop>false</ScaleCrop>
  <LinksUpToDate>false</LinksUpToDate>
  <CharactersWithSpaces>1299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2025-05-27T16:10:00Z</dcterms:created>
  <dc:creator>lenovo</dc:creator>
  <cp:lastModifiedBy>箫韶.</cp:lastModifiedBy>
  <dcterms:modified xsi:type="dcterms:W3CDTF">2025-09-15T03:21:39Z</dcterms:modified>
  <dc:title>童鞋产品质量国家监督抽查实施细则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16f06f1593c044b8b85041059136875e_23</vt:lpwstr>
  </property>
  <property fmtid="{D5CDD505-2E9C-101B-9397-08002B2CF9AE}" pid="4" name="KSOTemplateDocerSaveRecord">
    <vt:lpwstr>eyJoZGlkIjoiYzAwNTk0ZDJkNDJhOWExYWFhMmQ4MDBjMDllM2JmYjYiLCJ1c2VySWQiOiIxMTMyMjQ2NTM2In0=</vt:lpwstr>
  </property>
</Properties>
</file>