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96E3B">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非复合膜袋产品质量</w:t>
      </w:r>
      <w:r>
        <w:rPr>
          <w:rFonts w:hint="eastAsia" w:eastAsia="仿宋" w:cs="Times New Roman"/>
          <w:b/>
          <w:bCs/>
          <w:color w:val="000000"/>
          <w:sz w:val="44"/>
          <w:szCs w:val="44"/>
          <w:lang w:val="en-US" w:eastAsia="zh-CN"/>
        </w:rPr>
        <w:t>监督</w:t>
      </w:r>
      <w:r>
        <w:rPr>
          <w:rFonts w:hint="default" w:ascii="Times New Roman" w:hAnsi="Times New Roman" w:eastAsia="仿宋" w:cs="Times New Roman"/>
          <w:b/>
          <w:bCs/>
          <w:color w:val="000000"/>
          <w:sz w:val="44"/>
          <w:szCs w:val="44"/>
          <w:lang w:eastAsia="zh-CN"/>
        </w:rPr>
        <w:t>抽查</w:t>
      </w:r>
      <w:bookmarkStart w:id="1" w:name="_GoBack"/>
      <w:bookmarkEnd w:id="1"/>
      <w:r>
        <w:rPr>
          <w:rFonts w:hint="default" w:ascii="Times New Roman" w:hAnsi="Times New Roman" w:eastAsia="仿宋" w:cs="Times New Roman"/>
          <w:b/>
          <w:bCs/>
          <w:color w:val="000000"/>
          <w:sz w:val="44"/>
          <w:szCs w:val="44"/>
          <w:lang w:eastAsia="zh-CN"/>
        </w:rPr>
        <w:t>实施细则（2025年版）</w:t>
      </w:r>
    </w:p>
    <w:p w14:paraId="65C2A6D9">
      <w:pPr>
        <w:spacing w:line="240" w:lineRule="auto"/>
        <w:jc w:val="center"/>
        <w:rPr>
          <w:rFonts w:hint="default" w:ascii="Times New Roman" w:hAnsi="Times New Roman" w:eastAsia="仿宋" w:cs="Times New Roman"/>
          <w:b/>
          <w:bCs/>
          <w:color w:val="000000"/>
          <w:sz w:val="44"/>
          <w:szCs w:val="44"/>
          <w:lang w:eastAsia="zh-CN"/>
        </w:rPr>
      </w:pPr>
    </w:p>
    <w:p w14:paraId="4EBF12E6">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40366C97">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14:paraId="7CF2416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14:paraId="2597E6B9">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抽查样品基数满足抽样数量即可。</w:t>
      </w:r>
    </w:p>
    <w:p w14:paraId="28FDAD00">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抽样数量:</w:t>
      </w:r>
    </w:p>
    <w:p w14:paraId="7D26FFF3">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rPr>
      </w:pPr>
      <w:r>
        <w:rPr>
          <w:rFonts w:hint="eastAsia" w:ascii="宋体" w:hAnsi="宋体"/>
          <w:color w:val="000000"/>
          <w:szCs w:val="21"/>
        </w:rPr>
        <w:t>生产领域：</w:t>
      </w:r>
      <w:r>
        <w:rPr>
          <w:rFonts w:hint="eastAsia" w:ascii="宋体" w:hAnsi="宋体"/>
          <w:color w:val="000000"/>
        </w:rPr>
        <w:t>膜类产品：每批次产品抽取3卷，将每卷膜外层除去2m，每卷膜各抽取2.5m</w:t>
      </w:r>
      <w:r>
        <w:rPr>
          <w:rFonts w:hint="eastAsia" w:ascii="宋体" w:hAnsi="宋体"/>
          <w:color w:val="000000"/>
          <w:vertAlign w:val="superscript"/>
        </w:rPr>
        <w:t>2</w:t>
      </w:r>
      <w:r>
        <w:rPr>
          <w:rFonts w:hint="eastAsia" w:ascii="宋体" w:hAnsi="宋体"/>
          <w:color w:val="000000"/>
        </w:rPr>
        <w:t>，其中2份作为检验样品，1份作为备用样品</w:t>
      </w:r>
      <w:r>
        <w:rPr>
          <w:rFonts w:hint="eastAsia" w:ascii="宋体" w:hAnsi="宋体"/>
          <w:color w:val="000000"/>
          <w:szCs w:val="21"/>
        </w:rPr>
        <w:t>；</w:t>
      </w:r>
      <w:r>
        <w:rPr>
          <w:rFonts w:hint="eastAsia" w:ascii="宋体" w:hAnsi="宋体"/>
          <w:color w:val="000000"/>
        </w:rPr>
        <w:t>袋类产品：每批次产品抽取3箱，每箱中各抽取20个</w:t>
      </w:r>
      <w:r>
        <w:rPr>
          <w:rFonts w:hint="eastAsia" w:ascii="宋体" w:hAnsi="宋体"/>
          <w:color w:val="000000"/>
          <w:szCs w:val="21"/>
        </w:rPr>
        <w:t>，</w:t>
      </w:r>
      <w:r>
        <w:rPr>
          <w:rFonts w:hint="eastAsia" w:ascii="宋体" w:hAnsi="宋体"/>
          <w:color w:val="000000"/>
        </w:rPr>
        <w:t>其中40个作为检验样品，20个作为备用样品。</w:t>
      </w:r>
    </w:p>
    <w:p w14:paraId="5349C91E">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imes New Roman" w:hAnsi="Times New Roman" w:eastAsia="宋体" w:cs="Times New Roman"/>
          <w:b/>
          <w:bCs/>
          <w:lang w:val="en-US" w:eastAsia="zh-CN"/>
        </w:rPr>
      </w:pPr>
      <w:r>
        <w:rPr>
          <w:rFonts w:hint="eastAsia" w:ascii="宋体" w:hAnsi="宋体"/>
          <w:color w:val="000000"/>
        </w:rPr>
        <w:t>流通领域：</w:t>
      </w:r>
      <w:r>
        <w:rPr>
          <w:rFonts w:hint="eastAsia" w:ascii="宋体" w:hAnsi="宋体"/>
          <w:color w:val="000000"/>
          <w:lang w:val="en-US" w:eastAsia="zh-CN"/>
        </w:rPr>
        <w:t>膜类产品：</w:t>
      </w:r>
      <w:r>
        <w:rPr>
          <w:rFonts w:hint="default" w:ascii="Times New Roman" w:hAnsi="Times New Roman" w:cs="Times New Roman"/>
          <w:color w:val="000000"/>
        </w:rPr>
        <w:t>每批次产品抽取3卷，其中2卷作为检验样品，1卷作为备用</w:t>
      </w:r>
      <w:r>
        <w:rPr>
          <w:rFonts w:hint="default" w:ascii="Times New Roman" w:hAnsi="Times New Roman" w:cs="Times New Roman"/>
          <w:color w:val="000000"/>
          <w:szCs w:val="21"/>
        </w:rPr>
        <w:t>样品</w:t>
      </w:r>
      <w:r>
        <w:rPr>
          <w:rFonts w:hint="eastAsia" w:ascii="Times New Roman" w:hAnsi="Times New Roman" w:cs="Times New Roman"/>
          <w:color w:val="000000"/>
          <w:szCs w:val="21"/>
          <w:lang w:eastAsia="zh-CN"/>
        </w:rPr>
        <w:t>；</w:t>
      </w:r>
      <w:r>
        <w:rPr>
          <w:rFonts w:hint="eastAsia" w:ascii="宋体" w:hAnsi="宋体"/>
          <w:color w:val="000000"/>
        </w:rPr>
        <w:t>袋类产品：每批次产品抽取3包，其中2包作为检验样品，1包作为备用样品</w:t>
      </w:r>
      <w:r>
        <w:rPr>
          <w:rFonts w:hint="eastAsia" w:ascii="宋体" w:hAnsi="宋体"/>
          <w:color w:val="000000"/>
          <w:lang w:eastAsia="zh-CN"/>
        </w:rPr>
        <w:t>。</w:t>
      </w:r>
    </w:p>
    <w:p w14:paraId="57427FFC">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679B14B3">
      <w:pPr>
        <w:jc w:val="center"/>
        <w:rPr>
          <w:rFonts w:hint="default" w:ascii="Times New Roman" w:hAnsi="Times New Roman" w:cs="Times New Roman"/>
        </w:rPr>
      </w:pPr>
      <w:r>
        <w:rPr>
          <w:rFonts w:hint="default" w:ascii="Times New Roman" w:hAnsi="Times New Roman" w:cs="Times New Roman"/>
        </w:rPr>
        <w:t>非复合膜袋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3581"/>
        <w:gridCol w:w="2071"/>
        <w:gridCol w:w="2087"/>
      </w:tblGrid>
      <w:tr w14:paraId="22E26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DB7B411">
            <w:pPr>
              <w:jc w:val="center"/>
              <w:rPr>
                <w:rFonts w:hint="default" w:ascii="Times New Roman" w:hAnsi="Times New Roman" w:cs="Times New Roman"/>
              </w:rPr>
            </w:pPr>
            <w:r>
              <w:rPr>
                <w:rFonts w:hint="default" w:ascii="Times New Roman" w:hAnsi="Times New Roman" w:cs="Times New Roman"/>
              </w:rPr>
              <w:t>序号</w:t>
            </w:r>
          </w:p>
        </w:tc>
        <w:tc>
          <w:tcPr>
            <w:tcW w:w="3581" w:type="dxa"/>
            <w:tcBorders>
              <w:top w:val="single" w:color="auto" w:sz="4" w:space="0"/>
              <w:left w:val="single" w:color="auto" w:sz="4" w:space="0"/>
              <w:bottom w:val="single" w:color="auto" w:sz="4" w:space="0"/>
              <w:right w:val="single" w:color="auto" w:sz="4" w:space="0"/>
            </w:tcBorders>
            <w:vAlign w:val="center"/>
          </w:tcPr>
          <w:p w14:paraId="3C908795">
            <w:pPr>
              <w:jc w:val="center"/>
              <w:rPr>
                <w:rFonts w:hint="default" w:ascii="Times New Roman" w:hAnsi="Times New Roman" w:cs="Times New Roman"/>
              </w:rPr>
            </w:pPr>
            <w:r>
              <w:rPr>
                <w:rFonts w:hint="default" w:ascii="Times New Roman" w:hAnsi="Times New Roman" w:cs="Times New Roman"/>
              </w:rPr>
              <w:t>检验项目</w:t>
            </w:r>
          </w:p>
        </w:tc>
        <w:tc>
          <w:tcPr>
            <w:tcW w:w="2071" w:type="dxa"/>
            <w:tcBorders>
              <w:top w:val="single" w:color="auto" w:sz="4" w:space="0"/>
              <w:left w:val="single" w:color="auto" w:sz="4" w:space="0"/>
              <w:bottom w:val="single" w:color="auto" w:sz="4" w:space="0"/>
              <w:right w:val="single" w:color="auto" w:sz="4" w:space="0"/>
            </w:tcBorders>
            <w:vAlign w:val="center"/>
          </w:tcPr>
          <w:p w14:paraId="2FC8D142">
            <w:pPr>
              <w:jc w:val="center"/>
              <w:rPr>
                <w:rFonts w:hint="default" w:ascii="Times New Roman" w:hAnsi="Times New Roman" w:cs="Times New Roman"/>
              </w:rPr>
            </w:pPr>
            <w:r>
              <w:rPr>
                <w:rFonts w:hint="default" w:ascii="Times New Roman" w:hAnsi="Times New Roman" w:cs="Times New Roman"/>
                <w:lang w:eastAsia="zh-CN"/>
              </w:rPr>
              <w:t>检验依据</w:t>
            </w:r>
          </w:p>
        </w:tc>
        <w:tc>
          <w:tcPr>
            <w:tcW w:w="2087" w:type="dxa"/>
            <w:tcBorders>
              <w:top w:val="single" w:color="auto" w:sz="4" w:space="0"/>
              <w:left w:val="single" w:color="auto" w:sz="4" w:space="0"/>
              <w:bottom w:val="single" w:color="auto" w:sz="4" w:space="0"/>
              <w:right w:val="single" w:color="auto" w:sz="4" w:space="0"/>
            </w:tcBorders>
            <w:vAlign w:val="center"/>
          </w:tcPr>
          <w:p w14:paraId="1B0FC26D">
            <w:pPr>
              <w:jc w:val="center"/>
              <w:rPr>
                <w:rFonts w:hint="default" w:ascii="Times New Roman" w:hAnsi="Times New Roman" w:cs="Times New Roman"/>
              </w:rPr>
            </w:pPr>
            <w:r>
              <w:rPr>
                <w:rFonts w:hint="default" w:ascii="Times New Roman" w:hAnsi="Times New Roman" w:cs="Times New Roman"/>
              </w:rPr>
              <w:t>检验方法</w:t>
            </w:r>
          </w:p>
        </w:tc>
      </w:tr>
      <w:tr w14:paraId="55E4B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22C0762F">
            <w:pPr>
              <w:jc w:val="center"/>
              <w:rPr>
                <w:rFonts w:hint="default" w:ascii="Times New Roman" w:hAnsi="Times New Roman" w:cs="Times New Roman"/>
              </w:rPr>
            </w:pPr>
            <w:r>
              <w:rPr>
                <w:rFonts w:hint="default" w:ascii="Times New Roman" w:hAnsi="Times New Roman" w:cs="Times New Roman"/>
              </w:rPr>
              <w:t>1</w:t>
            </w:r>
          </w:p>
        </w:tc>
        <w:tc>
          <w:tcPr>
            <w:tcW w:w="3581" w:type="dxa"/>
            <w:tcBorders>
              <w:top w:val="single" w:color="auto" w:sz="4" w:space="0"/>
              <w:left w:val="single" w:color="auto" w:sz="4" w:space="0"/>
              <w:bottom w:val="single" w:color="auto" w:sz="4" w:space="0"/>
              <w:right w:val="single" w:color="auto" w:sz="4" w:space="0"/>
            </w:tcBorders>
            <w:vAlign w:val="center"/>
          </w:tcPr>
          <w:p w14:paraId="01C90422">
            <w:pPr>
              <w:jc w:val="center"/>
              <w:rPr>
                <w:rFonts w:hint="default" w:ascii="Times New Roman" w:hAnsi="Times New Roman" w:cs="Times New Roman"/>
              </w:rPr>
            </w:pPr>
            <w:r>
              <w:rPr>
                <w:rFonts w:hint="default" w:ascii="Times New Roman" w:hAnsi="Times New Roman" w:cs="Times New Roman"/>
              </w:rPr>
              <w:t>感官要求</w:t>
            </w:r>
          </w:p>
        </w:tc>
        <w:tc>
          <w:tcPr>
            <w:tcW w:w="2071" w:type="dxa"/>
            <w:tcBorders>
              <w:top w:val="single" w:color="auto" w:sz="4" w:space="0"/>
              <w:left w:val="single" w:color="auto" w:sz="4" w:space="0"/>
              <w:bottom w:val="single" w:color="auto" w:sz="4" w:space="0"/>
              <w:right w:val="single" w:color="auto" w:sz="4" w:space="0"/>
            </w:tcBorders>
            <w:vAlign w:val="center"/>
          </w:tcPr>
          <w:p w14:paraId="4816227B">
            <w:pPr>
              <w:jc w:val="center"/>
              <w:rPr>
                <w:rFonts w:hint="default" w:ascii="Times New Roman" w:hAnsi="Times New Roman" w:cs="Times New Roman"/>
              </w:rPr>
            </w:pPr>
            <w:r>
              <w:rPr>
                <w:rFonts w:hint="default" w:ascii="Times New Roman" w:hAnsi="Times New Roman" w:cs="Times New Roman"/>
                <w:lang w:val="en-US"/>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22EE34C7">
            <w:pPr>
              <w:jc w:val="center"/>
              <w:rPr>
                <w:rFonts w:hint="default" w:ascii="Times New Roman" w:hAnsi="Times New Roman" w:cs="Times New Roman"/>
              </w:rPr>
            </w:pPr>
            <w:r>
              <w:rPr>
                <w:rFonts w:hint="default" w:ascii="Times New Roman" w:hAnsi="Times New Roman" w:cs="Times New Roman"/>
              </w:rPr>
              <w:t>GB 4806.7</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2023</w:t>
            </w:r>
          </w:p>
        </w:tc>
      </w:tr>
      <w:tr w14:paraId="1E904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050CA2F8">
            <w:pPr>
              <w:jc w:val="center"/>
              <w:rPr>
                <w:rFonts w:hint="default" w:ascii="Times New Roman" w:hAnsi="Times New Roman" w:cs="Times New Roman"/>
              </w:rPr>
            </w:pPr>
            <w:r>
              <w:rPr>
                <w:rFonts w:hint="default" w:ascii="Times New Roman" w:hAnsi="Times New Roman" w:cs="Times New Roman"/>
              </w:rPr>
              <w:t>2</w:t>
            </w:r>
          </w:p>
        </w:tc>
        <w:tc>
          <w:tcPr>
            <w:tcW w:w="3581" w:type="dxa"/>
            <w:tcBorders>
              <w:top w:val="single" w:color="auto" w:sz="4" w:space="0"/>
              <w:left w:val="single" w:color="auto" w:sz="4" w:space="0"/>
              <w:bottom w:val="single" w:color="auto" w:sz="4" w:space="0"/>
              <w:right w:val="single" w:color="auto" w:sz="4" w:space="0"/>
            </w:tcBorders>
            <w:vAlign w:val="center"/>
          </w:tcPr>
          <w:p w14:paraId="38B16DAE">
            <w:pPr>
              <w:jc w:val="center"/>
              <w:rPr>
                <w:rFonts w:hint="default" w:ascii="Times New Roman" w:hAnsi="Times New Roman" w:cs="Times New Roman"/>
              </w:rPr>
            </w:pPr>
            <w:r>
              <w:rPr>
                <w:rFonts w:hint="default" w:ascii="Times New Roman" w:hAnsi="Times New Roman" w:cs="Times New Roman"/>
              </w:rPr>
              <w:t>总迁移量</w:t>
            </w:r>
          </w:p>
        </w:tc>
        <w:tc>
          <w:tcPr>
            <w:tcW w:w="2071" w:type="dxa"/>
            <w:tcBorders>
              <w:top w:val="single" w:color="auto" w:sz="4" w:space="0"/>
              <w:left w:val="single" w:color="auto" w:sz="4" w:space="0"/>
              <w:bottom w:val="single" w:color="auto" w:sz="4" w:space="0"/>
              <w:right w:val="single" w:color="auto" w:sz="4" w:space="0"/>
            </w:tcBorders>
            <w:vAlign w:val="center"/>
          </w:tcPr>
          <w:p w14:paraId="24277651">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20EAE8B3">
            <w:pPr>
              <w:jc w:val="center"/>
              <w:rPr>
                <w:rFonts w:hint="default" w:ascii="Times New Roman" w:hAnsi="Times New Roman" w:cs="Times New Roman"/>
              </w:rPr>
            </w:pPr>
            <w:r>
              <w:rPr>
                <w:rFonts w:hint="default" w:ascii="Times New Roman" w:hAnsi="Times New Roman" w:cs="Times New Roman"/>
              </w:rPr>
              <w:t>GB 31604.8</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2021</w:t>
            </w:r>
          </w:p>
        </w:tc>
      </w:tr>
      <w:tr w14:paraId="32225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2CA43E0">
            <w:pPr>
              <w:jc w:val="center"/>
              <w:rPr>
                <w:rFonts w:hint="default" w:ascii="Times New Roman" w:hAnsi="Times New Roman" w:cs="Times New Roman"/>
              </w:rPr>
            </w:pPr>
            <w:r>
              <w:rPr>
                <w:rFonts w:hint="default" w:ascii="Times New Roman" w:hAnsi="Times New Roman" w:cs="Times New Roman"/>
              </w:rPr>
              <w:t>3</w:t>
            </w:r>
          </w:p>
        </w:tc>
        <w:tc>
          <w:tcPr>
            <w:tcW w:w="3581" w:type="dxa"/>
            <w:tcBorders>
              <w:top w:val="single" w:color="auto" w:sz="4" w:space="0"/>
              <w:left w:val="single" w:color="auto" w:sz="4" w:space="0"/>
              <w:bottom w:val="single" w:color="auto" w:sz="4" w:space="0"/>
              <w:right w:val="single" w:color="auto" w:sz="4" w:space="0"/>
            </w:tcBorders>
            <w:vAlign w:val="center"/>
          </w:tcPr>
          <w:p w14:paraId="4BBB0583">
            <w:pPr>
              <w:jc w:val="center"/>
              <w:rPr>
                <w:rFonts w:hint="default" w:ascii="Times New Roman" w:hAnsi="Times New Roman" w:cs="Times New Roman"/>
              </w:rPr>
            </w:pPr>
            <w:r>
              <w:rPr>
                <w:rFonts w:hint="default" w:ascii="Times New Roman" w:hAnsi="Times New Roman" w:cs="Times New Roman"/>
              </w:rPr>
              <w:t>高锰酸钾消耗量</w:t>
            </w:r>
          </w:p>
        </w:tc>
        <w:tc>
          <w:tcPr>
            <w:tcW w:w="2071" w:type="dxa"/>
            <w:tcBorders>
              <w:top w:val="single" w:color="auto" w:sz="4" w:space="0"/>
              <w:left w:val="single" w:color="auto" w:sz="4" w:space="0"/>
              <w:bottom w:val="single" w:color="auto" w:sz="4" w:space="0"/>
              <w:right w:val="single" w:color="auto" w:sz="4" w:space="0"/>
            </w:tcBorders>
            <w:vAlign w:val="center"/>
          </w:tcPr>
          <w:p w14:paraId="013C0481">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390E3207">
            <w:pPr>
              <w:jc w:val="center"/>
              <w:rPr>
                <w:rFonts w:hint="default" w:ascii="Times New Roman" w:hAnsi="Times New Roman" w:cs="Times New Roman"/>
              </w:rPr>
            </w:pPr>
            <w:r>
              <w:rPr>
                <w:rFonts w:hint="default" w:ascii="Times New Roman" w:hAnsi="Times New Roman" w:cs="Times New Roman"/>
              </w:rPr>
              <w:t>GB 31604.2</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2016</w:t>
            </w:r>
          </w:p>
        </w:tc>
      </w:tr>
      <w:tr w14:paraId="1E4E9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4A1CA714">
            <w:pPr>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4</w:t>
            </w:r>
          </w:p>
        </w:tc>
        <w:tc>
          <w:tcPr>
            <w:tcW w:w="3581" w:type="dxa"/>
            <w:tcBorders>
              <w:top w:val="single" w:color="auto" w:sz="4" w:space="0"/>
              <w:left w:val="single" w:color="auto" w:sz="4" w:space="0"/>
              <w:bottom w:val="single" w:color="auto" w:sz="4" w:space="0"/>
              <w:right w:val="single" w:color="auto" w:sz="4" w:space="0"/>
            </w:tcBorders>
            <w:vAlign w:val="center"/>
          </w:tcPr>
          <w:p w14:paraId="461A7278">
            <w:pPr>
              <w:jc w:val="center"/>
              <w:rPr>
                <w:rFonts w:hint="default" w:ascii="Times New Roman" w:hAnsi="Times New Roman" w:cs="Times New Roman"/>
              </w:rPr>
            </w:pPr>
            <w:r>
              <w:rPr>
                <w:rFonts w:hint="default" w:ascii="Times New Roman" w:hAnsi="Times New Roman" w:cs="Times New Roman"/>
              </w:rPr>
              <w:t>重金属(以Pb计)</w:t>
            </w:r>
          </w:p>
        </w:tc>
        <w:tc>
          <w:tcPr>
            <w:tcW w:w="2071" w:type="dxa"/>
            <w:tcBorders>
              <w:top w:val="single" w:color="auto" w:sz="4" w:space="0"/>
              <w:left w:val="single" w:color="auto" w:sz="4" w:space="0"/>
              <w:bottom w:val="single" w:color="auto" w:sz="4" w:space="0"/>
              <w:right w:val="single" w:color="auto" w:sz="4" w:space="0"/>
            </w:tcBorders>
            <w:vAlign w:val="center"/>
          </w:tcPr>
          <w:p w14:paraId="6E12BE9D">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60BDA97C">
            <w:pPr>
              <w:jc w:val="center"/>
              <w:rPr>
                <w:rFonts w:hint="default" w:ascii="Times New Roman" w:hAnsi="Times New Roman" w:cs="Times New Roman"/>
              </w:rPr>
            </w:pPr>
            <w:r>
              <w:rPr>
                <w:rFonts w:hint="default" w:ascii="Times New Roman" w:hAnsi="Times New Roman" w:cs="Times New Roman"/>
              </w:rPr>
              <w:t>GB 31604.9</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2016</w:t>
            </w:r>
          </w:p>
        </w:tc>
      </w:tr>
      <w:tr w14:paraId="4905B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0CAA9083">
            <w:pPr>
              <w:jc w:val="center"/>
              <w:rPr>
                <w:rFonts w:hint="default" w:ascii="Times New Roman" w:hAnsi="Times New Roman" w:cs="Times New Roman"/>
              </w:rPr>
            </w:pPr>
            <w:r>
              <w:rPr>
                <w:rFonts w:hint="default" w:ascii="Times New Roman" w:hAnsi="Times New Roman" w:cs="Times New Roman"/>
              </w:rPr>
              <w:t>5</w:t>
            </w:r>
          </w:p>
        </w:tc>
        <w:tc>
          <w:tcPr>
            <w:tcW w:w="3581" w:type="dxa"/>
            <w:tcBorders>
              <w:top w:val="single" w:color="auto" w:sz="4" w:space="0"/>
              <w:left w:val="single" w:color="auto" w:sz="4" w:space="0"/>
              <w:bottom w:val="single" w:color="auto" w:sz="4" w:space="0"/>
              <w:right w:val="single" w:color="auto" w:sz="4" w:space="0"/>
            </w:tcBorders>
            <w:vAlign w:val="center"/>
          </w:tcPr>
          <w:p w14:paraId="72826084">
            <w:pPr>
              <w:jc w:val="center"/>
              <w:rPr>
                <w:rFonts w:hint="default" w:ascii="Times New Roman" w:hAnsi="Times New Roman" w:cs="Times New Roman"/>
              </w:rPr>
            </w:pPr>
            <w:r>
              <w:rPr>
                <w:rFonts w:hint="default" w:ascii="Times New Roman" w:hAnsi="Times New Roman" w:cs="Times New Roman"/>
              </w:rPr>
              <w:t>芳香族伯胺迁移总量</w:t>
            </w:r>
          </w:p>
        </w:tc>
        <w:tc>
          <w:tcPr>
            <w:tcW w:w="2071" w:type="dxa"/>
            <w:tcBorders>
              <w:top w:val="single" w:color="auto" w:sz="4" w:space="0"/>
              <w:left w:val="single" w:color="auto" w:sz="4" w:space="0"/>
              <w:bottom w:val="single" w:color="auto" w:sz="4" w:space="0"/>
              <w:right w:val="single" w:color="auto" w:sz="4" w:space="0"/>
            </w:tcBorders>
            <w:vAlign w:val="center"/>
          </w:tcPr>
          <w:p w14:paraId="174B2AEC">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1F001D33">
            <w:pPr>
              <w:jc w:val="center"/>
              <w:rPr>
                <w:rFonts w:hint="default" w:ascii="Times New Roman" w:hAnsi="Times New Roman" w:cs="Times New Roman"/>
              </w:rPr>
            </w:pPr>
            <w:r>
              <w:rPr>
                <w:rFonts w:hint="default" w:ascii="Times New Roman" w:hAnsi="Times New Roman" w:cs="Times New Roman"/>
              </w:rPr>
              <w:t>GB 31604.52</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2021</w:t>
            </w:r>
          </w:p>
        </w:tc>
      </w:tr>
      <w:tr w14:paraId="06634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EE64F13">
            <w:pPr>
              <w:jc w:val="center"/>
              <w:rPr>
                <w:rFonts w:hint="default" w:ascii="Times New Roman" w:hAnsi="Times New Roman" w:cs="Times New Roman"/>
              </w:rPr>
            </w:pPr>
            <w:r>
              <w:rPr>
                <w:rFonts w:hint="default" w:ascii="Times New Roman" w:hAnsi="Times New Roman" w:cs="Times New Roman"/>
              </w:rPr>
              <w:t>6</w:t>
            </w:r>
          </w:p>
        </w:tc>
        <w:tc>
          <w:tcPr>
            <w:tcW w:w="3581" w:type="dxa"/>
            <w:tcBorders>
              <w:top w:val="single" w:color="auto" w:sz="4" w:space="0"/>
              <w:left w:val="single" w:color="auto" w:sz="4" w:space="0"/>
              <w:bottom w:val="single" w:color="auto" w:sz="4" w:space="0"/>
              <w:right w:val="single" w:color="auto" w:sz="4" w:space="0"/>
            </w:tcBorders>
            <w:vAlign w:val="center"/>
          </w:tcPr>
          <w:p w14:paraId="04AFB6DD">
            <w:pPr>
              <w:jc w:val="center"/>
              <w:rPr>
                <w:rFonts w:hint="default" w:ascii="Times New Roman" w:hAnsi="Times New Roman" w:cs="Times New Roman"/>
              </w:rPr>
            </w:pPr>
            <w:r>
              <w:rPr>
                <w:rFonts w:hint="default" w:ascii="Times New Roman" w:hAnsi="Times New Roman" w:cs="Times New Roman"/>
              </w:rPr>
              <w:t>脱色试验</w:t>
            </w:r>
          </w:p>
        </w:tc>
        <w:tc>
          <w:tcPr>
            <w:tcW w:w="2071" w:type="dxa"/>
            <w:tcBorders>
              <w:top w:val="single" w:color="auto" w:sz="4" w:space="0"/>
              <w:left w:val="single" w:color="auto" w:sz="4" w:space="0"/>
              <w:bottom w:val="single" w:color="auto" w:sz="4" w:space="0"/>
              <w:right w:val="single" w:color="auto" w:sz="4" w:space="0"/>
            </w:tcBorders>
            <w:vAlign w:val="center"/>
          </w:tcPr>
          <w:p w14:paraId="29F68684">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14:paraId="6FC82165">
            <w:pPr>
              <w:jc w:val="center"/>
              <w:rPr>
                <w:rFonts w:hint="default" w:ascii="Times New Roman" w:hAnsi="Times New Roman" w:cs="Times New Roman"/>
              </w:rPr>
            </w:pPr>
            <w:r>
              <w:rPr>
                <w:rFonts w:hint="default" w:ascii="Times New Roman" w:hAnsi="Times New Roman" w:cs="Times New Roman"/>
              </w:rPr>
              <w:t>GB 31604.7</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2023</w:t>
            </w:r>
          </w:p>
        </w:tc>
      </w:tr>
      <w:tr w14:paraId="68BE4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70369DB">
            <w:pPr>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7</w:t>
            </w:r>
          </w:p>
        </w:tc>
        <w:tc>
          <w:tcPr>
            <w:tcW w:w="3581" w:type="dxa"/>
            <w:tcBorders>
              <w:top w:val="single" w:color="auto" w:sz="4" w:space="0"/>
              <w:left w:val="single" w:color="auto" w:sz="4" w:space="0"/>
              <w:bottom w:val="single" w:color="auto" w:sz="4" w:space="0"/>
              <w:right w:val="single" w:color="auto" w:sz="4" w:space="0"/>
            </w:tcBorders>
            <w:vAlign w:val="center"/>
          </w:tcPr>
          <w:p w14:paraId="0DB6DC85">
            <w:pPr>
              <w:jc w:val="center"/>
              <w:rPr>
                <w:rFonts w:hint="default" w:ascii="Times New Roman" w:hAnsi="Times New Roman" w:eastAsia="宋体" w:cs="Times New Roman"/>
                <w:lang w:val="en-US" w:eastAsia="zh-CN"/>
              </w:rPr>
            </w:pPr>
            <w:r>
              <w:rPr>
                <w:rFonts w:hint="default" w:ascii="Times New Roman" w:hAnsi="Times New Roman" w:cs="Times New Roman"/>
              </w:rPr>
              <w:t>封合强度</w:t>
            </w:r>
            <w:r>
              <w:rPr>
                <w:rFonts w:hint="eastAsia" w:cs="Times New Roman"/>
                <w:lang w:val="en-US" w:eastAsia="zh-CN"/>
              </w:rPr>
              <w:t>/热合强度（</w:t>
            </w:r>
            <w:r>
              <w:rPr>
                <w:rFonts w:ascii="Times New Roman" w:hAnsi="Times New Roman"/>
                <w:color w:val="auto"/>
                <w:kern w:val="2"/>
                <w:sz w:val="21"/>
                <w:szCs w:val="21"/>
              </w:rPr>
              <w:t>限袋类产品</w:t>
            </w:r>
            <w:r>
              <w:rPr>
                <w:rFonts w:hint="eastAsia" w:cs="Times New Roman"/>
                <w:lang w:val="en-US" w:eastAsia="zh-CN"/>
              </w:rPr>
              <w:t>）</w:t>
            </w:r>
          </w:p>
        </w:tc>
        <w:tc>
          <w:tcPr>
            <w:tcW w:w="2071" w:type="dxa"/>
            <w:tcBorders>
              <w:top w:val="single" w:color="auto" w:sz="4" w:space="0"/>
              <w:left w:val="single" w:color="auto" w:sz="4" w:space="0"/>
              <w:bottom w:val="single" w:color="auto" w:sz="4" w:space="0"/>
              <w:right w:val="single" w:color="auto" w:sz="4" w:space="0"/>
            </w:tcBorders>
            <w:vAlign w:val="center"/>
          </w:tcPr>
          <w:p w14:paraId="0440D838">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0039-2013</w:t>
            </w:r>
          </w:p>
          <w:p w14:paraId="12440594">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BB/T 0014-2011 </w:t>
            </w:r>
          </w:p>
          <w:p w14:paraId="77045592">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14:paraId="092279D7">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QB/T 2358-1998</w:t>
            </w:r>
          </w:p>
        </w:tc>
      </w:tr>
      <w:tr w14:paraId="643C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188692DA">
            <w:pPr>
              <w:jc w:val="center"/>
              <w:rPr>
                <w:rFonts w:hint="default" w:ascii="Times New Roman" w:hAnsi="Times New Roman" w:cs="Times New Roman"/>
                <w:lang w:val="en-US" w:eastAsia="zh-CN"/>
              </w:rPr>
            </w:pPr>
            <w:r>
              <w:rPr>
                <w:rFonts w:hint="default" w:ascii="Times New Roman" w:hAnsi="Times New Roman" w:cs="Times New Roman"/>
                <w:lang w:val="en-US" w:eastAsia="zh-CN"/>
              </w:rPr>
              <w:t>8</w:t>
            </w:r>
          </w:p>
        </w:tc>
        <w:tc>
          <w:tcPr>
            <w:tcW w:w="3581" w:type="dxa"/>
            <w:tcBorders>
              <w:top w:val="single" w:color="auto" w:sz="4" w:space="0"/>
              <w:left w:val="single" w:color="auto" w:sz="4" w:space="0"/>
              <w:bottom w:val="single" w:color="auto" w:sz="4" w:space="0"/>
              <w:right w:val="single" w:color="auto" w:sz="4" w:space="0"/>
            </w:tcBorders>
            <w:vAlign w:val="center"/>
          </w:tcPr>
          <w:p w14:paraId="6BCCD7DC">
            <w:pPr>
              <w:jc w:val="center"/>
              <w:rPr>
                <w:rFonts w:hint="default" w:ascii="Times New Roman" w:hAnsi="Times New Roman" w:cs="Times New Roman"/>
                <w:lang w:val="en-US"/>
              </w:rPr>
            </w:pPr>
            <w:r>
              <w:rPr>
                <w:rFonts w:hint="default" w:ascii="Times New Roman" w:hAnsi="Times New Roman" w:cs="Times New Roman"/>
                <w:lang w:val="en-US" w:eastAsia="zh-CN"/>
              </w:rPr>
              <w:t>拉伸强度</w:t>
            </w:r>
            <w:r>
              <w:rPr>
                <w:rFonts w:hint="eastAsia" w:cs="Times New Roman"/>
                <w:lang w:val="en-US" w:eastAsia="zh-CN"/>
              </w:rPr>
              <w:t>/拉断力</w:t>
            </w:r>
          </w:p>
        </w:tc>
        <w:tc>
          <w:tcPr>
            <w:tcW w:w="2071" w:type="dxa"/>
            <w:tcBorders>
              <w:top w:val="single" w:color="auto" w:sz="4" w:space="0"/>
              <w:left w:val="single" w:color="auto" w:sz="4" w:space="0"/>
              <w:bottom w:val="single" w:color="auto" w:sz="4" w:space="0"/>
              <w:right w:val="single" w:color="auto" w:sz="4" w:space="0"/>
            </w:tcBorders>
            <w:vAlign w:val="center"/>
          </w:tcPr>
          <w:p w14:paraId="3359A71B">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GB/T 4456-2008 </w:t>
            </w:r>
          </w:p>
          <w:p w14:paraId="4677CC3C">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10003-2008</w:t>
            </w:r>
          </w:p>
          <w:p w14:paraId="0477E91E">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0014-2011</w:t>
            </w:r>
          </w:p>
          <w:p w14:paraId="3F09A497">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14:paraId="64F5BBD6">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1040.3-2006</w:t>
            </w:r>
          </w:p>
        </w:tc>
      </w:tr>
      <w:tr w14:paraId="0CF35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14:paraId="57239F9B">
            <w:pPr>
              <w:jc w:val="center"/>
              <w:rPr>
                <w:rFonts w:hint="default" w:ascii="Times New Roman" w:hAnsi="Times New Roman" w:cs="Times New Roman"/>
                <w:lang w:val="en-US" w:eastAsia="zh-CN"/>
              </w:rPr>
            </w:pPr>
            <w:r>
              <w:rPr>
                <w:rFonts w:hint="default" w:ascii="Times New Roman" w:hAnsi="Times New Roman" w:cs="Times New Roman"/>
                <w:lang w:val="en-US" w:eastAsia="zh-CN"/>
              </w:rPr>
              <w:t>9</w:t>
            </w:r>
          </w:p>
        </w:tc>
        <w:tc>
          <w:tcPr>
            <w:tcW w:w="3581" w:type="dxa"/>
            <w:tcBorders>
              <w:top w:val="single" w:color="auto" w:sz="4" w:space="0"/>
              <w:left w:val="single" w:color="auto" w:sz="4" w:space="0"/>
              <w:bottom w:val="single" w:color="auto" w:sz="4" w:space="0"/>
              <w:right w:val="single" w:color="auto" w:sz="4" w:space="0"/>
            </w:tcBorders>
            <w:vAlign w:val="center"/>
          </w:tcPr>
          <w:p w14:paraId="644E3E14">
            <w:pPr>
              <w:jc w:val="center"/>
              <w:rPr>
                <w:rFonts w:hint="default" w:ascii="Times New Roman" w:hAnsi="Times New Roman" w:cs="Times New Roman"/>
                <w:lang w:val="en-US"/>
              </w:rPr>
            </w:pPr>
            <w:r>
              <w:rPr>
                <w:rFonts w:hint="default" w:ascii="Times New Roman" w:hAnsi="Times New Roman" w:cs="Times New Roman"/>
                <w:lang w:val="en-US" w:eastAsia="zh-CN"/>
              </w:rPr>
              <w:t>断裂标称应变</w:t>
            </w:r>
            <w:r>
              <w:rPr>
                <w:rFonts w:hint="eastAsia" w:cs="Times New Roman"/>
                <w:lang w:val="en-US" w:eastAsia="zh-CN"/>
              </w:rPr>
              <w:t>/断裂伸长率</w:t>
            </w:r>
          </w:p>
        </w:tc>
        <w:tc>
          <w:tcPr>
            <w:tcW w:w="2071" w:type="dxa"/>
            <w:tcBorders>
              <w:top w:val="single" w:color="auto" w:sz="4" w:space="0"/>
              <w:left w:val="single" w:color="auto" w:sz="4" w:space="0"/>
              <w:bottom w:val="single" w:color="auto" w:sz="4" w:space="0"/>
              <w:right w:val="single" w:color="auto" w:sz="4" w:space="0"/>
            </w:tcBorders>
            <w:vAlign w:val="center"/>
          </w:tcPr>
          <w:p w14:paraId="7AD67BBC">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GB/T 4456-2008 </w:t>
            </w:r>
          </w:p>
          <w:p w14:paraId="30774686">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10003-2008</w:t>
            </w:r>
          </w:p>
          <w:p w14:paraId="5C13675D">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0014-2011</w:t>
            </w:r>
          </w:p>
          <w:p w14:paraId="3A241FFC">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14:paraId="63B168AE">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1040.3-2006</w:t>
            </w:r>
          </w:p>
        </w:tc>
      </w:tr>
      <w:tr w14:paraId="238BC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6" w:type="dxa"/>
            <w:gridSpan w:val="4"/>
            <w:tcBorders>
              <w:top w:val="single" w:color="auto" w:sz="4" w:space="0"/>
              <w:left w:val="single" w:color="auto" w:sz="4" w:space="0"/>
              <w:bottom w:val="single" w:color="auto" w:sz="4" w:space="0"/>
              <w:right w:val="single" w:color="auto" w:sz="4" w:space="0"/>
            </w:tcBorders>
            <w:vAlign w:val="center"/>
          </w:tcPr>
          <w:p w14:paraId="5FD6C639">
            <w:pPr>
              <w:adjustRightInd w:val="0"/>
              <w:snapToGrid w:val="0"/>
              <w:ind w:firstLine="420"/>
              <w:jc w:val="left"/>
              <w:rPr>
                <w:rFonts w:hint="default" w:ascii="Times New Roman" w:hAnsi="Times New Roman" w:cs="Times New Roman"/>
                <w:color w:val="000000"/>
              </w:rPr>
            </w:pPr>
            <w:r>
              <w:rPr>
                <w:rFonts w:hint="default" w:ascii="Times New Roman" w:hAnsi="Times New Roman" w:cs="Times New Roman"/>
              </w:rPr>
              <w:t>注：</w:t>
            </w:r>
            <w:r>
              <w:rPr>
                <w:rFonts w:hint="default" w:ascii="Times New Roman" w:hAnsi="Times New Roman" w:cs="Times New Roman"/>
                <w:color w:val="000000"/>
              </w:rPr>
              <w:t>1.芳香族伯胺迁移总量仅适用于含有芳香族异氰酸酯和偶氮类着色剂等可能产生芳香族伯胺类物质的产品。</w:t>
            </w:r>
          </w:p>
          <w:p w14:paraId="168EDB5C">
            <w:pPr>
              <w:numPr>
                <w:ilvl w:val="0"/>
                <w:numId w:val="0"/>
              </w:numPr>
              <w:spacing w:line="30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lang w:val="en-US" w:eastAsia="zh-CN"/>
              </w:rPr>
              <w:t>2.</w:t>
            </w:r>
            <w:r>
              <w:rPr>
                <w:rFonts w:hint="default" w:ascii="Times New Roman" w:hAnsi="Times New Roman" w:cs="Times New Roman"/>
                <w:color w:val="000000"/>
              </w:rPr>
              <w:t>脱色试验仅适用于添加了着色剂的产品。</w:t>
            </w:r>
          </w:p>
          <w:p w14:paraId="283976E9">
            <w:pPr>
              <w:numPr>
                <w:ilvl w:val="0"/>
                <w:numId w:val="0"/>
              </w:numPr>
              <w:ind w:left="420" w:leftChars="0"/>
              <w:jc w:val="left"/>
              <w:rPr>
                <w:rFonts w:hint="default" w:ascii="Times New Roman" w:hAnsi="Times New Roman" w:cs="Times New Roman"/>
                <w:bCs/>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因为流通领域无法让生产企业确定产品的预期使用情况，故流通领域上抽取的</w:t>
            </w:r>
            <w:r>
              <w:rPr>
                <w:rFonts w:hint="default" w:ascii="Times New Roman" w:hAnsi="Times New Roman" w:cs="Times New Roman"/>
                <w:color w:val="000000"/>
                <w:lang w:val="en-US" w:eastAsia="zh-CN"/>
              </w:rPr>
              <w:t>非复合膜袋</w:t>
            </w:r>
            <w:r>
              <w:rPr>
                <w:rFonts w:hint="default" w:ascii="Times New Roman" w:hAnsi="Times New Roman" w:cs="Times New Roman"/>
                <w:color w:val="000000"/>
              </w:rPr>
              <w:t>产品迁移条件均按照10%乙醇，</w:t>
            </w:r>
            <w:r>
              <w:rPr>
                <w:rFonts w:hint="default" w:ascii="Times New Roman" w:hAnsi="Times New Roman" w:cs="Times New Roman"/>
                <w:color w:val="000000"/>
                <w:lang w:val="en-US" w:eastAsia="zh-CN"/>
              </w:rPr>
              <w:t>40</w:t>
            </w:r>
            <w:r>
              <w:rPr>
                <w:rFonts w:hint="default" w:ascii="Times New Roman" w:hAnsi="Times New Roman" w:cs="Times New Roman"/>
                <w:color w:val="000000"/>
              </w:rPr>
              <w:t>℃，2</w:t>
            </w:r>
            <w:r>
              <w:rPr>
                <w:rFonts w:hint="default" w:ascii="Times New Roman" w:hAnsi="Times New Roman" w:cs="Times New Roman"/>
                <w:color w:val="000000"/>
                <w:lang w:val="en-US" w:eastAsia="zh-CN"/>
              </w:rPr>
              <w:t>4</w:t>
            </w:r>
            <w:r>
              <w:rPr>
                <w:rFonts w:hint="default" w:ascii="Times New Roman" w:hAnsi="Times New Roman" w:cs="Times New Roman"/>
                <w:color w:val="000000"/>
              </w:rPr>
              <w:t>h浸泡实验。</w:t>
            </w:r>
          </w:p>
        </w:tc>
      </w:tr>
    </w:tbl>
    <w:p w14:paraId="6BDE50D5">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left"/>
        <w:textAlignment w:val="auto"/>
        <w:rPr>
          <w:rFonts w:hint="default" w:ascii="Times New Roman" w:hAnsi="Times New Roman" w:eastAsia="宋体" w:cs="Times New Roman"/>
        </w:rPr>
      </w:pPr>
      <w:r>
        <w:rPr>
          <w:rFonts w:hint="default" w:ascii="Times New Roman" w:hAnsi="Times New Roman" w:eastAsia="宋体" w:cs="Times New Roman"/>
        </w:rPr>
        <w:t>物理指标项目根据产品标准及检测方法是否符合细则要求，确定此项目是否需要检测。执行</w:t>
      </w:r>
      <w:r>
        <w:rPr>
          <w:rFonts w:hint="default" w:ascii="Times New Roman" w:hAnsi="Times New Roman" w:eastAsia="宋体" w:cs="Times New Roman"/>
          <w:lang w:val="en-US" w:eastAsia="zh-CN"/>
        </w:rPr>
        <w:t>国家标准、行业标准、</w:t>
      </w:r>
      <w:r>
        <w:rPr>
          <w:rFonts w:hint="default" w:ascii="Times New Roman" w:hAnsi="Times New Roman" w:eastAsia="宋体" w:cs="Times New Roman"/>
        </w:rPr>
        <w:t>企业标准、团体标准、地方标准</w:t>
      </w:r>
      <w:r>
        <w:rPr>
          <w:rFonts w:hint="default" w:ascii="Times New Roman" w:hAnsi="Times New Roman" w:eastAsia="宋体" w:cs="Times New Roman"/>
          <w:lang w:val="en-US" w:eastAsia="zh-CN"/>
        </w:rPr>
        <w:t>等其他非复合膜袋</w:t>
      </w:r>
      <w:r>
        <w:rPr>
          <w:rFonts w:hint="default" w:ascii="Times New Roman" w:hAnsi="Times New Roman" w:eastAsia="宋体" w:cs="Times New Roman"/>
        </w:rPr>
        <w:t>产品</w:t>
      </w:r>
      <w:r>
        <w:rPr>
          <w:rFonts w:hint="default" w:ascii="Times New Roman" w:hAnsi="Times New Roman" w:eastAsia="宋体" w:cs="Times New Roman"/>
          <w:lang w:val="en-US" w:eastAsia="zh-CN"/>
        </w:rPr>
        <w:t>执行标准</w:t>
      </w:r>
      <w:r>
        <w:rPr>
          <w:rFonts w:hint="default" w:ascii="Times New Roman" w:hAnsi="Times New Roman" w:eastAsia="宋体" w:cs="Times New Roman"/>
        </w:rPr>
        <w:t>，检验项目参照上述内容执行。</w:t>
      </w:r>
    </w:p>
    <w:p w14:paraId="6C983669">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14:paraId="7A18542F">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4C8A2796">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640AA961">
      <w:pPr>
        <w:adjustRightInd w:val="0"/>
        <w:snapToGrid w:val="0"/>
        <w:spacing w:line="440" w:lineRule="exact"/>
        <w:ind w:firstLine="420" w:firstLineChars="200"/>
      </w:pPr>
      <w:r>
        <w:fldChar w:fldCharType="begin"/>
      </w:r>
      <w:r>
        <w:instrText xml:space="preserve"> HYPERLINK "http://www.so.com/link?m=an4B6Naw3DFf8tGXnOxjlDU3MC61AH%2BEa5AjhJR73MqFG1SuyngkrB39r%2Fo18zEkZn4jLeZy0wpfXHs9hoiTPIAOKnCn6CRFhNFLYnwnJt%2B3KzmF1ujK8X8F%2Bk5dyakOv" \t "_blank" </w:instrText>
      </w:r>
      <w:r>
        <w:fldChar w:fldCharType="separate"/>
      </w:r>
      <w:r>
        <w:t>GB/T 4456</w:t>
      </w:r>
      <w:r>
        <w:rPr>
          <w:rFonts w:hint="eastAsia"/>
          <w:szCs w:val="21"/>
        </w:rPr>
        <w:t>-</w:t>
      </w:r>
      <w:r>
        <w:t>2008 包装用聚乙烯吹塑薄膜</w:t>
      </w:r>
      <w:r>
        <w:fldChar w:fldCharType="end"/>
      </w:r>
    </w:p>
    <w:p w14:paraId="6F91AD1C">
      <w:pPr>
        <w:adjustRightInd w:val="0"/>
        <w:snapToGrid w:val="0"/>
        <w:spacing w:line="440" w:lineRule="exact"/>
        <w:ind w:firstLine="420" w:firstLineChars="200"/>
        <w:outlineLvl w:val="1"/>
        <w:rPr>
          <w:szCs w:val="21"/>
        </w:rPr>
      </w:pPr>
      <w:r>
        <w:rPr>
          <w:szCs w:val="21"/>
        </w:rPr>
        <w:t>GB 4806.7</w:t>
      </w:r>
      <w:r>
        <w:rPr>
          <w:rFonts w:hint="eastAsia"/>
          <w:szCs w:val="21"/>
        </w:rPr>
        <w:t>-</w:t>
      </w:r>
      <w:r>
        <w:rPr>
          <w:szCs w:val="21"/>
        </w:rPr>
        <w:t>20</w:t>
      </w:r>
      <w:r>
        <w:rPr>
          <w:rFonts w:hint="eastAsia"/>
          <w:szCs w:val="21"/>
        </w:rPr>
        <w:t>23</w:t>
      </w:r>
      <w:r>
        <w:rPr>
          <w:szCs w:val="21"/>
        </w:rPr>
        <w:t xml:space="preserve"> </w:t>
      </w:r>
      <w:r>
        <w:fldChar w:fldCharType="begin"/>
      </w:r>
      <w:r>
        <w:instrText xml:space="preserve"> HYPERLINK "http://www.bzsb.info/searchStandard.do" </w:instrText>
      </w:r>
      <w:r>
        <w:fldChar w:fldCharType="separate"/>
      </w:r>
      <w:r>
        <w:rPr>
          <w:szCs w:val="21"/>
        </w:rPr>
        <w:t>食品安全国家标准 食品接触用塑料材料及制品</w:t>
      </w:r>
      <w:r>
        <w:rPr>
          <w:szCs w:val="21"/>
        </w:rPr>
        <w:fldChar w:fldCharType="end"/>
      </w:r>
    </w:p>
    <w:p w14:paraId="130A9902">
      <w:pPr>
        <w:adjustRightInd w:val="0"/>
        <w:snapToGrid w:val="0"/>
        <w:spacing w:line="440" w:lineRule="exact"/>
        <w:ind w:firstLine="420" w:firstLineChars="200"/>
        <w:outlineLvl w:val="1"/>
        <w:rPr>
          <w:szCs w:val="21"/>
        </w:rPr>
      </w:pPr>
      <w:r>
        <w:rPr>
          <w:rFonts w:hint="eastAsia"/>
          <w:szCs w:val="21"/>
        </w:rPr>
        <w:t>GB/T 10457-2021 食品用塑料自粘保鲜膜质量通则</w:t>
      </w:r>
    </w:p>
    <w:p w14:paraId="62B0556F">
      <w:pPr>
        <w:adjustRightInd w:val="0"/>
        <w:snapToGrid w:val="0"/>
        <w:spacing w:line="440" w:lineRule="exact"/>
        <w:ind w:firstLine="420" w:firstLineChars="200"/>
      </w:pPr>
      <w:r>
        <w:t>GB/T 10003</w:t>
      </w:r>
      <w:r>
        <w:rPr>
          <w:rFonts w:hint="eastAsia"/>
          <w:szCs w:val="21"/>
        </w:rPr>
        <w:t>-</w:t>
      </w:r>
      <w:r>
        <w:t>2008 普通用途双向拉伸聚丙烯（BOPP）薄膜</w:t>
      </w:r>
    </w:p>
    <w:p w14:paraId="0841F7FD">
      <w:pPr>
        <w:adjustRightInd w:val="0"/>
        <w:snapToGrid w:val="0"/>
        <w:spacing w:line="440" w:lineRule="exact"/>
        <w:ind w:firstLine="420" w:firstLineChars="200"/>
        <w:rPr>
          <w:rFonts w:hint="eastAsia"/>
        </w:rPr>
      </w:pPr>
      <w:r>
        <w:t>GB/T 16958</w:t>
      </w:r>
      <w:r>
        <w:rPr>
          <w:rFonts w:hint="eastAsia"/>
          <w:szCs w:val="21"/>
        </w:rPr>
        <w:t>-</w:t>
      </w:r>
      <w:r>
        <w:t>2008 包装用双向拉伸聚酯薄膜</w:t>
      </w:r>
    </w:p>
    <w:p w14:paraId="37A53348">
      <w:pPr>
        <w:adjustRightInd w:val="0"/>
        <w:snapToGrid w:val="0"/>
        <w:spacing w:line="440" w:lineRule="exact"/>
        <w:ind w:firstLine="420" w:firstLineChars="200"/>
        <w:rPr>
          <w:rFonts w:hint="eastAsia"/>
        </w:rPr>
      </w:pPr>
      <w:r>
        <w:t>GB/T 17030</w:t>
      </w:r>
      <w:r>
        <w:rPr>
          <w:rFonts w:hint="eastAsia"/>
          <w:szCs w:val="21"/>
        </w:rPr>
        <w:t>-</w:t>
      </w:r>
      <w:r>
        <w:t>2019 食品包装用聚偏二氯乙烯（PVDC）片状肠衣膜</w:t>
      </w:r>
    </w:p>
    <w:p w14:paraId="6AC5760E">
      <w:pPr>
        <w:adjustRightInd w:val="0"/>
        <w:snapToGrid w:val="0"/>
        <w:spacing w:line="440" w:lineRule="exact"/>
        <w:ind w:firstLine="420" w:firstLineChars="200"/>
        <w:rPr>
          <w:rFonts w:hint="eastAsia"/>
        </w:rPr>
      </w:pPr>
      <w:r>
        <w:t>GB/T 20218</w:t>
      </w:r>
      <w:r>
        <w:rPr>
          <w:rFonts w:hint="eastAsia"/>
          <w:szCs w:val="21"/>
        </w:rPr>
        <w:t>-</w:t>
      </w:r>
      <w:r>
        <w:t>2021 双向拉伸聚酰胺（尼龙）薄膜</w:t>
      </w:r>
    </w:p>
    <w:p w14:paraId="0C2E4B15">
      <w:pPr>
        <w:adjustRightInd w:val="0"/>
        <w:snapToGrid w:val="0"/>
        <w:spacing w:line="440" w:lineRule="exact"/>
        <w:ind w:firstLine="420" w:firstLineChars="200"/>
      </w:pPr>
      <w:r>
        <w:t>GB/T 21661</w:t>
      </w:r>
      <w:r>
        <w:rPr>
          <w:rFonts w:hint="eastAsia"/>
          <w:szCs w:val="21"/>
        </w:rPr>
        <w:t>-</w:t>
      </w:r>
      <w:r>
        <w:t>2020 塑料购物袋</w:t>
      </w:r>
    </w:p>
    <w:p w14:paraId="7D27F551">
      <w:pPr>
        <w:adjustRightInd w:val="0"/>
        <w:snapToGrid w:val="0"/>
        <w:spacing w:line="440" w:lineRule="exact"/>
        <w:ind w:firstLine="420" w:firstLineChars="200"/>
      </w:pPr>
      <w:r>
        <w:t>GB/T 24984</w:t>
      </w:r>
      <w:r>
        <w:rPr>
          <w:rFonts w:hint="eastAsia"/>
          <w:szCs w:val="21"/>
        </w:rPr>
        <w:t>-</w:t>
      </w:r>
      <w:r>
        <w:t>2010 日用塑料袋</w:t>
      </w:r>
    </w:p>
    <w:p w14:paraId="5131A061">
      <w:pPr>
        <w:adjustRightInd w:val="0"/>
        <w:snapToGrid w:val="0"/>
        <w:spacing w:line="440" w:lineRule="exact"/>
        <w:ind w:firstLine="420" w:firstLineChars="200"/>
      </w:pPr>
      <w:r>
        <w:t>GB/T 27740</w:t>
      </w:r>
      <w:r>
        <w:rPr>
          <w:rFonts w:hint="eastAsia"/>
          <w:szCs w:val="21"/>
        </w:rPr>
        <w:t>-</w:t>
      </w:r>
      <w:r>
        <w:t>2011 流延聚丙烯（CPP）薄膜</w:t>
      </w:r>
    </w:p>
    <w:p w14:paraId="18194A2C">
      <w:pPr>
        <w:adjustRightInd w:val="0"/>
        <w:snapToGrid w:val="0"/>
        <w:spacing w:line="440" w:lineRule="exact"/>
        <w:ind w:firstLine="420" w:firstLineChars="200"/>
      </w:pPr>
      <w:bookmarkStart w:id="0" w:name="_Hlk128645887"/>
      <w:r>
        <w:t>GB/T 38082</w:t>
      </w:r>
      <w:r>
        <w:rPr>
          <w:rFonts w:hint="eastAsia"/>
          <w:szCs w:val="21"/>
        </w:rPr>
        <w:t>-</w:t>
      </w:r>
      <w:r>
        <w:t>2019 生物降解塑料购物袋</w:t>
      </w:r>
    </w:p>
    <w:bookmarkEnd w:id="0"/>
    <w:p w14:paraId="13269050">
      <w:pPr>
        <w:adjustRightInd w:val="0"/>
        <w:snapToGrid w:val="0"/>
        <w:spacing w:line="440" w:lineRule="exact"/>
        <w:ind w:firstLine="420" w:firstLineChars="200"/>
      </w:pPr>
      <w:r>
        <w:t>BB/T 0002</w:t>
      </w:r>
      <w:r>
        <w:rPr>
          <w:rFonts w:hint="eastAsia"/>
          <w:szCs w:val="21"/>
        </w:rPr>
        <w:t>-</w:t>
      </w:r>
      <w:r>
        <w:t>2008 双向拉伸聚丙烯珠光薄膜</w:t>
      </w:r>
    </w:p>
    <w:p w14:paraId="7AE40248">
      <w:pPr>
        <w:adjustRightInd w:val="0"/>
        <w:snapToGrid w:val="0"/>
        <w:spacing w:line="440" w:lineRule="exact"/>
        <w:ind w:firstLine="420" w:firstLineChars="200"/>
      </w:pPr>
      <w:r>
        <w:t>BB/T 0014</w:t>
      </w:r>
      <w:r>
        <w:rPr>
          <w:rFonts w:hint="eastAsia"/>
          <w:szCs w:val="21"/>
        </w:rPr>
        <w:t>-</w:t>
      </w:r>
      <w:r>
        <w:t>2011 夹链自封袋</w:t>
      </w:r>
    </w:p>
    <w:p w14:paraId="127CB764">
      <w:pPr>
        <w:adjustRightInd w:val="0"/>
        <w:snapToGrid w:val="0"/>
        <w:spacing w:line="440" w:lineRule="exact"/>
        <w:ind w:firstLine="420" w:firstLineChars="200"/>
      </w:pPr>
      <w:r>
        <w:t>BB/T 0030</w:t>
      </w:r>
      <w:r>
        <w:rPr>
          <w:rFonts w:hint="eastAsia"/>
          <w:szCs w:val="21"/>
        </w:rPr>
        <w:t>-</w:t>
      </w:r>
      <w:r>
        <w:t>2019 包装用镀铝薄膜</w:t>
      </w:r>
    </w:p>
    <w:p w14:paraId="0DC92AEF">
      <w:pPr>
        <w:adjustRightInd w:val="0"/>
        <w:snapToGrid w:val="0"/>
        <w:spacing w:line="440" w:lineRule="exact"/>
        <w:ind w:firstLine="420" w:firstLineChars="200"/>
      </w:pPr>
      <w:r>
        <w:t>BB/T 0039</w:t>
      </w:r>
      <w:r>
        <w:rPr>
          <w:rFonts w:hint="eastAsia"/>
          <w:szCs w:val="21"/>
        </w:rPr>
        <w:t>-</w:t>
      </w:r>
      <w:r>
        <w:t>2013 商品零售包装袋</w:t>
      </w:r>
    </w:p>
    <w:p w14:paraId="53F83D7B">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14:paraId="791D71A8">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5A61E451">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14:paraId="5B526879">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14:paraId="33C54612">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14:paraId="662242E9">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14:paraId="7C3838E7">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14:paraId="4F03B50D">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0C7B3">
    <w:pPr>
      <w:pStyle w:val="5"/>
      <w:rPr>
        <w:rFonts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7" name="文本框 1"/>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14:paraId="4C1B9687">
                          <w:pPr>
                            <w:pStyle w:val="5"/>
                            <w:rPr>
                              <w:rFonts w:eastAsia="宋体" w:cs="Calibri"/>
                            </w:rPr>
                          </w:pPr>
                          <w:r>
                            <w:fldChar w:fldCharType="begin"/>
                          </w:r>
                          <w:r>
                            <w:instrText xml:space="preserve"> PAGE  \* MERGEFORMAT </w:instrText>
                          </w:r>
                          <w:r>
                            <w:fldChar w:fldCharType="separate"/>
                          </w:r>
                          <w:r>
                            <w:t>3</w:t>
                          </w:r>
                          <w:r>
                            <w:fldChar w:fldCharType="end"/>
                          </w:r>
                        </w:p>
                      </w:txbxContent>
                    </wps:txbx>
                    <wps:bodyPr vert="horz" wrap="none" lIns="0" tIns="0" rIns="0" bIns="0" anchor="t" upright="1">
                      <a:spAutoFit/>
                    </wps:bodyPr>
                  </wps:wsp>
                </a:graphicData>
              </a:graphic>
            </wp:anchor>
          </w:drawing>
        </mc:Choice>
        <mc:Fallback>
          <w:pict>
            <v:rect id="文本框 1" o:spid="_x0000_s1026" o:spt="1" style="position:absolute;left:0pt;margin-top:0pt;height:12.2pt;width:4.75pt;mso-position-horizontal:center;mso-position-horizontal-relative:margin;mso-wrap-style:none;z-index:251659264;mso-width-relative:page;mso-height-relative:page;" filled="f" stroked="f" coordsize="21600,21600" o:gfxdata="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gEMXa0QAAAAIBAAAPAAAAAAAAAAEAIAAAACIA&#10;AABkcnMvZG93bnJldi54bWxQSwECFAAUAAAACACHTuJAdWV6WNcBAACbAwAADgAAAAAAAAABACAA&#10;AAAgAQAAZHJzL2Uyb0RvYy54bWxQSwUGAAAAAAYABgBZAQAAaQUAAAAA&#10;">
              <v:fill on="f" focussize="0,0"/>
              <v:stroke on="f"/>
              <v:imagedata o:title=""/>
              <o:lock v:ext="edit" aspectratio="f"/>
              <v:textbox inset="0mm,0mm,0mm,0mm" style="mso-fit-shape-to-text:t;">
                <w:txbxContent>
                  <w:p w14:paraId="4C1B9687">
                    <w:pPr>
                      <w:pStyle w:val="5"/>
                      <w:rPr>
                        <w:rFonts w:eastAsia="宋体" w:cs="Calibri"/>
                      </w:rPr>
                    </w:pPr>
                    <w:r>
                      <w:fldChar w:fldCharType="begin"/>
                    </w:r>
                    <w:r>
                      <w:instrText xml:space="preserve"> PAGE  \* MERGEFORMAT </w:instrText>
                    </w:r>
                    <w:r>
                      <w:fldChar w:fldCharType="separate"/>
                    </w:r>
                    <w:r>
                      <w:t>3</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68EAA">
    <w:pPr>
      <w:pStyle w:val="5"/>
      <w:rPr>
        <w:rFonts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8" name="文本框 2"/>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14:paraId="00259A1C">
                          <w:pPr>
                            <w:pStyle w:val="5"/>
                            <w:rPr>
                              <w:rFonts w:eastAsia="宋体" w:cs="Calibri"/>
                            </w:rPr>
                          </w:pPr>
                          <w:r>
                            <w:fldChar w:fldCharType="begin"/>
                          </w:r>
                          <w:r>
                            <w:instrText xml:space="preserve"> PAGE  \* MERGEFORMAT </w:instrText>
                          </w:r>
                          <w:r>
                            <w:fldChar w:fldCharType="separate"/>
                          </w:r>
                          <w:r>
                            <w:t>1</w:t>
                          </w:r>
                          <w:r>
                            <w:fldChar w:fldCharType="end"/>
                          </w:r>
                        </w:p>
                      </w:txbxContent>
                    </wps:txbx>
                    <wps:bodyPr vert="horz" wrap="none" lIns="0" tIns="0" rIns="0" bIns="0" anchor="t" upright="1">
                      <a:spAutoFit/>
                    </wps:bodyPr>
                  </wps:wsp>
                </a:graphicData>
              </a:graphic>
            </wp:anchor>
          </w:drawing>
        </mc:Choice>
        <mc:Fallback>
          <w:pict>
            <v:rect id="文本框 2" o:spid="_x0000_s1026" o:spt="1" style="position:absolute;left:0pt;margin-top:0pt;height:12.2pt;width:4.75pt;mso-position-horizontal:center;mso-position-horizontal-relative:margin;mso-wrap-style:none;z-index:251659264;mso-width-relative:page;mso-height-relative:page;" filled="f" stroked="f" coordsize="21600,21600" o:gfxdata="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CAQxdrRAAAAAgEAAA8AAAAAAAAAAQAgAAAAIgAA&#10;AGRycy9kb3ducmV2LnhtbFBLAQIUABQAAAAIAIdO4kABXfIp1gEAAJsDAAAOAAAAAAAAAAEAIAAA&#10;ACABAABkcnMvZTJvRG9jLnhtbFBLBQYAAAAABgAGAFkBAABoBQAAAAA=&#10;">
              <v:fill on="f" focussize="0,0"/>
              <v:stroke on="f"/>
              <v:imagedata o:title=""/>
              <o:lock v:ext="edit" aspectratio="f"/>
              <v:textbox inset="0mm,0mm,0mm,0mm" style="mso-fit-shape-to-text:t;">
                <w:txbxContent>
                  <w:p w14:paraId="00259A1C">
                    <w:pPr>
                      <w:pStyle w:val="5"/>
                      <w:rPr>
                        <w:rFonts w:eastAsia="宋体" w:cs="Calibri"/>
                      </w:rPr>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oNotHyphenateCaps/>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3E5E44"/>
    <w:rsid w:val="0990698E"/>
    <w:rsid w:val="0B28263F"/>
    <w:rsid w:val="0DB34D01"/>
    <w:rsid w:val="0F846D72"/>
    <w:rsid w:val="11906FC7"/>
    <w:rsid w:val="38557E86"/>
    <w:rsid w:val="59475421"/>
    <w:rsid w:val="5DF315AE"/>
    <w:rsid w:val="61424122"/>
    <w:rsid w:val="6F5F2362"/>
    <w:rsid w:val="6F9A638E"/>
    <w:rsid w:val="74D7169E"/>
    <w:rsid w:val="75C65B4A"/>
    <w:rsid w:val="75EB5B09"/>
    <w:rsid w:val="76D23D8C"/>
    <w:rsid w:val="7C780977"/>
    <w:rsid w:val="7E2174D3"/>
    <w:rsid w:val="7F78540D"/>
    <w:rsid w:val="7FF4D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annotation text"/>
    <w:basedOn w:val="1"/>
    <w:link w:val="10"/>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qFormat/>
    <w:uiPriority w:val="99"/>
    <w:rPr>
      <w:rFonts w:ascii="Calibri" w:hAnsi="Calibri" w:eastAsia="宋体" w:cs="Calibri"/>
      <w:sz w:val="21"/>
      <w:szCs w:val="21"/>
    </w:rPr>
  </w:style>
  <w:style w:type="character" w:customStyle="1" w:styleId="11">
    <w:name w:val="批注框文本 字符"/>
    <w:link w:val="4"/>
    <w:qFormat/>
    <w:uiPriority w:val="99"/>
    <w:rPr>
      <w:rFonts w:ascii="Calibri" w:hAnsi="Calibri" w:eastAsia="宋体" w:cs="Calibri"/>
      <w:kern w:val="2"/>
      <w:sz w:val="18"/>
      <w:szCs w:val="18"/>
    </w:rPr>
  </w:style>
  <w:style w:type="character" w:customStyle="1" w:styleId="12">
    <w:name w:val="页脚 字符"/>
    <w:link w:val="5"/>
    <w:qFormat/>
    <w:uiPriority w:val="99"/>
    <w:rPr>
      <w:sz w:val="18"/>
      <w:szCs w:val="18"/>
    </w:rPr>
  </w:style>
  <w:style w:type="character" w:customStyle="1" w:styleId="13">
    <w:name w:val="页眉 字符"/>
    <w:link w:val="6"/>
    <w:qFormat/>
    <w:uiPriority w:val="99"/>
    <w:rPr>
      <w:sz w:val="18"/>
      <w:szCs w:val="18"/>
    </w:rPr>
  </w:style>
  <w:style w:type="paragraph" w:customStyle="1" w:styleId="14">
    <w:name w:val="修订1"/>
    <w:qFormat/>
    <w:uiPriority w:val="99"/>
    <w:rPr>
      <w:rFonts w:ascii="Calibri" w:hAnsi="Calibri" w:eastAsia="宋体" w:cs="Calibri"/>
      <w:kern w:val="2"/>
      <w:sz w:val="21"/>
      <w:szCs w:val="21"/>
      <w:lang w:val="en-US" w:eastAsia="zh-CN" w:bidi="ar-SA"/>
    </w:rPr>
  </w:style>
  <w:style w:type="paragraph" w:customStyle="1" w:styleId="15">
    <w:name w:val="Table Text"/>
    <w:basedOn w:val="1"/>
    <w:semiHidden/>
    <w:qFormat/>
    <w:uiPriority w:val="0"/>
    <w:rPr>
      <w:rFonts w:ascii="仿宋" w:hAnsi="仿宋" w:eastAsia="仿宋" w:cs="仿宋"/>
      <w:sz w:val="24"/>
      <w:szCs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1270</Words>
  <Characters>1742</Characters>
  <Paragraphs>93</Paragraphs>
  <TotalTime>10</TotalTime>
  <ScaleCrop>false</ScaleCrop>
  <LinksUpToDate>false</LinksUpToDate>
  <CharactersWithSpaces>1802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2025-02-26T10:36:00Z</dcterms:created>
  <dc:creator>lenovo</dc:creator>
  <cp:lastModifiedBy>箫韶.</cp:lastModifiedBy>
  <dcterms:modified xsi:type="dcterms:W3CDTF">2025-09-15T02:50:16Z</dcterms:modified>
  <dc:title>童鞋产品质量国家监督抽查实施细则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78CC6FFA139A492D8989FAB0BC5D5489_13</vt:lpwstr>
  </property>
  <property fmtid="{D5CDD505-2E9C-101B-9397-08002B2CF9AE}" pid="4" name="KSOTemplateDocerSaveRecord">
    <vt:lpwstr>eyJoZGlkIjoiYzAwNTk0ZDJkNDJhOWExYWFhMmQ4MDBjMDllM2JmYjYiLCJ1c2VySWQiOiIxMTMyMjQ2NTM2In0=</vt:lpwstr>
  </property>
</Properties>
</file>