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财政部门</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财政</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财政</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color w:val="000000"/>
          <w:sz w:val="32"/>
          <w:szCs w:val="32"/>
          <w:lang w:eastAsia="zh-CN"/>
        </w:rPr>
        <w:t>财政</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财政</w:t>
      </w:r>
      <w:r>
        <w:rPr>
          <w:rFonts w:hint="eastAsia" w:ascii="仿宋_GB2312" w:eastAsia="仿宋_GB2312"/>
          <w:b/>
          <w:sz w:val="44"/>
          <w:szCs w:val="44"/>
          <w:lang w:eastAsia="zh-CN"/>
        </w:rPr>
        <w:t>部门</w:t>
      </w:r>
      <w:r>
        <w:rPr>
          <w:rFonts w:hint="eastAsia" w:ascii="仿宋_GB2312" w:eastAsia="仿宋_GB2312"/>
          <w:b/>
          <w:sz w:val="44"/>
          <w:szCs w:val="44"/>
        </w:rPr>
        <w:t>概况</w:t>
      </w:r>
    </w:p>
    <w:p w14:paraId="581AFF20">
      <w:pPr>
        <w:widowControl/>
        <w:spacing w:line="580" w:lineRule="exact"/>
        <w:jc w:val="left"/>
        <w:rPr>
          <w:rFonts w:ascii="宋体" w:hAnsi="宋体"/>
          <w:b/>
          <w:sz w:val="36"/>
          <w:szCs w:val="36"/>
        </w:rPr>
      </w:pPr>
    </w:p>
    <w:p w14:paraId="4EFC4D82">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147C3148">
      <w:pPr>
        <w:pStyle w:val="10"/>
        <w:ind w:firstLineChars="0"/>
        <w:rPr>
          <w:rFonts w:hint="eastAsia" w:ascii="仿宋" w:hAnsi="仿宋" w:eastAsia="仿宋" w:cs="仿宋"/>
          <w:sz w:val="32"/>
          <w:szCs w:val="32"/>
        </w:rPr>
      </w:pPr>
      <w:r>
        <w:rPr>
          <w:rFonts w:hint="eastAsia" w:ascii="仿宋" w:hAnsi="仿宋" w:eastAsia="仿宋" w:cs="仿宋"/>
          <w:sz w:val="32"/>
          <w:szCs w:val="32"/>
        </w:rPr>
        <w:t>(-)贯彻执行国家财政、税收法律、法规及其他有关政策;拟订本区财政、税收、财务、会计管理、非税收入管理、国有资产管理的实施办法和规章制度</w:t>
      </w:r>
    </w:p>
    <w:p w14:paraId="157689AB">
      <w:pPr>
        <w:pStyle w:val="10"/>
        <w:ind w:firstLineChars="0"/>
        <w:rPr>
          <w:rFonts w:hint="eastAsia" w:ascii="仿宋" w:hAnsi="仿宋" w:eastAsia="仿宋" w:cs="仿宋"/>
          <w:sz w:val="32"/>
          <w:szCs w:val="32"/>
        </w:rPr>
      </w:pPr>
      <w:r>
        <w:rPr>
          <w:rFonts w:hint="eastAsia" w:ascii="仿宋" w:hAnsi="仿宋" w:eastAsia="仿宋" w:cs="仿宋"/>
          <w:sz w:val="32"/>
          <w:szCs w:val="32"/>
        </w:rPr>
        <w:t>(二)参与制定全区有关宏观经济政策;提出运用财政政策实施宏观调控和综合平衡社会财力的建议;研究全区财政发展战略，拟订和执行全区财政分配办法，编制全区中长期财政规划;指导全区财政工作。</w:t>
      </w:r>
    </w:p>
    <w:p w14:paraId="5B9C03F0">
      <w:pPr>
        <w:pStyle w:val="10"/>
        <w:ind w:firstLine="320" w:firstLineChars="100"/>
        <w:rPr>
          <w:rFonts w:hint="eastAsia" w:ascii="仿宋" w:hAnsi="仿宋" w:eastAsia="仿宋" w:cs="仿宋"/>
          <w:sz w:val="32"/>
          <w:szCs w:val="32"/>
        </w:rPr>
      </w:pPr>
      <w:r>
        <w:rPr>
          <w:rFonts w:hint="eastAsia" w:ascii="仿宋" w:hAnsi="仿宋" w:eastAsia="仿宋" w:cs="仿宋"/>
          <w:sz w:val="32"/>
          <w:szCs w:val="32"/>
        </w:rPr>
        <w:t>(三)承担区本级各项财政收支管理的责任。负责编制区本级年度预决算草案并组织执行。受区政府委托，向区人民代表大会报告全区预算及其执行情况，向区人大常委会报告全区决算,负责区本级政府支出标准体系建设、项目管理及专项资金绩效考评工作。组织制订经费开支标准、定额，负责审核批复部门(单位)的年度预决算。完善区乡的转移支付制度。</w:t>
      </w:r>
    </w:p>
    <w:p w14:paraId="642201DA">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(四)组织制定国库管理制度和国库集中收付制度，指导和监督全区国库业务，按规定开展国库现金管理工作。负责指导全区政府采购工作并监督管理。</w:t>
      </w:r>
    </w:p>
    <w:p w14:paraId="0E5C3C89">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(五)负责政府性基金管理，按规定管理行政事业性收费;管理财政票据;拟订彩票管理办法，管理彩票市场，按规定管理彩票资金。</w:t>
      </w:r>
    </w:p>
    <w:p w14:paraId="7B81A7E8">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六)负责办理和监督区本级财政的经济发展支出、区本级政府性投资项目的财政拨款，参与拟订区本级建设投资的有关政策，制定基本建设财务制度，负责有关政策性补贴和专项储备资金财政管理工作。管理保障性住房改革预算资金</w:t>
      </w:r>
    </w:p>
    <w:p w14:paraId="26A9C6C5">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(七)会同有关部门管理全区财政社会保障和就业及医疗卫生支出，会同有关部门拟订社会保障资金(基金)的财务管理制度，编制全区社会保障预决算草案，管理区级财政和民生工程保障支出</w:t>
      </w:r>
    </w:p>
    <w:p w14:paraId="555D4C75">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(八)负责管理全区会计工作;贯彻实施会计法律、规章和准则;指导和管理社会审计工作;负责办理财务集中支付工作;组织和管理全区会计人员的继续教育工作;负责全区会计职称管理工作。</w:t>
      </w:r>
    </w:p>
    <w:p w14:paraId="2F04C181">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(九)参与研究全区利用外资的有关政策;管理外国政府和国际金融机构在我区贷款项目的有关业务</w:t>
      </w:r>
    </w:p>
    <w:p w14:paraId="0E399738">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(十)监督全区财税方针政策、法律法规的执行情况，反映财政收支管理中的重大问题;提出加强财政管理的政策建议;组织实施全区财政监督检査工作，依法查处违法违规行为;监缴国有资产收益。</w:t>
      </w:r>
    </w:p>
    <w:p w14:paraId="4E398455">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(十ー)指导全区乡镇财政工作;负责全区农村综合改革工作，管理有关涉农资金，监督有关涉农财政政策的落实。</w:t>
      </w:r>
    </w:p>
    <w:p w14:paraId="3D983553">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(十ニ)制定全区财政科学研究和教育规划;组织和管理全区财政人员业务培训;负责全区财政信息和财政宣传工作</w:t>
      </w:r>
    </w:p>
    <w:p w14:paraId="316F2D94">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三)负责制定全区国有资产管理规章制度，按规定管理全区国有资产，负责审核和汇总编制全区国有资本经营预算草案，制定国有资本经营预算的制度和办法，收取区本级企业国有资本收益，制定并组织执行企业财务制度，按规定管理资产评估工作</w:t>
      </w:r>
    </w:p>
    <w:p w14:paraId="001D55DD">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(十四)负责对政府投资项目的工程概算、预算、结算、竣工决算和成本等进行评估与审查。</w:t>
      </w:r>
    </w:p>
    <w:p w14:paraId="51C7299F">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(十五)承办区委、区政府交办的其他工作</w:t>
      </w:r>
    </w:p>
    <w:p w14:paraId="2904EEE8">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(十六)职能转变。</w:t>
      </w:r>
    </w:p>
    <w:p w14:paraId="66AE7A61">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1.将预算执行情况和财政收支情况监督检査职责划转至区审计局</w:t>
      </w:r>
    </w:p>
    <w:p w14:paraId="6A05564C">
      <w:pPr>
        <w:pStyle w:val="10"/>
        <w:ind w:firstLine="0" w:firstLineChars="0"/>
        <w:rPr>
          <w:rFonts w:hint="eastAsia" w:ascii="仿宋" w:hAnsi="仿宋" w:eastAsia="仿宋" w:cs="仿宋"/>
          <w:sz w:val="32"/>
          <w:szCs w:val="32"/>
        </w:rPr>
      </w:pPr>
      <w:r>
        <w:rPr>
          <w:rFonts w:hint="eastAsia" w:ascii="仿宋" w:hAnsi="仿宋" w:eastAsia="仿宋" w:cs="仿宋"/>
          <w:sz w:val="32"/>
          <w:szCs w:val="32"/>
        </w:rPr>
        <w:t>2.将非税收入申报征收、会统核算、缴费检査、欠费追缴和违法处罚等职责划转至税务部门。</w:t>
      </w:r>
    </w:p>
    <w:p w14:paraId="37E19619">
      <w:pPr>
        <w:rPr>
          <w:b/>
          <w:sz w:val="36"/>
          <w:szCs w:val="36"/>
        </w:rPr>
      </w:pPr>
      <w:r>
        <w:rPr>
          <w:rFonts w:hint="eastAsia"/>
          <w:b/>
          <w:sz w:val="36"/>
          <w:szCs w:val="36"/>
        </w:rPr>
        <w:t>二、机构设置及人员情况</w:t>
      </w:r>
    </w:p>
    <w:p w14:paraId="7E0FAFDF">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财政部门</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val="en-US" w:eastAsia="zh-CN"/>
        </w:rPr>
        <w:t>财政部门本级。</w:t>
      </w:r>
    </w:p>
    <w:p w14:paraId="098A71E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83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22</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61</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131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86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23</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63人，部分</w:t>
      </w:r>
      <w:r>
        <w:rPr>
          <w:rFonts w:ascii="仿宋" w:hAnsi="仿宋" w:eastAsia="仿宋"/>
          <w:sz w:val="32"/>
          <w:szCs w:val="32"/>
        </w:rPr>
        <w:t>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1</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39</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5</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3DD33563">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财政部门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年部门预算表</w:t>
      </w:r>
    </w:p>
    <w:p w14:paraId="390770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544B35B">
      <w:pPr>
        <w:ind w:firstLine="640" w:firstLineChars="200"/>
        <w:jc w:val="left"/>
        <w:rPr>
          <w:rStyle w:val="14"/>
          <w:rFonts w:ascii="仿宋" w:hAnsi="仿宋" w:eastAsia="仿宋"/>
          <w:bCs/>
          <w:sz w:val="32"/>
          <w:szCs w:val="32"/>
        </w:rPr>
      </w:pP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财政部门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财政部门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2430.25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414.92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2430.25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414.92</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其他收入0万元，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0万元；使用非财政拨款结余0万元，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0万元；上年结转0万元，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财政</w:t>
      </w:r>
      <w:r>
        <w:rPr>
          <w:rStyle w:val="14"/>
          <w:rFonts w:hint="eastAsia" w:ascii="仿宋" w:hAnsi="仿宋" w:eastAsia="仿宋"/>
          <w:sz w:val="32"/>
          <w:szCs w:val="32"/>
          <w:lang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2430.25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414.92</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2160.25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414.92</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1471.01</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549.9</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19.34</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120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2279.53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411.92</w:t>
      </w:r>
      <w:r>
        <w:rPr>
          <w:rStyle w:val="14"/>
          <w:rFonts w:ascii="仿宋" w:hAnsi="仿宋" w:eastAsia="仿宋"/>
          <w:sz w:val="32"/>
          <w:szCs w:val="32"/>
        </w:rPr>
        <w:t>万元;社会保障和就业支出</w:t>
      </w:r>
      <w:r>
        <w:rPr>
          <w:rFonts w:hint="eastAsia" w:ascii="仿宋" w:hAnsi="仿宋" w:eastAsia="仿宋" w:cs="Times New Roman"/>
          <w:kern w:val="0"/>
          <w:sz w:val="32"/>
          <w:szCs w:val="32"/>
          <w:lang w:val="en-US" w:eastAsia="zh-CN"/>
        </w:rPr>
        <w:t>150.72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w:t>
      </w:r>
      <w:r>
        <w:rPr>
          <w:rStyle w:val="14"/>
          <w:rFonts w:ascii="仿宋" w:hAnsi="仿宋" w:eastAsia="仿宋"/>
          <w:sz w:val="32"/>
          <w:szCs w:val="32"/>
        </w:rPr>
        <w:t>万元</w:t>
      </w:r>
      <w:r>
        <w:fldChar w:fldCharType="end"/>
      </w:r>
      <w:r>
        <w:rPr>
          <w:rStyle w:val="14"/>
          <w:rFonts w:hint="eastAsia" w:ascii="仿宋" w:hAnsi="仿宋" w:eastAsia="仿宋"/>
          <w:sz w:val="32"/>
          <w:szCs w:val="32"/>
          <w:lang w:val="en-US" w:eastAsia="zh-CN"/>
        </w:rPr>
        <w:t>。</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1471.01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21.57</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819.9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350.86</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19.34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2.49</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120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40</w:t>
      </w:r>
      <w:r>
        <w:rPr>
          <w:rStyle w:val="14"/>
          <w:rFonts w:ascii="仿宋" w:hAnsi="仿宋" w:eastAsia="仿宋"/>
          <w:sz w:val="32"/>
          <w:szCs w:val="32"/>
        </w:rPr>
        <w:t>万元。</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财政部门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2430.25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414.92</w:t>
      </w:r>
      <w:r>
        <w:rPr>
          <w:rStyle w:val="14"/>
          <w:rFonts w:ascii="仿宋" w:hAnsi="仿宋" w:eastAsia="仿宋"/>
          <w:sz w:val="32"/>
          <w:szCs w:val="32"/>
        </w:rPr>
        <w:t>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2279.53</w:t>
      </w:r>
      <w:r>
        <w:rPr>
          <w:rStyle w:val="14"/>
          <w:rFonts w:ascii="仿宋" w:hAnsi="仿宋" w:eastAsia="仿宋"/>
          <w:sz w:val="32"/>
          <w:szCs w:val="32"/>
        </w:rPr>
        <w:t>万元,社会保障和就业支出</w:t>
      </w:r>
      <w:r>
        <w:rPr>
          <w:rFonts w:hint="eastAsia" w:ascii="仿宋" w:hAnsi="仿宋" w:eastAsia="仿宋" w:cs="Times New Roman"/>
          <w:kern w:val="0"/>
          <w:sz w:val="32"/>
          <w:szCs w:val="32"/>
          <w:lang w:val="en-US" w:eastAsia="zh-CN"/>
        </w:rPr>
        <w:t>150.72</w:t>
      </w:r>
      <w:r>
        <w:rPr>
          <w:rStyle w:val="14"/>
          <w:rFonts w:ascii="仿宋" w:hAnsi="仿宋" w:eastAsia="仿宋"/>
          <w:sz w:val="32"/>
          <w:szCs w:val="32"/>
        </w:rPr>
        <w:t>万元</w:t>
      </w:r>
      <w:r>
        <w:fldChar w:fldCharType="end"/>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2160.25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414.92</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1471.01</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549.9</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19.34</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120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持平</w:t>
      </w:r>
      <w:r>
        <w:rPr>
          <w:rStyle w:val="14"/>
          <w:rFonts w:ascii="仿宋" w:hAnsi="仿宋" w:eastAsia="仿宋"/>
          <w:sz w:val="32"/>
          <w:szCs w:val="32"/>
        </w:rPr>
        <w:t>;其中：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14:paraId="6AF05E5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049E461E">
      <w:pPr>
        <w:ind w:firstLine="643" w:firstLineChars="200"/>
        <w:rPr>
          <w:rStyle w:val="14"/>
          <w:rFonts w:hint="eastAsia" w:ascii="仿宋" w:hAnsi="仿宋" w:eastAsia="仿宋"/>
          <w:sz w:val="32"/>
          <w:szCs w:val="32"/>
          <w:lang w:val="en-US" w:eastAsia="zh-CN"/>
        </w:rPr>
      </w:pPr>
      <w:r>
        <w:rPr>
          <w:rStyle w:val="14"/>
          <w:rFonts w:hint="eastAsia" w:ascii="仿宋" w:hAnsi="仿宋" w:eastAsia="仿宋"/>
          <w:b/>
          <w:bCs/>
          <w:sz w:val="32"/>
          <w:szCs w:val="32"/>
          <w:lang w:val="en-US" w:eastAsia="zh-CN"/>
        </w:rPr>
        <w:t>2025年度本部门</w:t>
      </w:r>
      <w:r>
        <w:rPr>
          <w:rStyle w:val="14"/>
          <w:rFonts w:hint="eastAsia" w:ascii="仿宋" w:hAnsi="仿宋" w:eastAsia="仿宋"/>
          <w:b/>
          <w:bCs/>
          <w:sz w:val="32"/>
          <w:szCs w:val="32"/>
        </w:rPr>
        <w:t>没有使用政府性基金预算拨款安排的支出</w:t>
      </w:r>
      <w:r>
        <w:rPr>
          <w:rStyle w:val="14"/>
          <w:rFonts w:hint="eastAsia" w:ascii="仿宋" w:hAnsi="仿宋" w:eastAsia="仿宋"/>
          <w:b/>
          <w:bCs/>
          <w:sz w:val="32"/>
          <w:szCs w:val="32"/>
          <w:lang w:eastAsia="zh-CN"/>
        </w:rPr>
        <w:t>。</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4983C159">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2025年度本部门</w:t>
      </w:r>
      <w:r>
        <w:rPr>
          <w:rStyle w:val="14"/>
          <w:rFonts w:hint="eastAsia" w:ascii="仿宋" w:hAnsi="仿宋" w:eastAsia="仿宋"/>
          <w:b/>
          <w:bCs/>
          <w:sz w:val="32"/>
          <w:szCs w:val="32"/>
        </w:rPr>
        <w:t>没有使用国有资本经营预算拨款安排的支出</w:t>
      </w:r>
      <w:r>
        <w:rPr>
          <w:rStyle w:val="14"/>
          <w:rFonts w:hint="eastAsia" w:ascii="仿宋" w:hAnsi="仿宋" w:eastAsia="仿宋"/>
          <w:b/>
          <w:bCs/>
          <w:sz w:val="32"/>
          <w:szCs w:val="32"/>
          <w:lang w:eastAsia="zh-CN"/>
        </w:rPr>
        <w:t>。</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5BE2AB19">
      <w:pPr>
        <w:widowControl/>
        <w:spacing w:line="580" w:lineRule="exact"/>
        <w:ind w:firstLine="640" w:firstLineChars="200"/>
        <w:jc w:val="left"/>
        <w:rPr>
          <w:rFonts w:hint="eastAsia" w:ascii="仿宋_GB2312" w:eastAsia="仿宋_GB2312"/>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5</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Adobe 仿宋 Std R" w:hAnsi="Adobe 仿宋 Std R" w:eastAsia="Adobe 仿宋 Std R"/>
          <w:sz w:val="32"/>
          <w:szCs w:val="32"/>
          <w:lang w:val="en-US" w:eastAsia="zh-CN"/>
        </w:rPr>
        <w:t>669.9</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390.86</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140</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主要原因是本年度定额公用经费下降，但上年度财税经费指标年中追加没有列入年初预算，本年度此项指标列入年初预算。</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2BF25682">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50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30</w:t>
      </w:r>
      <w:r>
        <w:rPr>
          <w:rFonts w:hint="eastAsia" w:ascii="Adobe 仿宋 Std R" w:hAnsi="Adobe 仿宋 Std R" w:eastAsia="Adobe 仿宋 Std R"/>
          <w:sz w:val="32"/>
          <w:szCs w:val="32"/>
        </w:rPr>
        <w:t>万元。</w:t>
      </w:r>
    </w:p>
    <w:p w14:paraId="313C900E">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w:t>
      </w:r>
      <w:r>
        <w:fldChar w:fldCharType="end"/>
      </w:r>
    </w:p>
    <w:p w14:paraId="48870CF5">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eastAsia="zh-CN"/>
        </w:rPr>
        <w:t>没有</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14:paraId="0174AC9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投资评审委托业务、绩效评价委托业务</w:t>
      </w:r>
      <w:r>
        <w:rPr>
          <w:rStyle w:val="14"/>
          <w:rFonts w:hint="eastAsia" w:ascii="楷体_GB2312" w:hAnsi="楷体_GB2312" w:eastAsia="楷体_GB2312" w:cs="楷体_GB2312"/>
          <w:b/>
          <w:bCs w:val="0"/>
          <w:sz w:val="32"/>
          <w:szCs w:val="32"/>
        </w:rPr>
        <w:t>项目</w:t>
      </w:r>
      <w:r>
        <w:rPr>
          <w:rStyle w:val="14"/>
          <w:rFonts w:hint="eastAsia" w:ascii="楷体_GB2312" w:hAnsi="楷体_GB2312" w:eastAsia="楷体_GB2312" w:cs="楷体_GB2312"/>
          <w:b/>
          <w:bCs w:val="0"/>
          <w:sz w:val="32"/>
          <w:szCs w:val="32"/>
          <w:lang w:eastAsia="zh-CN"/>
        </w:rPr>
        <w:t>等</w:t>
      </w:r>
      <w:r>
        <w:rPr>
          <w:rStyle w:val="14"/>
          <w:rFonts w:hint="eastAsia" w:ascii="楷体_GB2312" w:hAnsi="楷体_GB2312" w:eastAsia="楷体_GB2312" w:cs="楷体_GB2312"/>
          <w:b/>
          <w:bCs w:val="0"/>
          <w:sz w:val="32"/>
          <w:szCs w:val="32"/>
        </w:rPr>
        <w:t>情况说明</w:t>
      </w:r>
    </w:p>
    <w:p w14:paraId="7EABC8A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投资评审委托业务</w:t>
      </w:r>
      <w:r>
        <w:rPr>
          <w:rFonts w:hint="eastAsia" w:ascii="Adobe 仿宋 Std R" w:hAnsi="Adobe 仿宋 Std R" w:eastAsia="Adobe 仿宋 Std R"/>
          <w:sz w:val="32"/>
          <w:szCs w:val="32"/>
        </w:rPr>
        <w:t>项目</w:t>
      </w:r>
    </w:p>
    <w:p w14:paraId="0CD7A8C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：负责项目预算评审，批复招标控制建设议价和财政定价，项目政府采购管理、资金筹集和拨付、财务活动监督等。</w:t>
      </w:r>
    </w:p>
    <w:p w14:paraId="5745C7A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：县编办发（</w:t>
      </w:r>
      <w:r>
        <w:rPr>
          <w:rFonts w:hint="eastAsia" w:ascii="Adobe 仿宋 Std R" w:hAnsi="Adobe 仿宋 Std R" w:eastAsia="Adobe 仿宋 Std R"/>
          <w:sz w:val="32"/>
          <w:szCs w:val="32"/>
          <w:lang w:val="en-US" w:eastAsia="zh-CN"/>
        </w:rPr>
        <w:t>2011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8号文件。</w:t>
      </w:r>
    </w:p>
    <w:p w14:paraId="39FC1F2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：财政投资评审中心。</w:t>
      </w:r>
    </w:p>
    <w:p w14:paraId="794BA5B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：柴府办发（</w:t>
      </w:r>
      <w:r>
        <w:rPr>
          <w:rFonts w:hint="eastAsia" w:ascii="Adobe 仿宋 Std R" w:hAnsi="Adobe 仿宋 Std R" w:eastAsia="Adobe 仿宋 Std R"/>
          <w:sz w:val="32"/>
          <w:szCs w:val="32"/>
          <w:lang w:val="en-US" w:eastAsia="zh-CN"/>
        </w:rPr>
        <w:t>2022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1号文件。</w:t>
      </w:r>
    </w:p>
    <w:p w14:paraId="55C80E3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val="en-US" w:eastAsia="zh-CN"/>
        </w:rPr>
        <w:t>：一个预算年度。</w:t>
      </w:r>
    </w:p>
    <w:p w14:paraId="49551C7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：年度预算投资评审委托业务费</w:t>
      </w:r>
      <w:r>
        <w:rPr>
          <w:rFonts w:hint="eastAsia" w:ascii="Adobe 仿宋 Std R" w:hAnsi="Adobe 仿宋 Std R" w:eastAsia="Adobe 仿宋 Std R"/>
          <w:sz w:val="32"/>
          <w:szCs w:val="32"/>
          <w:lang w:val="en-US" w:eastAsia="zh-CN"/>
        </w:rPr>
        <w:t>240万元。</w:t>
      </w:r>
    </w:p>
    <w:p w14:paraId="12F5A59F">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绩效评价委托业务</w:t>
      </w:r>
      <w:r>
        <w:rPr>
          <w:rFonts w:hint="eastAsia" w:ascii="仿宋" w:hAnsi="仿宋" w:eastAsia="仿宋" w:cs="仿宋"/>
          <w:sz w:val="32"/>
          <w:szCs w:val="32"/>
        </w:rPr>
        <w:t>项目</w:t>
      </w:r>
    </w:p>
    <w:p w14:paraId="043DB5C4">
      <w:pPr>
        <w:ind w:firstLine="642"/>
        <w:rPr>
          <w:rFonts w:hint="eastAsia" w:ascii="仿宋" w:hAnsi="仿宋" w:eastAsia="仿宋" w:cs="仿宋"/>
          <w:sz w:val="32"/>
          <w:szCs w:val="32"/>
          <w:lang w:eastAsia="zh-CN"/>
        </w:rPr>
      </w:pPr>
      <w:r>
        <w:rPr>
          <w:rFonts w:hint="eastAsia" w:ascii="仿宋" w:hAnsi="仿宋" w:eastAsia="仿宋" w:cs="仿宋"/>
          <w:sz w:val="32"/>
          <w:szCs w:val="32"/>
        </w:rPr>
        <w:t xml:space="preserve">  1）项目概述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财政部门是区级预算绩效管理的牵头组织和指导监督部门，负责建立健全预算绩效管理制度体系，依法组织、指导区预算部门开展本部门预算绩效管理工作</w:t>
      </w:r>
      <w:r>
        <w:rPr>
          <w:rFonts w:hint="eastAsia" w:ascii="仿宋" w:hAnsi="仿宋" w:eastAsia="仿宋" w:cs="仿宋"/>
          <w:sz w:val="32"/>
          <w:szCs w:val="32"/>
          <w:lang w:eastAsia="zh-CN"/>
        </w:rPr>
        <w:t>。</w:t>
      </w:r>
    </w:p>
    <w:p w14:paraId="0E9CE8D6">
      <w:pPr>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2）立项依据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柴府办发（2022）16号文件。</w:t>
      </w:r>
    </w:p>
    <w:p w14:paraId="6BF8E397">
      <w:pPr>
        <w:ind w:firstLine="642"/>
        <w:rPr>
          <w:rFonts w:hint="eastAsia" w:ascii="仿宋" w:hAnsi="仿宋" w:eastAsia="仿宋" w:cs="仿宋"/>
          <w:sz w:val="32"/>
          <w:szCs w:val="32"/>
          <w:lang w:val="en-US" w:eastAsia="zh-CN"/>
        </w:rPr>
      </w:pPr>
      <w:r>
        <w:rPr>
          <w:rFonts w:hint="eastAsia" w:ascii="仿宋" w:hAnsi="仿宋" w:eastAsia="仿宋" w:cs="仿宋"/>
          <w:sz w:val="32"/>
          <w:szCs w:val="32"/>
        </w:rPr>
        <w:t xml:space="preserve">  3）实施主体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绩效评价中心。</w:t>
      </w:r>
    </w:p>
    <w:p w14:paraId="3C9A153B">
      <w:pPr>
        <w:ind w:firstLine="642"/>
        <w:rPr>
          <w:rFonts w:hint="eastAsia" w:ascii="仿宋" w:hAnsi="仿宋" w:eastAsia="仿宋" w:cs="仿宋"/>
          <w:sz w:val="32"/>
          <w:szCs w:val="32"/>
          <w:lang w:val="en-US" w:eastAsia="zh-CN"/>
        </w:rPr>
      </w:pPr>
      <w:r>
        <w:rPr>
          <w:rFonts w:hint="eastAsia" w:ascii="仿宋" w:hAnsi="仿宋" w:eastAsia="仿宋" w:cs="仿宋"/>
          <w:sz w:val="32"/>
          <w:szCs w:val="32"/>
        </w:rPr>
        <w:t xml:space="preserve">  4）实施方案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柴府办发（2022）1号文件。</w:t>
      </w:r>
    </w:p>
    <w:p w14:paraId="5A257AAF">
      <w:pPr>
        <w:ind w:firstLine="642"/>
        <w:rPr>
          <w:rFonts w:hint="eastAsia" w:ascii="仿宋" w:hAnsi="仿宋" w:eastAsia="仿宋" w:cs="仿宋"/>
          <w:sz w:val="32"/>
          <w:szCs w:val="32"/>
          <w:lang w:val="en-US" w:eastAsia="zh-CN"/>
        </w:rPr>
      </w:pPr>
      <w:r>
        <w:rPr>
          <w:rFonts w:hint="eastAsia" w:ascii="仿宋" w:hAnsi="仿宋" w:eastAsia="仿宋" w:cs="仿宋"/>
          <w:sz w:val="32"/>
          <w:szCs w:val="32"/>
        </w:rPr>
        <w:t xml:space="preserve">  5）实施周期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一个预算年度。</w:t>
      </w:r>
    </w:p>
    <w:p w14:paraId="2FD4A308">
      <w:pPr>
        <w:ind w:firstLine="642"/>
        <w:rPr>
          <w:rFonts w:hint="eastAsia" w:ascii="仿宋" w:hAnsi="仿宋" w:eastAsia="仿宋" w:cs="仿宋"/>
          <w:sz w:val="32"/>
          <w:szCs w:val="32"/>
          <w:lang w:val="en-US" w:eastAsia="zh-CN"/>
        </w:rPr>
      </w:pPr>
      <w:r>
        <w:rPr>
          <w:rFonts w:hint="eastAsia" w:ascii="仿宋" w:hAnsi="仿宋" w:eastAsia="仿宋" w:cs="仿宋"/>
          <w:sz w:val="32"/>
          <w:szCs w:val="32"/>
        </w:rPr>
        <w:t xml:space="preserve">  6）年度预算安排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年度预算绩效评价委托业务费30万元。</w:t>
      </w:r>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财政部门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25</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25</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3.79</w:t>
      </w:r>
      <w:r>
        <w:rPr>
          <w:rFonts w:ascii="仿宋" w:hAnsi="仿宋" w:eastAsia="仿宋"/>
          <w:bCs/>
          <w:sz w:val="32"/>
          <w:szCs w:val="32"/>
        </w:rPr>
        <w:t>万元，主要原因是：</w:t>
      </w:r>
      <w:r>
        <w:rPr>
          <w:rFonts w:hint="eastAsia" w:ascii="仿宋" w:hAnsi="仿宋" w:eastAsia="仿宋"/>
          <w:bCs/>
          <w:sz w:val="32"/>
          <w:szCs w:val="32"/>
          <w:lang w:eastAsia="zh-CN"/>
        </w:rPr>
        <w:t>“三公”经费预算只减不增原则编制</w:t>
      </w:r>
      <w:r>
        <w:rPr>
          <w:rFonts w:ascii="仿宋" w:hAnsi="仿宋" w:eastAsia="仿宋"/>
          <w:bCs/>
          <w:sz w:val="32"/>
          <w:szCs w:val="32"/>
        </w:rPr>
        <w:t>。</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维护0</w:t>
      </w:r>
      <w:r>
        <w:rPr>
          <w:rFonts w:ascii="仿宋" w:hAnsi="仿宋" w:eastAsia="仿宋"/>
          <w:bCs/>
          <w:sz w:val="32"/>
          <w:szCs w:val="32"/>
        </w:rPr>
        <w:t>万元,比</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055931D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1AF8B0AD">
      <w:pPr>
        <w:widowControl/>
        <w:shd w:val="clear" w:color="auto" w:fill="FFFFFF"/>
        <w:spacing w:line="640" w:lineRule="atLeast"/>
        <w:ind w:firstLine="640"/>
        <w:jc w:val="center"/>
        <w:rPr>
          <w:rFonts w:ascii="仿宋_GB2312" w:eastAsia="仿宋_GB2312"/>
          <w:b/>
          <w:sz w:val="32"/>
          <w:szCs w:val="30"/>
        </w:rPr>
      </w:pPr>
      <w:bookmarkStart w:id="0" w:name="_GoBack"/>
      <w:bookmarkEnd w:id="0"/>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2B8E7820">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对部门预算中涉及的支出功能分类科目（明细到项级），结合部门实际，参照《2025年政府收支分类科目》的规范说明进行解释。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29248BAE">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部门涉及的专业名词</w:t>
      </w:r>
    </w:p>
    <w:p w14:paraId="411127C3">
      <w:pPr>
        <w:ind w:firstLine="643" w:firstLineChars="200"/>
        <w:rPr>
          <w:rFonts w:hint="eastAsia" w:ascii="仿宋" w:hAnsi="仿宋" w:eastAsia="仿宋" w:cs="Calibri"/>
          <w:bCs/>
          <w:kern w:val="2"/>
          <w:sz w:val="32"/>
          <w:szCs w:val="32"/>
          <w:lang w:val="en-US" w:eastAsia="zh-CN" w:bidi="ar-SA"/>
        </w:rPr>
      </w:pPr>
      <w:r>
        <w:rPr>
          <w:rStyle w:val="15"/>
          <w:rFonts w:hint="eastAsia" w:ascii="仿宋" w:hAnsi="仿宋" w:eastAsia="仿宋" w:cs="Calibri"/>
          <w:b/>
          <w:bCs/>
          <w:sz w:val="32"/>
          <w:szCs w:val="32"/>
        </w:rPr>
        <w:t>1.</w:t>
      </w:r>
      <w:r>
        <w:rPr>
          <w:rStyle w:val="15"/>
          <w:rFonts w:hint="eastAsia" w:ascii="仿宋" w:hAnsi="仿宋" w:eastAsia="仿宋" w:cs="Calibri"/>
          <w:b/>
          <w:bCs/>
          <w:sz w:val="32"/>
          <w:szCs w:val="32"/>
          <w:lang w:eastAsia="zh-CN"/>
        </w:rPr>
        <w:t>财政</w:t>
      </w:r>
      <w:r>
        <w:rPr>
          <w:rStyle w:val="15"/>
          <w:rFonts w:hint="eastAsia" w:ascii="仿宋" w:hAnsi="仿宋" w:eastAsia="仿宋" w:cs="Calibri"/>
          <w:b/>
          <w:bCs/>
          <w:sz w:val="32"/>
          <w:szCs w:val="32"/>
        </w:rPr>
        <w:t>投资评审</w:t>
      </w:r>
      <w:r>
        <w:rPr>
          <w:rStyle w:val="15"/>
          <w:rFonts w:hint="eastAsia" w:ascii="仿宋" w:hAnsi="仿宋" w:eastAsia="仿宋" w:cs="Calibri"/>
          <w:b/>
          <w:bCs/>
          <w:sz w:val="32"/>
          <w:szCs w:val="32"/>
          <w:lang w:eastAsia="zh-CN"/>
        </w:rPr>
        <w:t>。</w:t>
      </w:r>
      <w:r>
        <w:rPr>
          <w:rFonts w:hint="eastAsia" w:ascii="仿宋" w:hAnsi="仿宋" w:eastAsia="仿宋" w:cs="Calibri"/>
          <w:bCs/>
          <w:kern w:val="2"/>
          <w:sz w:val="32"/>
          <w:szCs w:val="32"/>
          <w:lang w:val="en-US" w:eastAsia="zh-CN" w:bidi="ar-SA"/>
        </w:rPr>
        <w:t>是财政职能的重要组成部分，财政部门通过对财政性资金投资项目预（概）算进行评价与审查，对财政性资金投资项目资金使用情况，以及其他财政专项资金使用情况进行专项核查及追踪问效，是财政资金规范、安全、有效运行的基本保证。</w:t>
      </w:r>
    </w:p>
    <w:p w14:paraId="43488C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 xml:space="preserve">    </w:t>
      </w:r>
      <w:r>
        <w:rPr>
          <w:rStyle w:val="15"/>
          <w:rFonts w:hint="eastAsia" w:ascii="仿宋" w:hAnsi="仿宋" w:eastAsia="仿宋" w:cs="Calibri"/>
          <w:b/>
          <w:bCs/>
          <w:sz w:val="32"/>
          <w:szCs w:val="32"/>
          <w:lang w:val="en-US" w:eastAsia="zh-CN"/>
        </w:rPr>
        <w:t>2.预算绩效管理。</w:t>
      </w:r>
      <w:r>
        <w:rPr>
          <w:rFonts w:hint="eastAsia" w:ascii="仿宋" w:hAnsi="仿宋" w:eastAsia="仿宋" w:cs="Calibri"/>
          <w:bCs/>
          <w:kern w:val="2"/>
          <w:sz w:val="32"/>
          <w:szCs w:val="32"/>
          <w:lang w:val="en-US" w:eastAsia="zh-CN" w:bidi="ar-SA"/>
        </w:rPr>
        <w:t>是政府绩效管理的重要组成部分，是将绩效管理理念和绩效管理方法贯穿于预算编制、执行、监督的全过程，并实现与预算管理有机融合的一种管理模式，是深化公共财政管理改革、提高财政资金使用绩效的创新手段，也是从根本上提高部门责任意识、促进政府职能转变的重要举措。</w:t>
      </w:r>
    </w:p>
    <w:p w14:paraId="3840D7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　　预算绩效管理通过促使预算部门和资金使用单位在预算额度内更多更好提供符合需求的公共产品和服务（数量、质量），以优化预算资源配置，提升预算支出绩效。预算绩效管理主要包括绩效目标、绩效监控、绩效评价和绩效管理结果运用等构成要素。</w:t>
      </w:r>
    </w:p>
    <w:p w14:paraId="5B24C3FD">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E3ZmE1M2Y5NjUyMjcyMGIyYzNjYzM4NDcwZWE5NGI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100B7"/>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373CDE"/>
    <w:rsid w:val="04763F31"/>
    <w:rsid w:val="04EA5622"/>
    <w:rsid w:val="05F01250"/>
    <w:rsid w:val="069552CB"/>
    <w:rsid w:val="0811040D"/>
    <w:rsid w:val="08403486"/>
    <w:rsid w:val="08A00A2D"/>
    <w:rsid w:val="09691794"/>
    <w:rsid w:val="0B001F2F"/>
    <w:rsid w:val="0B172C65"/>
    <w:rsid w:val="0C9776ED"/>
    <w:rsid w:val="0DA707B9"/>
    <w:rsid w:val="0E6B25E0"/>
    <w:rsid w:val="12170AB5"/>
    <w:rsid w:val="128B26EC"/>
    <w:rsid w:val="12D54585"/>
    <w:rsid w:val="147E3783"/>
    <w:rsid w:val="158A79C4"/>
    <w:rsid w:val="16BD3659"/>
    <w:rsid w:val="176221FA"/>
    <w:rsid w:val="178C24ED"/>
    <w:rsid w:val="1A564145"/>
    <w:rsid w:val="1A7A6541"/>
    <w:rsid w:val="1C453EB2"/>
    <w:rsid w:val="1C60776B"/>
    <w:rsid w:val="1CCC6940"/>
    <w:rsid w:val="1D03782A"/>
    <w:rsid w:val="1D450795"/>
    <w:rsid w:val="1E890F8D"/>
    <w:rsid w:val="1ED932C0"/>
    <w:rsid w:val="1FB41916"/>
    <w:rsid w:val="2047243B"/>
    <w:rsid w:val="214932EE"/>
    <w:rsid w:val="251A23D6"/>
    <w:rsid w:val="25231156"/>
    <w:rsid w:val="26504C69"/>
    <w:rsid w:val="26CD74CE"/>
    <w:rsid w:val="271E1B1A"/>
    <w:rsid w:val="27A91D58"/>
    <w:rsid w:val="28685F76"/>
    <w:rsid w:val="2B9642E2"/>
    <w:rsid w:val="2EDA4EED"/>
    <w:rsid w:val="2F7973C6"/>
    <w:rsid w:val="30D10882"/>
    <w:rsid w:val="311F3577"/>
    <w:rsid w:val="3255662B"/>
    <w:rsid w:val="328E04C8"/>
    <w:rsid w:val="32B01FF9"/>
    <w:rsid w:val="38EE4A0F"/>
    <w:rsid w:val="39411CFC"/>
    <w:rsid w:val="39D81433"/>
    <w:rsid w:val="3A506A32"/>
    <w:rsid w:val="3A5F274A"/>
    <w:rsid w:val="3B0B59BD"/>
    <w:rsid w:val="3B2D6E48"/>
    <w:rsid w:val="3CC051F9"/>
    <w:rsid w:val="42672788"/>
    <w:rsid w:val="429A6A15"/>
    <w:rsid w:val="456265B6"/>
    <w:rsid w:val="464A2500"/>
    <w:rsid w:val="47325000"/>
    <w:rsid w:val="48D25450"/>
    <w:rsid w:val="4921778A"/>
    <w:rsid w:val="4CD22D17"/>
    <w:rsid w:val="4D64034B"/>
    <w:rsid w:val="4DA709D0"/>
    <w:rsid w:val="4DDA0A50"/>
    <w:rsid w:val="4E2E4DC7"/>
    <w:rsid w:val="50986AB5"/>
    <w:rsid w:val="50CA1027"/>
    <w:rsid w:val="5209326F"/>
    <w:rsid w:val="5274576B"/>
    <w:rsid w:val="528154FB"/>
    <w:rsid w:val="52FE6B4C"/>
    <w:rsid w:val="53580AEC"/>
    <w:rsid w:val="549F7F67"/>
    <w:rsid w:val="55A35789"/>
    <w:rsid w:val="56A926E6"/>
    <w:rsid w:val="57284198"/>
    <w:rsid w:val="578F0D48"/>
    <w:rsid w:val="5807320D"/>
    <w:rsid w:val="58F07B3F"/>
    <w:rsid w:val="59F45DFC"/>
    <w:rsid w:val="5C3A5E6A"/>
    <w:rsid w:val="5C657E18"/>
    <w:rsid w:val="5DF324D4"/>
    <w:rsid w:val="5E275239"/>
    <w:rsid w:val="5E5F66B1"/>
    <w:rsid w:val="5FC741F4"/>
    <w:rsid w:val="5FC75D5B"/>
    <w:rsid w:val="60454E6C"/>
    <w:rsid w:val="60E113B8"/>
    <w:rsid w:val="632670B6"/>
    <w:rsid w:val="659A0956"/>
    <w:rsid w:val="65D45034"/>
    <w:rsid w:val="68203394"/>
    <w:rsid w:val="6A7E0DF8"/>
    <w:rsid w:val="6AEB16DA"/>
    <w:rsid w:val="6B016D82"/>
    <w:rsid w:val="6BB56B6A"/>
    <w:rsid w:val="6C1D42E3"/>
    <w:rsid w:val="6C695D1E"/>
    <w:rsid w:val="6D265E00"/>
    <w:rsid w:val="6EB56B85"/>
    <w:rsid w:val="70852B44"/>
    <w:rsid w:val="70C366B0"/>
    <w:rsid w:val="753F6323"/>
    <w:rsid w:val="766E574B"/>
    <w:rsid w:val="76731A75"/>
    <w:rsid w:val="76B009CB"/>
    <w:rsid w:val="77084C62"/>
    <w:rsid w:val="770E067D"/>
    <w:rsid w:val="78080872"/>
    <w:rsid w:val="7A9E5575"/>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 w:type="character" w:customStyle="1" w:styleId="15">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4572</Words>
  <Characters>4862</Characters>
  <Lines>21</Lines>
  <Paragraphs>6</Paragraphs>
  <TotalTime>43</TotalTime>
  <ScaleCrop>false</ScaleCrop>
  <LinksUpToDate>false</LinksUpToDate>
  <CharactersWithSpaces>4930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Administrator</cp:lastModifiedBy>
  <cp:lastPrinted>2018-04-23T08:18:00Z</cp:lastPrinted>
  <dcterms:modified xsi:type="dcterms:W3CDTF">2025-02-24T03:25:06Z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1213B020A891424CA3B21B4655CA8A3A</vt:lpwstr>
  </property>
</Properties>
</file>