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jc w:val="both"/>
        <w:rPr>
          <w:rFonts w:hint="eastAsia" w:ascii="黑体" w:hAnsi="黑体" w:eastAsia="黑体" w:cs="黑体"/>
          <w:b w:val="0"/>
          <w:bCs w:val="0"/>
          <w:sz w:val="32"/>
          <w:szCs w:val="32"/>
          <w:lang w:val="en-US" w:eastAsia="zh-CN"/>
        </w:rPr>
      </w:pPr>
    </w:p>
    <w:p>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财政部门</w:t>
      </w: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4</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预算</w:t>
      </w: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财政</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财政部门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财政部门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4</w:t>
      </w:r>
      <w:r>
        <w:rPr>
          <w:rFonts w:hint="eastAsia" w:ascii="仿宋_GB2312" w:eastAsia="仿宋_GB2312"/>
          <w:b/>
          <w:bCs/>
          <w:color w:val="000000"/>
          <w:sz w:val="32"/>
          <w:szCs w:val="32"/>
        </w:rPr>
        <w:t>年部门预算情况说明</w:t>
      </w:r>
    </w:p>
    <w:p>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年部门预算收支情况说明</w:t>
      </w:r>
    </w:p>
    <w:p>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lang w:val="en-US" w:eastAsia="zh-CN"/>
        </w:rPr>
        <w:t>4</w:t>
      </w:r>
      <w:r>
        <w:rPr>
          <w:rFonts w:ascii="Adobe 仿宋 Std R" w:hAnsi="Adobe 仿宋 Std R" w:eastAsia="Adobe 仿宋 Std R" w:cs="黑体"/>
          <w:kern w:val="2"/>
          <w:sz w:val="32"/>
          <w:szCs w:val="30"/>
        </w:rPr>
        <w:t>年“三公”经费预算情况说明</w:t>
      </w:r>
    </w:p>
    <w:p>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财政</w:t>
      </w:r>
      <w:r>
        <w:rPr>
          <w:rFonts w:hint="eastAsia" w:ascii="仿宋_GB2312" w:eastAsia="仿宋_GB2312"/>
          <w:b/>
          <w:sz w:val="44"/>
          <w:szCs w:val="44"/>
          <w:lang w:eastAsia="zh-CN"/>
        </w:rPr>
        <w:t>部门</w:t>
      </w:r>
      <w:r>
        <w:rPr>
          <w:rFonts w:hint="eastAsia" w:ascii="仿宋_GB2312" w:eastAsia="仿宋_GB2312"/>
          <w:b/>
          <w:sz w:val="44"/>
          <w:szCs w:val="44"/>
        </w:rPr>
        <w:t>概况</w:t>
      </w:r>
    </w:p>
    <w:p>
      <w:pPr>
        <w:widowControl/>
        <w:spacing w:line="580" w:lineRule="exact"/>
        <w:jc w:val="left"/>
        <w:rPr>
          <w:rFonts w:ascii="宋体" w:hAnsi="宋体"/>
          <w:b/>
          <w:sz w:val="36"/>
          <w:szCs w:val="36"/>
        </w:rPr>
      </w:pPr>
    </w:p>
    <w:p>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一、部门主要职责</w:t>
      </w:r>
    </w:p>
    <w:p>
      <w:pPr>
        <w:pStyle w:val="10"/>
        <w:ind w:firstLineChars="0"/>
        <w:rPr>
          <w:rFonts w:hint="eastAsia" w:ascii="仿宋_GB2312"/>
          <w:sz w:val="32"/>
          <w:szCs w:val="32"/>
        </w:rPr>
      </w:pPr>
      <w:r>
        <w:rPr>
          <w:rFonts w:ascii="仿宋_GB2312" w:hAnsi="仿宋_GB2312"/>
          <w:sz w:val="32"/>
          <w:szCs w:val="32"/>
        </w:rPr>
        <w:t>(-)贯彻执行国家财政、税收法律、法规及其他有关政策;拟订本区财政、税收、财务、会计管理、非税收入管理、国有资产管理的实施办法和规章制度</w:t>
      </w:r>
    </w:p>
    <w:p>
      <w:pPr>
        <w:pStyle w:val="10"/>
        <w:ind w:firstLineChars="0"/>
        <w:rPr>
          <w:rFonts w:ascii="仿宋_GB2312"/>
          <w:sz w:val="32"/>
          <w:szCs w:val="32"/>
        </w:rPr>
      </w:pPr>
      <w:r>
        <w:rPr>
          <w:rFonts w:ascii="仿宋_GB2312" w:hAnsi="仿宋_GB2312"/>
          <w:sz w:val="32"/>
          <w:szCs w:val="32"/>
        </w:rPr>
        <w:t>(二)参与制定全区有关宏观经济政策;提出运用财政政策实施宏观调控和综合平衡社会财力的建议;研究全区财政发展战略，拟订和执行全区财政分配办法，编制全区中长期财政规划;指导全区财政工作。</w:t>
      </w:r>
    </w:p>
    <w:p>
      <w:pPr>
        <w:pStyle w:val="10"/>
        <w:ind w:firstLine="320" w:firstLineChars="100"/>
        <w:rPr>
          <w:rFonts w:ascii="仿宋_GB2312"/>
          <w:sz w:val="32"/>
          <w:szCs w:val="32"/>
        </w:rPr>
      </w:pPr>
      <w:r>
        <w:rPr>
          <w:rFonts w:ascii="仿宋_GB2312" w:hAnsi="仿宋_GB2312"/>
          <w:sz w:val="32"/>
          <w:szCs w:val="32"/>
        </w:rPr>
        <w:t>(三)承担区本级各项财政收支管理的责任。负责编制区本级年度预决算草案并组织执行。受区政府委托，向区人民代表大会报告全区预算及其执行情况，向区人大常委会报告全区决算,负责区本级政府支出标准体系建设、项目管理及专项资金绩效考评工作。组织制订经费开支标准、定额，负责审核批复部门(单位)的年度预决算。完善区乡的转移支付制度。</w:t>
      </w:r>
    </w:p>
    <w:p>
      <w:pPr>
        <w:pStyle w:val="10"/>
        <w:ind w:firstLine="0" w:firstLineChars="0"/>
        <w:rPr>
          <w:rFonts w:ascii="仿宋_GB2312"/>
          <w:sz w:val="32"/>
          <w:szCs w:val="32"/>
        </w:rPr>
      </w:pPr>
      <w:r>
        <w:rPr>
          <w:rFonts w:ascii="仿宋_GB2312" w:hAnsi="仿宋_GB2312"/>
          <w:sz w:val="32"/>
          <w:szCs w:val="32"/>
        </w:rPr>
        <w:t>(四)组织制定国库管理制度和国库集中收付制度，指导和监督全区国库业务，按规定开展国库现金管理工作。负责指导全区政府采购工作并监督管理。</w:t>
      </w:r>
    </w:p>
    <w:p>
      <w:pPr>
        <w:pStyle w:val="10"/>
        <w:ind w:firstLine="0" w:firstLineChars="0"/>
        <w:rPr>
          <w:rFonts w:ascii="仿宋_GB2312"/>
          <w:sz w:val="32"/>
          <w:szCs w:val="32"/>
        </w:rPr>
      </w:pPr>
      <w:r>
        <w:rPr>
          <w:rFonts w:ascii="仿宋_GB2312" w:hAnsi="仿宋_GB2312"/>
          <w:sz w:val="32"/>
          <w:szCs w:val="32"/>
        </w:rPr>
        <w:t>(五)负责政府性基金管理，按规定管理行政事业性收费;管理财政票据;拟订彩票管理办法，管理彩票市场，按规定管理彩票资金。</w:t>
      </w:r>
    </w:p>
    <w:p>
      <w:pPr>
        <w:pStyle w:val="10"/>
        <w:ind w:firstLine="0" w:firstLineChars="0"/>
        <w:rPr>
          <w:rFonts w:ascii="仿宋_GB2312"/>
          <w:sz w:val="32"/>
          <w:szCs w:val="32"/>
        </w:rPr>
      </w:pPr>
      <w:r>
        <w:rPr>
          <w:rFonts w:ascii="仿宋_GB2312" w:hAnsi="仿宋_GB2312"/>
          <w:sz w:val="32"/>
          <w:szCs w:val="32"/>
        </w:rPr>
        <w:t>(六)负责办理和监督区本级财政的经济发展支出、区本级政府性投资项目的财政拨款，参与拟订区本级建设投资的有关政策，制定基本建设财务制度，负责有关政策性补贴和专项储备资金财政管理工作。管理保障性住房改革预算资金</w:t>
      </w:r>
    </w:p>
    <w:p>
      <w:pPr>
        <w:pStyle w:val="10"/>
        <w:ind w:firstLine="0" w:firstLineChars="0"/>
        <w:rPr>
          <w:rFonts w:ascii="仿宋_GB2312"/>
          <w:sz w:val="32"/>
          <w:szCs w:val="32"/>
        </w:rPr>
      </w:pPr>
      <w:r>
        <w:rPr>
          <w:rFonts w:ascii="仿宋_GB2312" w:hAnsi="仿宋_GB2312"/>
          <w:sz w:val="32"/>
          <w:szCs w:val="32"/>
        </w:rPr>
        <w:t>(七)会同有关部门管理全区财政社会保障和就业及医疗卫生支出，会同有关部门拟订社会保障资金(基金)的财务管理制度，编制全区社会保障预决算草案，管理区级财政和民生工程保障支出</w:t>
      </w:r>
    </w:p>
    <w:p>
      <w:pPr>
        <w:pStyle w:val="10"/>
        <w:ind w:firstLine="0" w:firstLineChars="0"/>
        <w:rPr>
          <w:rFonts w:ascii="仿宋_GB2312"/>
          <w:sz w:val="32"/>
          <w:szCs w:val="32"/>
        </w:rPr>
      </w:pPr>
      <w:r>
        <w:rPr>
          <w:rFonts w:ascii="仿宋_GB2312" w:hAnsi="仿宋_GB2312"/>
          <w:sz w:val="32"/>
          <w:szCs w:val="32"/>
        </w:rPr>
        <w:t>(八)负责管理全区会计工作;贯彻实施会计法律、规章和准则;指导和管理社会审计工作;负责办理财务集中支付工作;组织和管理全区会计人员的继续教育工作;负责全区会计职称管理工作。</w:t>
      </w:r>
    </w:p>
    <w:p>
      <w:pPr>
        <w:pStyle w:val="10"/>
        <w:ind w:firstLine="0" w:firstLineChars="0"/>
        <w:rPr>
          <w:rFonts w:ascii="仿宋_GB2312"/>
          <w:sz w:val="32"/>
          <w:szCs w:val="32"/>
        </w:rPr>
      </w:pPr>
      <w:r>
        <w:rPr>
          <w:rFonts w:ascii="仿宋_GB2312" w:hAnsi="仿宋_GB2312"/>
          <w:sz w:val="32"/>
          <w:szCs w:val="32"/>
        </w:rPr>
        <w:t>(九)参与研究全区利用外资的有关政策;管理外国政府和国际金融机构在我区贷款项目的有关业务</w:t>
      </w:r>
    </w:p>
    <w:p>
      <w:pPr>
        <w:pStyle w:val="10"/>
        <w:ind w:firstLine="0" w:firstLineChars="0"/>
        <w:rPr>
          <w:rFonts w:ascii="仿宋_GB2312"/>
          <w:sz w:val="32"/>
          <w:szCs w:val="32"/>
        </w:rPr>
      </w:pPr>
      <w:r>
        <w:rPr>
          <w:rFonts w:ascii="仿宋_GB2312" w:hAnsi="仿宋_GB2312"/>
          <w:sz w:val="32"/>
          <w:szCs w:val="32"/>
        </w:rPr>
        <w:t>(十)监督全区财税方针政策、法律法规的执行情况，反映财政收支管理中的重大问题;提出加强财政管理的政策建议;组织实施全区财政监督检査工作，依法查处违法违规行为;监缴国有资产收益。</w:t>
      </w:r>
    </w:p>
    <w:p>
      <w:pPr>
        <w:pStyle w:val="10"/>
        <w:ind w:firstLine="0" w:firstLineChars="0"/>
        <w:rPr>
          <w:rFonts w:ascii="仿宋_GB2312"/>
          <w:sz w:val="32"/>
          <w:szCs w:val="32"/>
        </w:rPr>
      </w:pPr>
      <w:r>
        <w:rPr>
          <w:rFonts w:ascii="仿宋_GB2312" w:hAnsi="仿宋_GB2312"/>
          <w:sz w:val="32"/>
          <w:szCs w:val="32"/>
        </w:rPr>
        <w:t>(十ー)指导全区乡镇财政工作;负责全区农村综合改革工作，管理有关涉农资金，监督有关涉农财政政策的落实。</w:t>
      </w:r>
    </w:p>
    <w:p>
      <w:pPr>
        <w:pStyle w:val="10"/>
        <w:ind w:firstLine="0" w:firstLineChars="0"/>
        <w:rPr>
          <w:rFonts w:ascii="仿宋_GB2312"/>
          <w:sz w:val="32"/>
          <w:szCs w:val="32"/>
        </w:rPr>
      </w:pPr>
      <w:r>
        <w:rPr>
          <w:rFonts w:ascii="仿宋_GB2312" w:hAnsi="仿宋_GB2312"/>
          <w:sz w:val="32"/>
          <w:szCs w:val="32"/>
        </w:rPr>
        <w:t>(十ニ)制定全区财政科学研究和教育规划;组织和管理全区财政人员业务培训;负责全区财政信息和财政宣传工作</w:t>
      </w:r>
    </w:p>
    <w:p>
      <w:pPr>
        <w:pStyle w:val="10"/>
        <w:ind w:firstLine="0" w:firstLineChars="0"/>
        <w:rPr>
          <w:rFonts w:ascii="仿宋_GB2312"/>
          <w:sz w:val="32"/>
          <w:szCs w:val="32"/>
        </w:rPr>
      </w:pPr>
      <w:r>
        <w:rPr>
          <w:rFonts w:ascii="仿宋_GB2312" w:hAnsi="仿宋_GB2312"/>
          <w:sz w:val="32"/>
          <w:szCs w:val="32"/>
        </w:rPr>
        <w:t>(十三)负责制定全区国有资产管理规章制度，按规定管理全区国有资产，负责审核和汇总编制全区国有资本经营预算草案，制定国有资本经营预算的制度和办法，收取区本级企业国有资本收益，制定并组织执行企业财务制度，按规定管理资产评估工作</w:t>
      </w:r>
    </w:p>
    <w:p>
      <w:pPr>
        <w:pStyle w:val="10"/>
        <w:ind w:firstLine="0" w:firstLineChars="0"/>
        <w:rPr>
          <w:rFonts w:ascii="仿宋_GB2312"/>
          <w:sz w:val="32"/>
          <w:szCs w:val="32"/>
        </w:rPr>
      </w:pPr>
      <w:r>
        <w:rPr>
          <w:rFonts w:ascii="仿宋_GB2312" w:hAnsi="仿宋_GB2312"/>
          <w:sz w:val="32"/>
          <w:szCs w:val="32"/>
        </w:rPr>
        <w:t>(十四)负责对政府投资项目的工程概算、预算、结算、竣工决算和成本等进行评估与审查。</w:t>
      </w:r>
    </w:p>
    <w:p>
      <w:pPr>
        <w:pStyle w:val="10"/>
        <w:ind w:firstLine="0" w:firstLineChars="0"/>
        <w:rPr>
          <w:rFonts w:ascii="仿宋_GB2312"/>
          <w:sz w:val="32"/>
          <w:szCs w:val="32"/>
        </w:rPr>
      </w:pPr>
      <w:r>
        <w:rPr>
          <w:rFonts w:ascii="仿宋_GB2312" w:hAnsi="仿宋_GB2312"/>
          <w:sz w:val="32"/>
          <w:szCs w:val="32"/>
        </w:rPr>
        <w:t>(十五)承办区委、区政府交办的其他工作</w:t>
      </w:r>
    </w:p>
    <w:p>
      <w:pPr>
        <w:pStyle w:val="10"/>
        <w:ind w:firstLine="0" w:firstLineChars="0"/>
        <w:rPr>
          <w:rFonts w:ascii="仿宋_GB2312"/>
          <w:sz w:val="32"/>
          <w:szCs w:val="32"/>
        </w:rPr>
      </w:pPr>
      <w:r>
        <w:rPr>
          <w:rFonts w:ascii="仿宋_GB2312" w:hAnsi="仿宋_GB2312"/>
          <w:sz w:val="32"/>
          <w:szCs w:val="32"/>
        </w:rPr>
        <w:t>(十六)职能转变。</w:t>
      </w:r>
    </w:p>
    <w:p>
      <w:pPr>
        <w:pStyle w:val="10"/>
        <w:ind w:firstLine="0" w:firstLineChars="0"/>
        <w:rPr>
          <w:rFonts w:ascii="仿宋_GB2312"/>
          <w:sz w:val="32"/>
          <w:szCs w:val="32"/>
        </w:rPr>
      </w:pPr>
      <w:r>
        <w:rPr>
          <w:rFonts w:ascii="仿宋_GB2312" w:hAnsi="仿宋_GB2312"/>
          <w:sz w:val="32"/>
          <w:szCs w:val="32"/>
        </w:rPr>
        <w:t>1.将预算执行情况和财政收支情况监督检査职责划转至区审计局</w:t>
      </w:r>
    </w:p>
    <w:p>
      <w:pPr>
        <w:pStyle w:val="10"/>
        <w:ind w:firstLine="0" w:firstLineChars="0"/>
        <w:rPr>
          <w:rFonts w:ascii="仿宋_GB2312"/>
          <w:sz w:val="32"/>
          <w:szCs w:val="32"/>
        </w:rPr>
      </w:pPr>
      <w:r>
        <w:rPr>
          <w:rFonts w:ascii="仿宋_GB2312" w:hAnsi="仿宋_GB2312"/>
          <w:sz w:val="32"/>
          <w:szCs w:val="32"/>
        </w:rPr>
        <w:t>2.将非税收入申报征收、会统核算、缴费检査、欠费追缴和违法处罚等职责划转至税务部门。</w:t>
      </w:r>
    </w:p>
    <w:p>
      <w:pPr>
        <w:rPr>
          <w:b/>
          <w:sz w:val="36"/>
          <w:szCs w:val="36"/>
        </w:rPr>
      </w:pPr>
      <w:r>
        <w:rPr>
          <w:rFonts w:hint="eastAsia"/>
          <w:b/>
          <w:sz w:val="36"/>
          <w:szCs w:val="36"/>
        </w:rPr>
        <w:t>二、机构设置及人员情况</w:t>
      </w:r>
    </w:p>
    <w:p>
      <w:pPr>
        <w:ind w:firstLine="640" w:firstLineChars="200"/>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财政部门</w:t>
      </w:r>
      <w:r>
        <w:rPr>
          <w:rFonts w:hint="eastAsia" w:ascii="仿宋" w:hAnsi="仿宋" w:eastAsia="仿宋"/>
          <w:color w:val="auto"/>
          <w:sz w:val="32"/>
          <w:szCs w:val="32"/>
        </w:rPr>
        <w:t>共有预算单位</w:t>
      </w:r>
      <w:r>
        <w:rPr>
          <w:rFonts w:hint="eastAsia" w:ascii="仿宋" w:hAnsi="仿宋" w:eastAsia="仿宋" w:cs="Times New Roman"/>
          <w:color w:val="auto"/>
          <w:kern w:val="0"/>
          <w:sz w:val="32"/>
          <w:szCs w:val="32"/>
          <w:lang w:val="en-US" w:eastAsia="zh-CN"/>
        </w:rPr>
        <w:t>1</w:t>
      </w:r>
      <w:r>
        <w:rPr>
          <w:rFonts w:ascii="仿宋" w:hAnsi="仿宋" w:eastAsia="仿宋"/>
          <w:color w:val="auto"/>
          <w:sz w:val="32"/>
          <w:szCs w:val="32"/>
        </w:rPr>
        <w:t>个，包括</w:t>
      </w:r>
      <w:r>
        <w:rPr>
          <w:rFonts w:hint="eastAsia" w:ascii="仿宋" w:hAnsi="仿宋" w:eastAsia="仿宋"/>
          <w:color w:val="auto"/>
          <w:sz w:val="32"/>
          <w:szCs w:val="32"/>
          <w:lang w:val="en-US" w:eastAsia="zh-CN"/>
        </w:rPr>
        <w:t>财政部门本级</w:t>
      </w:r>
      <w:r>
        <w:rPr>
          <w:rFonts w:hint="eastAsia" w:ascii="仿宋" w:hAnsi="仿宋" w:eastAsia="仿宋"/>
          <w:color w:val="auto"/>
          <w:sz w:val="32"/>
          <w:szCs w:val="32"/>
        </w:rPr>
        <w:t>。</w:t>
      </w:r>
    </w:p>
    <w:p>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83</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22</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61</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hint="eastAsia" w:ascii="仿宋" w:hAnsi="仿宋" w:eastAsia="仿宋" w:cs="Times New Roman"/>
          <w:kern w:val="0"/>
          <w:sz w:val="32"/>
          <w:szCs w:val="32"/>
          <w:lang w:val="en-US" w:eastAsia="zh-CN"/>
        </w:rPr>
        <w:t>0</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129</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lang w:val="en-US" w:eastAsia="zh-CN"/>
        </w:rPr>
        <w:t>85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26</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hint="eastAsia" w:ascii="仿宋" w:hAnsi="仿宋" w:eastAsia="仿宋" w:cs="Times New Roman"/>
          <w:kern w:val="0"/>
          <w:sz w:val="32"/>
          <w:szCs w:val="32"/>
          <w:lang w:val="en-US" w:eastAsia="zh-CN"/>
        </w:rPr>
        <w:t>59人，部分</w:t>
      </w:r>
      <w:r>
        <w:rPr>
          <w:rFonts w:ascii="仿宋" w:hAnsi="仿宋" w:eastAsia="仿宋"/>
          <w:sz w:val="32"/>
          <w:szCs w:val="32"/>
        </w:rPr>
        <w:t>部补助事业在职人数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lang w:val="en-US" w:eastAsia="zh-CN"/>
        </w:rPr>
        <w:t>1</w:t>
      </w:r>
      <w:r>
        <w:rPr>
          <w:rFonts w:ascii="仿宋" w:hAnsi="仿宋" w:eastAsia="仿宋"/>
          <w:sz w:val="32"/>
          <w:szCs w:val="32"/>
        </w:rPr>
        <w:t>人,退休人数小计</w:t>
      </w:r>
      <w:r>
        <w:rPr>
          <w:rFonts w:hint="eastAsia" w:ascii="仿宋" w:hAnsi="仿宋" w:eastAsia="仿宋" w:cs="Times New Roman"/>
          <w:kern w:val="0"/>
          <w:sz w:val="32"/>
          <w:szCs w:val="32"/>
          <w:lang w:val="en-US" w:eastAsia="zh-CN"/>
        </w:rPr>
        <w:t>38</w:t>
      </w:r>
      <w:r>
        <w:rPr>
          <w:rFonts w:ascii="仿宋" w:hAnsi="仿宋" w:eastAsia="仿宋"/>
          <w:sz w:val="32"/>
          <w:szCs w:val="32"/>
        </w:rPr>
        <w:t>人,退职人员</w:t>
      </w:r>
      <w:r>
        <w:rPr>
          <w:rFonts w:hint="eastAsia" w:ascii="仿宋" w:hAnsi="仿宋" w:eastAsia="仿宋" w:cs="Times New Roman"/>
          <w:kern w:val="0"/>
          <w:sz w:val="32"/>
          <w:szCs w:val="32"/>
          <w:lang w:val="en-US" w:eastAsia="zh-CN"/>
        </w:rPr>
        <w:t>0</w:t>
      </w:r>
      <w:r>
        <w:rPr>
          <w:rFonts w:ascii="仿宋" w:hAnsi="仿宋" w:eastAsia="仿宋"/>
          <w:sz w:val="32"/>
          <w:szCs w:val="32"/>
        </w:rPr>
        <w:t>人,遗属人数</w:t>
      </w:r>
      <w:r>
        <w:rPr>
          <w:rFonts w:hint="eastAsia" w:ascii="仿宋" w:hAnsi="仿宋" w:eastAsia="仿宋" w:cs="Times New Roman"/>
          <w:kern w:val="0"/>
          <w:sz w:val="32"/>
          <w:szCs w:val="32"/>
          <w:lang w:val="en-US" w:eastAsia="zh-CN"/>
        </w:rPr>
        <w:t>5</w:t>
      </w:r>
      <w:r>
        <w:rPr>
          <w:rFonts w:ascii="仿宋" w:hAnsi="仿宋" w:eastAsia="仿宋"/>
          <w:sz w:val="32"/>
          <w:szCs w:val="32"/>
        </w:rPr>
        <w:t>人。</w:t>
      </w:r>
      <w:r>
        <w:fldChar w:fldCharType="end"/>
      </w:r>
    </w:p>
    <w:p>
      <w:pPr>
        <w:widowControl/>
        <w:spacing w:line="580" w:lineRule="exact"/>
        <w:jc w:val="center"/>
        <w:rPr>
          <w:rFonts w:ascii="仿宋_GB2312" w:eastAsia="仿宋_GB2312"/>
          <w:b/>
          <w:szCs w:val="30"/>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财政部门</w:t>
      </w:r>
      <w:r>
        <w:rPr>
          <w:rFonts w:hint="eastAsia" w:ascii="仿宋_GB2312" w:eastAsia="仿宋_GB2312"/>
          <w:b/>
          <w:sz w:val="44"/>
          <w:szCs w:val="44"/>
        </w:rPr>
        <w:t>202</w:t>
      </w:r>
      <w:r>
        <w:rPr>
          <w:rFonts w:hint="eastAsia" w:ascii="仿宋_GB2312" w:eastAsia="仿宋_GB2312"/>
          <w:b/>
          <w:sz w:val="44"/>
          <w:szCs w:val="44"/>
          <w:lang w:val="en-US" w:eastAsia="zh-CN"/>
        </w:rPr>
        <w:t>4</w:t>
      </w:r>
      <w:r>
        <w:rPr>
          <w:rFonts w:hint="eastAsia" w:ascii="仿宋_GB2312" w:eastAsia="仿宋_GB2312"/>
          <w:b/>
          <w:sz w:val="44"/>
          <w:szCs w:val="44"/>
        </w:rPr>
        <w:t>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ind w:firstLine="640" w:firstLineChars="200"/>
        <w:jc w:val="left"/>
        <w:rPr>
          <w:rStyle w:val="14"/>
          <w:rFonts w:ascii="仿宋" w:hAnsi="仿宋" w:eastAsia="仿宋"/>
          <w:bCs/>
          <w:sz w:val="32"/>
          <w:szCs w:val="32"/>
        </w:rPr>
      </w:pPr>
    </w:p>
    <w:p>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财政部门</w:t>
      </w:r>
      <w:r>
        <w:rPr>
          <w:rFonts w:hint="eastAsia" w:ascii="仿宋_GB2312" w:eastAsia="仿宋_GB2312"/>
          <w:b/>
          <w:sz w:val="44"/>
          <w:szCs w:val="44"/>
        </w:rPr>
        <w:t>202</w:t>
      </w:r>
      <w:r>
        <w:rPr>
          <w:rFonts w:hint="eastAsia" w:ascii="仿宋_GB2312" w:eastAsia="仿宋_GB2312"/>
          <w:b/>
          <w:sz w:val="44"/>
          <w:szCs w:val="44"/>
          <w:lang w:val="en-US" w:eastAsia="zh-CN"/>
        </w:rPr>
        <w:t>4</w:t>
      </w:r>
      <w:r>
        <w:rPr>
          <w:rFonts w:hint="eastAsia" w:ascii="仿宋_GB2312" w:eastAsia="仿宋_GB2312"/>
          <w:b/>
          <w:sz w:val="44"/>
          <w:szCs w:val="44"/>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pPr>
        <w:widowControl/>
        <w:ind w:firstLine="640" w:firstLineChars="200"/>
        <w:rPr>
          <w:rFonts w:hint="eastAsia" w:ascii="仿宋" w:hAnsi="仿宋" w:eastAsia="仿宋" w:cs="Times New Roman"/>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4</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财政部门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2015.33</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172.26</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2015.33</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172.26</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w:t>
      </w:r>
    </w:p>
    <w:p>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财政</w:t>
      </w:r>
      <w:r>
        <w:rPr>
          <w:rStyle w:val="14"/>
          <w:rFonts w:hint="eastAsia" w:ascii="仿宋" w:hAnsi="仿宋" w:eastAsia="仿宋"/>
          <w:sz w:val="32"/>
          <w:szCs w:val="32"/>
          <w:lang w:eastAsia="zh-CN"/>
        </w:rPr>
        <w:t>部门</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lang w:val="en-US" w:eastAsia="zh-CN"/>
        </w:rPr>
        <w:t>2015.33</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172.26</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Style w:val="14"/>
          <w:rFonts w:hint="eastAsia" w:ascii="仿宋" w:hAnsi="仿宋" w:eastAsia="仿宋"/>
          <w:sz w:val="32"/>
          <w:szCs w:val="32"/>
          <w:lang w:val="en-US" w:eastAsia="zh-CN"/>
        </w:rPr>
        <w:t>1745.33</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132.26</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1449.44</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199.04</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16.85</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80</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270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40</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270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其他支出0</w:t>
      </w:r>
      <w:r>
        <w:rPr>
          <w:rStyle w:val="14"/>
          <w:rFonts w:ascii="仿宋" w:hAnsi="仿宋" w:eastAsia="仿宋"/>
          <w:sz w:val="32"/>
          <w:szCs w:val="32"/>
        </w:rPr>
        <w:t>万元</w:t>
      </w:r>
      <w:r>
        <w:rPr>
          <w:rStyle w:val="14"/>
          <w:rFonts w:hint="eastAsia" w:ascii="仿宋" w:hAnsi="仿宋" w:eastAsia="仿宋"/>
          <w:sz w:val="32"/>
          <w:szCs w:val="32"/>
          <w:lang w:eastAsia="zh-CN"/>
        </w:rPr>
        <w:t>。</w:t>
      </w:r>
    </w:p>
    <w:p>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1867.61</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164.72</w:t>
      </w:r>
      <w:r>
        <w:rPr>
          <w:rStyle w:val="14"/>
          <w:rFonts w:ascii="仿宋" w:hAnsi="仿宋" w:eastAsia="仿宋"/>
          <w:sz w:val="32"/>
          <w:szCs w:val="32"/>
        </w:rPr>
        <w:t>万元;社会保障和就业支出</w:t>
      </w:r>
      <w:r>
        <w:rPr>
          <w:rFonts w:hint="eastAsia" w:ascii="仿宋" w:hAnsi="仿宋" w:eastAsia="仿宋" w:cs="Times New Roman"/>
          <w:kern w:val="0"/>
          <w:sz w:val="32"/>
          <w:szCs w:val="32"/>
          <w:lang w:val="en-US" w:eastAsia="zh-CN"/>
        </w:rPr>
        <w:t>147.72</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7.54</w:t>
      </w:r>
      <w:r>
        <w:rPr>
          <w:rStyle w:val="14"/>
          <w:rFonts w:ascii="仿宋" w:hAnsi="仿宋" w:eastAsia="仿宋"/>
          <w:sz w:val="32"/>
          <w:szCs w:val="32"/>
        </w:rPr>
        <w:t>万元</w:t>
      </w:r>
      <w:r>
        <w:fldChar w:fldCharType="end"/>
      </w:r>
      <w:r>
        <w:rPr>
          <w:rStyle w:val="14"/>
          <w:rFonts w:hint="eastAsia" w:ascii="仿宋" w:hAnsi="仿宋" w:eastAsia="仿宋"/>
          <w:sz w:val="32"/>
          <w:szCs w:val="32"/>
          <w:lang w:val="en-US" w:eastAsia="zh-CN"/>
        </w:rPr>
        <w:t>。</w:t>
      </w:r>
    </w:p>
    <w:p>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lang w:val="en-US" w:eastAsia="zh-CN"/>
        </w:rPr>
        <w:t>1449.44</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79.38</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469.04</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增加36.3</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16.85</w:t>
      </w:r>
      <w:r>
        <w:rPr>
          <w:rStyle w:val="14"/>
          <w:rFonts w:ascii="仿宋" w:hAnsi="仿宋" w:eastAsia="仿宋"/>
          <w:sz w:val="32"/>
          <w:szCs w:val="32"/>
        </w:rPr>
        <w:t>万元,较上年预算安排减少</w:t>
      </w:r>
      <w:r>
        <w:rPr>
          <w:rStyle w:val="14"/>
          <w:rFonts w:hint="eastAsia" w:ascii="仿宋" w:hAnsi="仿宋" w:eastAsia="仿宋"/>
          <w:sz w:val="32"/>
          <w:szCs w:val="32"/>
          <w:lang w:val="en-US" w:eastAsia="zh-CN"/>
        </w:rPr>
        <w:t>3.42</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80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60</w:t>
      </w:r>
      <w:r>
        <w:rPr>
          <w:rStyle w:val="14"/>
          <w:rFonts w:ascii="仿宋" w:hAnsi="仿宋" w:eastAsia="仿宋"/>
          <w:sz w:val="32"/>
          <w:szCs w:val="32"/>
        </w:rPr>
        <w:t>万元。</w:t>
      </w:r>
      <w:r>
        <w:fldChar w:fldCharType="end"/>
      </w:r>
    </w:p>
    <w:p>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Fonts w:hint="eastAsia" w:ascii="仿宋" w:hAnsi="仿宋" w:eastAsia="仿宋"/>
          <w:sz w:val="32"/>
          <w:szCs w:val="32"/>
          <w:lang w:val="en-US" w:eastAsia="zh-CN"/>
        </w:rPr>
        <w:t>财政部门</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lang w:val="en-US" w:eastAsia="zh-CN"/>
        </w:rPr>
        <w:t>2015.33</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172.26</w:t>
      </w:r>
      <w:r>
        <w:rPr>
          <w:rStyle w:val="14"/>
          <w:rFonts w:ascii="仿宋" w:hAnsi="仿宋" w:eastAsia="仿宋"/>
          <w:sz w:val="32"/>
          <w:szCs w:val="32"/>
        </w:rPr>
        <w:t>万元;</w:t>
      </w:r>
      <w:r>
        <w:fldChar w:fldCharType="end"/>
      </w:r>
    </w:p>
    <w:p>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1867.61</w:t>
      </w:r>
      <w:r>
        <w:rPr>
          <w:rStyle w:val="14"/>
          <w:rFonts w:ascii="仿宋" w:hAnsi="仿宋" w:eastAsia="仿宋"/>
          <w:sz w:val="32"/>
          <w:szCs w:val="32"/>
        </w:rPr>
        <w:t>万元,社会保障和就业支出</w:t>
      </w:r>
      <w:r>
        <w:rPr>
          <w:rFonts w:hint="eastAsia" w:ascii="仿宋" w:hAnsi="仿宋" w:eastAsia="仿宋" w:cs="Times New Roman"/>
          <w:kern w:val="0"/>
          <w:sz w:val="32"/>
          <w:szCs w:val="32"/>
          <w:lang w:val="en-US" w:eastAsia="zh-CN"/>
        </w:rPr>
        <w:t>147.72</w:t>
      </w:r>
      <w:r>
        <w:rPr>
          <w:rStyle w:val="14"/>
          <w:rFonts w:ascii="仿宋" w:hAnsi="仿宋" w:eastAsia="仿宋"/>
          <w:sz w:val="32"/>
          <w:szCs w:val="32"/>
        </w:rPr>
        <w:t>万元</w:t>
      </w:r>
      <w:r>
        <w:rPr>
          <w:rStyle w:val="14"/>
          <w:rFonts w:hint="eastAsia" w:ascii="仿宋" w:hAnsi="仿宋" w:eastAsia="仿宋" w:cs="Times New Roman"/>
          <w:sz w:val="32"/>
          <w:szCs w:val="32"/>
          <w:lang w:val="en-US" w:eastAsia="zh-CN"/>
        </w:rPr>
        <w:t>。</w:t>
      </w:r>
      <w:r>
        <w:fldChar w:fldCharType="end"/>
      </w: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1745.33</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132.26</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1449.44</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199.04</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16.85</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80</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270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40</w:t>
      </w:r>
      <w:r>
        <w:rPr>
          <w:rStyle w:val="14"/>
          <w:rFonts w:ascii="仿宋" w:hAnsi="仿宋" w:eastAsia="仿宋"/>
          <w:sz w:val="32"/>
          <w:szCs w:val="32"/>
        </w:rPr>
        <w:t>万元;其中：</w:t>
      </w:r>
      <w:r>
        <w:rPr>
          <w:rStyle w:val="14"/>
          <w:rFonts w:hint="eastAsia" w:ascii="仿宋" w:hAnsi="仿宋" w:eastAsia="仿宋"/>
          <w:sz w:val="32"/>
          <w:szCs w:val="32"/>
          <w:lang w:val="en-US" w:eastAsia="zh-CN"/>
        </w:rPr>
        <w:t>工资福利支出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Style w:val="14"/>
          <w:rFonts w:hint="eastAsia" w:ascii="仿宋" w:hAnsi="仿宋" w:eastAsia="仿宋"/>
          <w:sz w:val="32"/>
          <w:szCs w:val="32"/>
          <w:lang w:val="en-US" w:eastAsia="zh-CN"/>
        </w:rPr>
        <w:t>270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其他支出0万元。</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pPr>
        <w:ind w:firstLine="640" w:firstLineChars="200"/>
        <w:rPr>
          <w:rStyle w:val="14"/>
          <w:rFonts w:hint="eastAsia" w:ascii="仿宋" w:hAnsi="仿宋" w:eastAsia="仿宋" w:cs="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财政</w:t>
      </w:r>
      <w:r>
        <w:rPr>
          <w:rFonts w:hint="eastAsia" w:ascii="仿宋" w:hAnsi="仿宋" w:eastAsia="仿宋"/>
          <w:sz w:val="32"/>
          <w:szCs w:val="32"/>
          <w:lang w:val="en-US" w:eastAsia="zh-CN"/>
        </w:rPr>
        <w:t>部门</w:t>
      </w:r>
      <w:r>
        <w:rPr>
          <w:rStyle w:val="14"/>
          <w:rFonts w:hint="eastAsia" w:ascii="仿宋" w:hAnsi="仿宋" w:eastAsia="仿宋" w:cs="仿宋"/>
          <w:b/>
          <w:bCs/>
          <w:sz w:val="32"/>
          <w:szCs w:val="32"/>
        </w:rPr>
        <w:t>没有使用政府性基金预算拨款安排的支出</w:t>
      </w:r>
      <w:r>
        <w:rPr>
          <w:rStyle w:val="14"/>
          <w:rFonts w:hint="eastAsia" w:ascii="仿宋" w:hAnsi="仿宋" w:eastAsia="仿宋" w:cs="仿宋"/>
          <w:sz w:val="32"/>
          <w:szCs w:val="32"/>
          <w:lang w:val="en-US" w:eastAsia="zh-CN"/>
        </w:rPr>
        <w:t>。</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pPr>
        <w:ind w:firstLine="640" w:firstLineChars="200"/>
        <w:rPr>
          <w:rStyle w:val="15"/>
          <w:rFonts w:ascii="仿宋" w:hAnsi="仿宋" w:eastAsia="仿宋" w:cs="Calibri"/>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4</w:t>
      </w:r>
      <w:r>
        <w:rPr>
          <w:rStyle w:val="14"/>
          <w:rFonts w:hint="eastAsia" w:ascii="仿宋" w:hAnsi="仿宋" w:eastAsia="仿宋"/>
          <w:sz w:val="32"/>
          <w:szCs w:val="32"/>
        </w:rPr>
        <w:t>年</w:t>
      </w:r>
      <w:r>
        <w:rPr>
          <w:rFonts w:hint="eastAsia" w:ascii="仿宋" w:hAnsi="仿宋" w:eastAsia="仿宋" w:cs="Calibri"/>
          <w:sz w:val="32"/>
          <w:szCs w:val="32"/>
        </w:rPr>
        <w:t>财政部门</w:t>
      </w:r>
      <w:r>
        <w:rPr>
          <w:rStyle w:val="15"/>
          <w:rFonts w:hint="eastAsia" w:ascii="仿宋" w:hAnsi="仿宋" w:eastAsia="仿宋" w:cs="Calibri"/>
          <w:sz w:val="32"/>
          <w:szCs w:val="32"/>
        </w:rPr>
        <w:t>没有使用国有资本经营预算拨款安排的支出。</w:t>
      </w:r>
    </w:p>
    <w:p>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pPr>
        <w:widowControl/>
        <w:spacing w:line="580" w:lineRule="exact"/>
        <w:ind w:firstLine="640" w:firstLineChars="200"/>
        <w:jc w:val="left"/>
        <w:rPr>
          <w:rFonts w:hint="default" w:ascii="仿宋_GB2312" w:eastAsia="Adobe 仿宋 Std R"/>
          <w:sz w:val="32"/>
          <w:szCs w:val="30"/>
          <w:u w:val="single"/>
          <w:lang w:val="en-US" w:eastAsia="zh-CN"/>
        </w:rPr>
      </w:pPr>
      <w:r>
        <w:rPr>
          <w:rStyle w:val="14"/>
          <w:rFonts w:hint="eastAsia" w:ascii="Adobe 仿宋 Std R" w:hAnsi="Adobe 仿宋 Std R" w:eastAsia="Adobe 仿宋 Std R"/>
          <w:sz w:val="32"/>
          <w:szCs w:val="32"/>
        </w:rPr>
        <w:t>202</w:t>
      </w:r>
      <w:r>
        <w:rPr>
          <w:rStyle w:val="14"/>
          <w:rFonts w:hint="eastAsia" w:ascii="Adobe 仿宋 Std R" w:hAnsi="Adobe 仿宋 Std R" w:eastAsia="Adobe 仿宋 Std R"/>
          <w:sz w:val="32"/>
          <w:szCs w:val="32"/>
          <w:lang w:val="en-US" w:eastAsia="zh-CN"/>
        </w:rPr>
        <w:t>4</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部门机关运行费预算</w:t>
      </w:r>
      <w:r>
        <w:rPr>
          <w:rFonts w:hint="eastAsia" w:ascii="Adobe 仿宋 Std R" w:hAnsi="Adobe 仿宋 Std R" w:eastAsia="Adobe 仿宋 Std R"/>
          <w:sz w:val="32"/>
          <w:szCs w:val="32"/>
          <w:lang w:val="en-US" w:eastAsia="zh-CN"/>
        </w:rPr>
        <w:t>279.04</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56.3</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25.28</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主要原因是：本年度预算增加信息网络及软件购置更新费用。</w:t>
      </w:r>
    </w:p>
    <w:p>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年部门所属各单位政府采购总额</w:t>
      </w:r>
      <w:r>
        <w:rPr>
          <w:rFonts w:hint="eastAsia" w:ascii="仿宋" w:hAnsi="仿宋" w:eastAsia="仿宋" w:cs="Times New Roman"/>
          <w:kern w:val="0"/>
          <w:sz w:val="32"/>
          <w:szCs w:val="32"/>
          <w:lang w:val="en-US" w:eastAsia="zh-CN"/>
        </w:rPr>
        <w:t>50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20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30</w:t>
      </w:r>
      <w:r>
        <w:rPr>
          <w:rFonts w:hint="eastAsia" w:ascii="Adobe 仿宋 Std R" w:hAnsi="Adobe 仿宋 Std R" w:eastAsia="Adobe 仿宋 Std R"/>
          <w:sz w:val="32"/>
          <w:szCs w:val="32"/>
        </w:rPr>
        <w:t>万元。</w:t>
      </w:r>
    </w:p>
    <w:p>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截至202</w:t>
      </w: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7</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各级财政编制部门预算基础信息上报截止时间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0</w:t>
      </w:r>
      <w:r>
        <w:rPr>
          <w:rFonts w:ascii="Adobe 仿宋 Std R" w:hAnsi="Adobe 仿宋 Std R" w:eastAsia="Adobe 仿宋 Std R"/>
          <w:sz w:val="32"/>
          <w:szCs w:val="32"/>
        </w:rPr>
        <w:t>辆。</w:t>
      </w:r>
      <w:r>
        <w:fldChar w:fldCharType="end"/>
      </w:r>
    </w:p>
    <w:p>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w:t>
      </w:r>
      <w:r>
        <w:rPr>
          <w:rFonts w:hint="eastAsia" w:ascii="Adobe 仿宋 Std R" w:hAnsi="Adobe 仿宋 Std R" w:eastAsia="Adobe 仿宋 Std R"/>
          <w:sz w:val="32"/>
          <w:szCs w:val="32"/>
          <w:lang w:val="en-US" w:eastAsia="zh-CN"/>
        </w:rPr>
        <w:t>没有</w:t>
      </w:r>
      <w:r>
        <w:rPr>
          <w:rFonts w:hint="eastAsia" w:ascii="Adobe 仿宋 Std R" w:hAnsi="Adobe 仿宋 Std R" w:eastAsia="Adobe 仿宋 Std R"/>
          <w:sz w:val="32"/>
          <w:szCs w:val="32"/>
        </w:rPr>
        <w:t>安排购置单位价值200万元以上大型设备</w:t>
      </w:r>
      <w:r>
        <w:rPr>
          <w:rFonts w:hint="eastAsia" w:ascii="仿宋_GB2312" w:eastAsia="仿宋_GB2312"/>
          <w:sz w:val="32"/>
          <w:szCs w:val="30"/>
        </w:rPr>
        <w:t>。</w:t>
      </w:r>
    </w:p>
    <w:p>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w:t>
      </w:r>
      <w:r>
        <w:rPr>
          <w:rStyle w:val="14"/>
          <w:rFonts w:hint="eastAsia" w:ascii="楷体_GB2312" w:hAnsi="楷体_GB2312" w:eastAsia="楷体_GB2312" w:cs="楷体_GB2312"/>
          <w:b/>
          <w:bCs w:val="0"/>
          <w:sz w:val="32"/>
          <w:szCs w:val="32"/>
          <w:lang w:val="en-US" w:eastAsia="zh-CN"/>
        </w:rPr>
        <w:t>投资评审委托业务项目、绩效评价委托业务</w:t>
      </w:r>
      <w:r>
        <w:rPr>
          <w:rStyle w:val="14"/>
          <w:rFonts w:hint="eastAsia" w:ascii="楷体_GB2312" w:hAnsi="楷体_GB2312" w:eastAsia="楷体_GB2312" w:cs="楷体_GB2312"/>
          <w:b/>
          <w:bCs w:val="0"/>
          <w:sz w:val="32"/>
          <w:szCs w:val="32"/>
        </w:rPr>
        <w:t>项目情况说明</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投资评审委托业务</w:t>
      </w:r>
      <w:r>
        <w:rPr>
          <w:rFonts w:hint="eastAsia" w:ascii="Adobe 仿宋 Std R" w:hAnsi="Adobe 仿宋 Std R" w:eastAsia="Adobe 仿宋 Std R"/>
          <w:sz w:val="32"/>
          <w:szCs w:val="32"/>
        </w:rPr>
        <w:t>项目</w:t>
      </w:r>
    </w:p>
    <w:p>
      <w:pPr>
        <w:ind w:firstLine="642"/>
        <w:rPr>
          <w:rFonts w:hint="eastAsia" w:ascii="Adobe 仿宋 Std R" w:hAnsi="Adobe 仿宋 Std R" w:eastAsia="宋体"/>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ascii="Adobe 仿宋 Std R" w:hAnsi="Adobe 仿宋 Std R" w:cs="Calibri"/>
          <w:sz w:val="32"/>
          <w:szCs w:val="32"/>
        </w:rPr>
        <w:t>负责项目预算评审，批复招标控制建议价和财政定价，项目政府采购管理、资金筹集和拨付、财务活动监督等</w:t>
      </w:r>
      <w:r>
        <w:rPr>
          <w:rFonts w:hint="eastAsia" w:ascii="Adobe 仿宋 Std R" w:hAnsi="Adobe 仿宋 Std R" w:cs="Calibri"/>
          <w:sz w:val="32"/>
          <w:szCs w:val="32"/>
          <w:lang w:eastAsia="zh-CN"/>
        </w:rPr>
        <w:t>。</w:t>
      </w:r>
    </w:p>
    <w:p>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县编办发（2011）8号文件。</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财政投资评审中心。</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柴府办发（2022）1号文件。</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一个预算年度。</w:t>
      </w:r>
    </w:p>
    <w:p>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年度预算投资评审委托业务费240万元。</w:t>
      </w:r>
    </w:p>
    <w:p>
      <w:pPr>
        <w:ind w:firstLine="960" w:firstLineChars="300"/>
        <w:rPr>
          <w:rStyle w:val="15"/>
          <w:rFonts w:hint="eastAsia" w:ascii="仿宋" w:hAnsi="仿宋" w:eastAsia="仿宋" w:cs="Calibri"/>
          <w:sz w:val="32"/>
          <w:szCs w:val="32"/>
        </w:rPr>
      </w:pPr>
      <w:r>
        <w:rPr>
          <w:rStyle w:val="15"/>
          <w:rFonts w:hint="eastAsia" w:ascii="仿宋" w:hAnsi="仿宋" w:eastAsia="仿宋" w:cs="Calibri"/>
          <w:sz w:val="32"/>
          <w:szCs w:val="32"/>
        </w:rPr>
        <w:t>7）绩效目标和指标：政府性投资工程项目256个的评审工作，坚守“不唯减、不唯增、只唯实”的执业原则。</w:t>
      </w: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2</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绩效评价委托业务</w:t>
      </w:r>
      <w:r>
        <w:rPr>
          <w:rFonts w:hint="eastAsia" w:ascii="Adobe 仿宋 Std R" w:hAnsi="Adobe 仿宋 Std R" w:eastAsia="Adobe 仿宋 Std R"/>
          <w:sz w:val="32"/>
          <w:szCs w:val="32"/>
        </w:rPr>
        <w:t>项目</w:t>
      </w:r>
    </w:p>
    <w:p>
      <w:pPr>
        <w:ind w:firstLine="642"/>
        <w:rPr>
          <w:rFonts w:hint="eastAsia" w:ascii="Adobe 仿宋 Std R" w:hAnsi="Adobe 仿宋 Std R" w:eastAsia="宋体"/>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cs="Calibri"/>
          <w:sz w:val="32"/>
          <w:szCs w:val="32"/>
          <w:lang w:val="en-US" w:eastAsia="zh-CN"/>
        </w:rPr>
        <w:t>财政部门是区级预算绩效管理的牵头组织和指导监督部门，负责建立健全预算绩效管理制度体系，依法组织、指导区预算部门开展本部门预算绩效管理工作</w:t>
      </w:r>
      <w:r>
        <w:rPr>
          <w:rFonts w:hint="eastAsia" w:ascii="Adobe 仿宋 Std R" w:hAnsi="Adobe 仿宋 Std R" w:cs="Calibri"/>
          <w:sz w:val="32"/>
          <w:szCs w:val="32"/>
          <w:lang w:eastAsia="zh-CN"/>
        </w:rPr>
        <w:t>。</w:t>
      </w:r>
    </w:p>
    <w:p>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柴府办发（2022）16号文件。</w:t>
      </w:r>
    </w:p>
    <w:p>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绩效评价中心。</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柴府办发（2022）1号文件。</w:t>
      </w:r>
    </w:p>
    <w:p>
      <w:pPr>
        <w:ind w:firstLine="642"/>
        <w:rPr>
          <w:rFonts w:hint="default" w:ascii="Adobe 仿宋 Std R" w:hAnsi="Adobe 仿宋 Std R" w:eastAsia="Adobe 仿宋 Std R"/>
          <w:sz w:val="32"/>
          <w:szCs w:val="32"/>
          <w:lang w:val="en-US" w:eastAsia="zh-CN"/>
        </w:rPr>
      </w:pPr>
      <w:bookmarkStart w:id="0" w:name="_GoBack"/>
      <w:bookmarkEnd w:id="0"/>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一个预算年度。</w:t>
      </w:r>
    </w:p>
    <w:p>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年度预算绩效评价委托业务费30万元。</w:t>
      </w:r>
    </w:p>
    <w:p>
      <w:pPr>
        <w:ind w:firstLine="642"/>
        <w:rPr>
          <w:rFonts w:hint="eastAsia" w:ascii="Adobe 仿宋 Std R" w:hAnsi="Adobe 仿宋 Std R" w:eastAsia="仿宋"/>
          <w:sz w:val="32"/>
          <w:szCs w:val="32"/>
          <w:lang w:val="en-US" w:eastAsia="zh-CN"/>
        </w:rPr>
      </w:pPr>
      <w:r>
        <w:rPr>
          <w:rStyle w:val="15"/>
          <w:rFonts w:hint="eastAsia" w:ascii="仿宋" w:hAnsi="仿宋" w:eastAsia="仿宋" w:cs="Calibri"/>
          <w:sz w:val="32"/>
          <w:szCs w:val="32"/>
        </w:rPr>
        <w:t>7）绩效目标和指标：推动预算绩效管理高质量发展，部门整体项目绩效评价</w:t>
      </w:r>
      <w:r>
        <w:rPr>
          <w:rStyle w:val="15"/>
          <w:rFonts w:hint="eastAsia" w:ascii="仿宋" w:hAnsi="仿宋" w:eastAsia="仿宋" w:cs="Calibri"/>
          <w:sz w:val="32"/>
          <w:szCs w:val="32"/>
          <w:lang w:val="en-US" w:eastAsia="zh-CN"/>
        </w:rPr>
        <w:t>15</w:t>
      </w:r>
      <w:r>
        <w:rPr>
          <w:rStyle w:val="15"/>
          <w:rFonts w:hint="eastAsia" w:ascii="仿宋" w:hAnsi="仿宋" w:eastAsia="仿宋" w:cs="Calibri"/>
          <w:sz w:val="32"/>
          <w:szCs w:val="32"/>
        </w:rPr>
        <w:t>个，项目绩效评价</w:t>
      </w:r>
      <w:r>
        <w:rPr>
          <w:rStyle w:val="15"/>
          <w:rFonts w:hint="eastAsia" w:ascii="仿宋" w:hAnsi="仿宋" w:eastAsia="仿宋" w:cs="Calibri"/>
          <w:sz w:val="32"/>
          <w:szCs w:val="32"/>
          <w:lang w:val="en-US" w:eastAsia="zh-CN"/>
        </w:rPr>
        <w:t>15</w:t>
      </w:r>
      <w:r>
        <w:rPr>
          <w:rStyle w:val="15"/>
          <w:rFonts w:hint="eastAsia" w:ascii="仿宋" w:hAnsi="仿宋" w:eastAsia="仿宋" w:cs="Calibri"/>
          <w:sz w:val="32"/>
          <w:szCs w:val="32"/>
        </w:rPr>
        <w:t>个</w:t>
      </w:r>
      <w:r>
        <w:rPr>
          <w:rFonts w:hint="eastAsia" w:ascii="Adobe 仿宋 Std R" w:hAnsi="Adobe 仿宋 Std R" w:eastAsia="Adobe 仿宋 Std R"/>
          <w:sz w:val="32"/>
          <w:szCs w:val="32"/>
          <w:lang w:val="en-US" w:eastAsia="zh-CN"/>
        </w:rPr>
        <w:t>。</w:t>
      </w:r>
    </w:p>
    <w:p>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年“三公”经费预算情况说明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4</w:t>
      </w:r>
      <w:r>
        <w:rPr>
          <w:rFonts w:hint="eastAsia" w:ascii="仿宋" w:hAnsi="仿宋" w:eastAsia="仿宋"/>
          <w:bCs/>
          <w:sz w:val="32"/>
          <w:szCs w:val="32"/>
        </w:rPr>
        <w:t>年</w:t>
      </w:r>
      <w:r>
        <w:rPr>
          <w:rFonts w:hint="eastAsia" w:ascii="仿宋" w:hAnsi="仿宋" w:eastAsia="仿宋"/>
          <w:bCs/>
          <w:sz w:val="32"/>
          <w:szCs w:val="32"/>
          <w:lang w:val="en-US" w:eastAsia="zh-CN"/>
        </w:rPr>
        <w:t>财政部门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cs="Times New Roman"/>
          <w:kern w:val="0"/>
          <w:sz w:val="32"/>
          <w:szCs w:val="32"/>
          <w:lang w:val="en-US" w:eastAsia="zh-CN"/>
        </w:rPr>
        <w:t>28.79</w:t>
      </w:r>
      <w:r>
        <w:rPr>
          <w:rFonts w:hint="eastAsia" w:ascii="仿宋" w:hAnsi="仿宋" w:eastAsia="仿宋"/>
          <w:bCs/>
          <w:sz w:val="32"/>
          <w:szCs w:val="32"/>
          <w:lang w:val="en-US" w:eastAsia="zh-CN"/>
        </w:rPr>
        <w:t>万</w:t>
      </w:r>
      <w:r>
        <w:rPr>
          <w:rFonts w:hint="eastAsia" w:ascii="仿宋" w:hAnsi="仿宋" w:eastAsia="仿宋"/>
          <w:bCs/>
          <w:sz w:val="32"/>
          <w:szCs w:val="32"/>
        </w:rPr>
        <w:t>元，其中：</w:t>
      </w:r>
    </w:p>
    <w:p>
      <w:pPr>
        <w:ind w:firstLine="640" w:firstLineChars="200"/>
        <w:jc w:val="left"/>
        <w:rPr>
          <w:rFonts w:hint="eastAsia" w:ascii="仿宋" w:hAnsi="仿宋" w:eastAsia="仿宋"/>
          <w:bCs/>
          <w:sz w:val="32"/>
          <w:szCs w:val="32"/>
          <w:lang w:val="en-US" w:eastAsia="zh-CN"/>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hint="eastAsia" w:ascii="仿宋" w:hAnsi="仿宋" w:eastAsia="仿宋" w:cs="Times New Roman"/>
          <w:kern w:val="0"/>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val="en-US" w:eastAsia="zh-CN"/>
        </w:rPr>
        <w:t>与</w:t>
      </w:r>
      <w:r>
        <w:rPr>
          <w:rFonts w:ascii="仿宋" w:hAnsi="仿宋" w:eastAsia="仿宋"/>
          <w:bCs/>
          <w:sz w:val="32"/>
          <w:szCs w:val="32"/>
        </w:rPr>
        <w:t>上年</w:t>
      </w:r>
      <w:r>
        <w:rPr>
          <w:rFonts w:hint="eastAsia" w:ascii="仿宋" w:hAnsi="仿宋" w:eastAsia="仿宋"/>
          <w:bCs/>
          <w:sz w:val="32"/>
          <w:szCs w:val="32"/>
          <w:lang w:val="en-US" w:eastAsia="zh-CN"/>
        </w:rPr>
        <w:t>安排保持一致。</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28.79</w:t>
      </w:r>
      <w:r>
        <w:rPr>
          <w:rFonts w:ascii="仿宋" w:hAnsi="仿宋" w:eastAsia="仿宋"/>
          <w:bCs/>
          <w:sz w:val="32"/>
          <w:szCs w:val="32"/>
        </w:rPr>
        <w:t>万元,比上年减</w:t>
      </w:r>
      <w:r>
        <w:rPr>
          <w:rFonts w:hint="eastAsia" w:ascii="仿宋" w:hAnsi="仿宋" w:eastAsia="仿宋"/>
          <w:bCs/>
          <w:sz w:val="32"/>
          <w:szCs w:val="32"/>
          <w:lang w:val="en-US" w:eastAsia="zh-CN"/>
        </w:rPr>
        <w:t>少0.01</w:t>
      </w:r>
      <w:r>
        <w:rPr>
          <w:rFonts w:ascii="仿宋" w:hAnsi="仿宋" w:eastAsia="仿宋"/>
          <w:bCs/>
          <w:sz w:val="32"/>
          <w:szCs w:val="32"/>
        </w:rPr>
        <w:t>万元，</w:t>
      </w:r>
      <w:r>
        <w:rPr>
          <w:rFonts w:hint="eastAsia" w:ascii="仿宋" w:hAnsi="仿宋" w:eastAsia="仿宋"/>
          <w:bCs/>
          <w:sz w:val="32"/>
          <w:szCs w:val="32"/>
          <w:lang w:val="en-US" w:eastAsia="zh-CN"/>
        </w:rPr>
        <w:t>较上年持平</w:t>
      </w:r>
      <w:r>
        <w:rPr>
          <w:rFonts w:ascii="仿宋" w:hAnsi="仿宋" w:eastAsia="仿宋"/>
          <w:bCs/>
          <w:sz w:val="32"/>
          <w:szCs w:val="32"/>
        </w:rPr>
        <w:t>。</w:t>
      </w:r>
    </w:p>
    <w:p>
      <w:pPr>
        <w:ind w:firstLine="640" w:firstLineChars="200"/>
        <w:jc w:val="left"/>
        <w:rPr>
          <w:rFonts w:hint="eastAsia" w:ascii="仿宋" w:hAnsi="仿宋" w:eastAsia="仿宋"/>
          <w:bCs/>
          <w:sz w:val="32"/>
          <w:szCs w:val="32"/>
          <w:lang w:val="en-US" w:eastAsia="zh-CN"/>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hint="eastAsia" w:ascii="仿宋" w:hAnsi="仿宋" w:eastAsia="仿宋" w:cs="Times New Roman"/>
          <w:kern w:val="0"/>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val="en-US" w:eastAsia="zh-CN"/>
        </w:rPr>
        <w:t>与上年安排保持一致。</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pPr>
        <w:widowControl/>
        <w:shd w:val="clear" w:color="auto" w:fill="FFFFFF"/>
        <w:spacing w:line="640" w:lineRule="atLeast"/>
        <w:ind w:firstLine="640"/>
        <w:jc w:val="center"/>
        <w:rPr>
          <w:rFonts w:ascii="仿宋_GB2312" w:eastAsia="仿宋_GB2312"/>
          <w:b/>
          <w:sz w:val="32"/>
          <w:szCs w:val="30"/>
        </w:rPr>
      </w:pPr>
    </w:p>
    <w:p>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pPr>
        <w:widowControl/>
        <w:shd w:val="clear" w:color="auto" w:fill="FFFFFF"/>
        <w:spacing w:line="640" w:lineRule="atLeast"/>
        <w:ind w:firstLine="800" w:firstLineChars="250"/>
        <w:jc w:val="left"/>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各部门结合实际进行解释</w:t>
      </w:r>
      <w:r>
        <w:rPr>
          <w:rFonts w:hint="eastAsia" w:ascii="黑体" w:hAnsi="黑体" w:eastAsia="黑体" w:cs="黑体"/>
          <w:sz w:val="32"/>
          <w:szCs w:val="32"/>
          <w:lang w:val="en-US" w:eastAsia="zh-CN"/>
        </w:rPr>
        <w:t>。</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年收支差额的数额。</w:t>
      </w:r>
    </w:p>
    <w:p>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对部门预算中涉及的支出功能分类科目（明细到项级），结合部门实际，参照《2024年政府收支分类科目》的规范说明进行解释。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（八）基本支出：指各部门、各单位为保障其机构正常运转、完成日常工作任务所发生的支出，包括人员经费和公用经费。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（九）项目支出：指各部门、各单位为完成其特定的工作任务和事业发展目标所发生的支出。</w:t>
      </w:r>
    </w:p>
    <w:p>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部门涉及的专业名词</w:t>
      </w:r>
    </w:p>
    <w:p>
      <w:pPr>
        <w:ind w:firstLine="643" w:firstLineChars="200"/>
        <w:rPr>
          <w:rFonts w:hint="eastAsia" w:ascii="仿宋" w:hAnsi="仿宋" w:eastAsia="仿宋" w:cs="Calibri"/>
          <w:bCs/>
          <w:kern w:val="2"/>
          <w:sz w:val="32"/>
          <w:szCs w:val="32"/>
          <w:lang w:val="en-US" w:eastAsia="zh-CN" w:bidi="ar-SA"/>
        </w:rPr>
      </w:pPr>
      <w:r>
        <w:rPr>
          <w:rStyle w:val="15"/>
          <w:rFonts w:hint="eastAsia" w:ascii="仿宋" w:hAnsi="仿宋" w:eastAsia="仿宋" w:cs="Calibri"/>
          <w:b/>
          <w:bCs/>
          <w:sz w:val="32"/>
          <w:szCs w:val="32"/>
        </w:rPr>
        <w:t>1.</w:t>
      </w:r>
      <w:r>
        <w:rPr>
          <w:rStyle w:val="15"/>
          <w:rFonts w:hint="eastAsia" w:ascii="仿宋" w:hAnsi="仿宋" w:eastAsia="仿宋" w:cs="Calibri"/>
          <w:b/>
          <w:bCs/>
          <w:sz w:val="32"/>
          <w:szCs w:val="32"/>
          <w:lang w:eastAsia="zh-CN"/>
        </w:rPr>
        <w:t>财政</w:t>
      </w:r>
      <w:r>
        <w:rPr>
          <w:rStyle w:val="15"/>
          <w:rFonts w:hint="eastAsia" w:ascii="仿宋" w:hAnsi="仿宋" w:eastAsia="仿宋" w:cs="Calibri"/>
          <w:b/>
          <w:bCs/>
          <w:sz w:val="32"/>
          <w:szCs w:val="32"/>
        </w:rPr>
        <w:t>投资评审</w:t>
      </w:r>
      <w:r>
        <w:rPr>
          <w:rStyle w:val="15"/>
          <w:rFonts w:hint="eastAsia" w:ascii="仿宋" w:hAnsi="仿宋" w:eastAsia="仿宋" w:cs="Calibri"/>
          <w:b/>
          <w:bCs/>
          <w:sz w:val="32"/>
          <w:szCs w:val="32"/>
          <w:lang w:eastAsia="zh-CN"/>
        </w:rPr>
        <w:t>。</w:t>
      </w:r>
      <w:r>
        <w:rPr>
          <w:rFonts w:hint="eastAsia" w:ascii="仿宋" w:hAnsi="仿宋" w:eastAsia="仿宋" w:cs="Calibri"/>
          <w:bCs/>
          <w:kern w:val="2"/>
          <w:sz w:val="32"/>
          <w:szCs w:val="32"/>
          <w:lang w:val="en-US" w:eastAsia="zh-CN" w:bidi="ar-SA"/>
        </w:rPr>
        <w:t>是财政职能的重要组成部分，财政部门通过对财政性资金投资项目预（概）算进行评价与审查，对财政性资金投资项目资金使用情况，以及其他财政专项资金使用情况进行专项核查及追踪问效，是财政资金规范、安全、有效运行的基本保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 xml:space="preserve">    </w:t>
      </w:r>
      <w:r>
        <w:rPr>
          <w:rStyle w:val="15"/>
          <w:rFonts w:hint="eastAsia" w:ascii="仿宋" w:hAnsi="仿宋" w:eastAsia="仿宋" w:cs="Calibri"/>
          <w:b/>
          <w:bCs/>
          <w:sz w:val="32"/>
          <w:szCs w:val="32"/>
          <w:lang w:val="en-US" w:eastAsia="zh-CN"/>
        </w:rPr>
        <w:t>2.预算绩效管理。</w:t>
      </w:r>
      <w:r>
        <w:rPr>
          <w:rFonts w:hint="eastAsia" w:ascii="仿宋" w:hAnsi="仿宋" w:eastAsia="仿宋" w:cs="Calibri"/>
          <w:bCs/>
          <w:kern w:val="2"/>
          <w:sz w:val="32"/>
          <w:szCs w:val="32"/>
          <w:lang w:val="en-US" w:eastAsia="zh-CN" w:bidi="ar-SA"/>
        </w:rPr>
        <w:t>是政府绩效管理的重要组成部分，是将绩效管理理念和绩效管理方法贯穿于预算编制、执行、监督的全过程，并实现与预算管理有机融合的一种管理模式，是深化公共财政管理改革、提高财政资金使用绩效的创新手段，也是从根本上提高部门责任意识、促进政府职能转变的重要举措。</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40" w:lineRule="atLeast"/>
        <w:ind w:left="45" w:right="45" w:firstLine="0"/>
        <w:jc w:val="left"/>
        <w:rPr>
          <w:rFonts w:hint="eastAsia" w:ascii="仿宋" w:hAnsi="仿宋" w:eastAsia="仿宋" w:cs="Calibri"/>
          <w:bCs/>
          <w:kern w:val="2"/>
          <w:sz w:val="32"/>
          <w:szCs w:val="32"/>
          <w:lang w:val="en-US" w:eastAsia="zh-CN" w:bidi="ar-SA"/>
        </w:rPr>
      </w:pPr>
      <w:r>
        <w:rPr>
          <w:rFonts w:hint="eastAsia" w:ascii="仿宋" w:hAnsi="仿宋" w:eastAsia="仿宋" w:cs="Calibri"/>
          <w:bCs/>
          <w:kern w:val="2"/>
          <w:sz w:val="32"/>
          <w:szCs w:val="32"/>
          <w:lang w:val="en-US" w:eastAsia="zh-CN" w:bidi="ar-SA"/>
        </w:rPr>
        <w:t>　　预算绩效管理通过促使预算部门和资金使用单位在预算额度内更多更好提供符合需求的公共产品和服务（数量、质量），以优化预算资源配置，提升预算支出绩效。预算绩效管理主要包括绩效目标、绩效监控、绩效评价和绩效管理结果运用等构成要素。</w:t>
      </w:r>
    </w:p>
    <w:p>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dobe 仿宋 Std R">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ZmMzhiMmQ3Y2YxZTExOWVkNzI2ZjBiNmU4OTI2NjkifQ=="/>
    <w:docVar w:name="KSO_WPS_MARK_KEY" w:val="4277d6df-cdd2-4e95-a76e-9d47d245c00c"/>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4763F31"/>
    <w:rsid w:val="04EA5622"/>
    <w:rsid w:val="05F01250"/>
    <w:rsid w:val="069552CB"/>
    <w:rsid w:val="0811040D"/>
    <w:rsid w:val="08A00A2D"/>
    <w:rsid w:val="09691794"/>
    <w:rsid w:val="097B71D6"/>
    <w:rsid w:val="0B001F2F"/>
    <w:rsid w:val="0B172C65"/>
    <w:rsid w:val="0C9776ED"/>
    <w:rsid w:val="0E030ABC"/>
    <w:rsid w:val="0E6B25E0"/>
    <w:rsid w:val="12170AB5"/>
    <w:rsid w:val="128B26EC"/>
    <w:rsid w:val="147E3783"/>
    <w:rsid w:val="158A79C4"/>
    <w:rsid w:val="178C24ED"/>
    <w:rsid w:val="1A564145"/>
    <w:rsid w:val="1A7A6541"/>
    <w:rsid w:val="1C453EB2"/>
    <w:rsid w:val="1C60776B"/>
    <w:rsid w:val="1CCC6940"/>
    <w:rsid w:val="1E890F8D"/>
    <w:rsid w:val="1ED932C0"/>
    <w:rsid w:val="1FB41916"/>
    <w:rsid w:val="2047243B"/>
    <w:rsid w:val="251A23D6"/>
    <w:rsid w:val="25231156"/>
    <w:rsid w:val="26504C69"/>
    <w:rsid w:val="27A91D58"/>
    <w:rsid w:val="28685F76"/>
    <w:rsid w:val="2EDA4EED"/>
    <w:rsid w:val="2F7973C6"/>
    <w:rsid w:val="30D10882"/>
    <w:rsid w:val="3255662B"/>
    <w:rsid w:val="328E04C8"/>
    <w:rsid w:val="32B01FF9"/>
    <w:rsid w:val="38EE4A0F"/>
    <w:rsid w:val="39411CFC"/>
    <w:rsid w:val="39D81433"/>
    <w:rsid w:val="3A506A32"/>
    <w:rsid w:val="3A5F274A"/>
    <w:rsid w:val="3AA33D01"/>
    <w:rsid w:val="3B0B59BD"/>
    <w:rsid w:val="3CC051F9"/>
    <w:rsid w:val="42672788"/>
    <w:rsid w:val="429A6A15"/>
    <w:rsid w:val="456265B6"/>
    <w:rsid w:val="464A2500"/>
    <w:rsid w:val="4921778A"/>
    <w:rsid w:val="4CD22D17"/>
    <w:rsid w:val="4D64034B"/>
    <w:rsid w:val="4DDA0A50"/>
    <w:rsid w:val="4E2E4DC7"/>
    <w:rsid w:val="50986AB5"/>
    <w:rsid w:val="50CA1027"/>
    <w:rsid w:val="51E246CB"/>
    <w:rsid w:val="5209326F"/>
    <w:rsid w:val="528154FB"/>
    <w:rsid w:val="52FE6B4C"/>
    <w:rsid w:val="549F7F67"/>
    <w:rsid w:val="55A35789"/>
    <w:rsid w:val="57284198"/>
    <w:rsid w:val="58F07B3F"/>
    <w:rsid w:val="5C3A5E6A"/>
    <w:rsid w:val="5DE73434"/>
    <w:rsid w:val="5DF324D4"/>
    <w:rsid w:val="5E275239"/>
    <w:rsid w:val="5FC75D5B"/>
    <w:rsid w:val="60454E6C"/>
    <w:rsid w:val="61034D2A"/>
    <w:rsid w:val="618A4A69"/>
    <w:rsid w:val="659A0956"/>
    <w:rsid w:val="65D45034"/>
    <w:rsid w:val="6A7E0DF8"/>
    <w:rsid w:val="6B016D82"/>
    <w:rsid w:val="6BB56B6A"/>
    <w:rsid w:val="6EB56B85"/>
    <w:rsid w:val="6EB6308E"/>
    <w:rsid w:val="70C366B0"/>
    <w:rsid w:val="753F6323"/>
    <w:rsid w:val="77084C62"/>
    <w:rsid w:val="770E067D"/>
    <w:rsid w:val="78EA1125"/>
    <w:rsid w:val="7A9E5575"/>
    <w:rsid w:val="7E457CCB"/>
    <w:rsid w:val="7E8A1D6F"/>
    <w:rsid w:val="7EA75D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 w:type="character" w:customStyle="1" w:styleId="15">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4567</Words>
  <Characters>4879</Characters>
  <Lines>21</Lines>
  <Paragraphs>6</Paragraphs>
  <TotalTime>1</TotalTime>
  <ScaleCrop>false</ScaleCrop>
  <LinksUpToDate>false</LinksUpToDate>
  <CharactersWithSpaces>4944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HP</cp:lastModifiedBy>
  <cp:lastPrinted>2018-04-23T08:18:00Z</cp:lastPrinted>
  <dcterms:modified xsi:type="dcterms:W3CDTF">2024-02-05T03:37:23Z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1213B020A891424CA3B21B4655CA8A3A</vt:lpwstr>
  </property>
</Properties>
</file>