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楷体" w:hAnsi="楷体" w:eastAsia="楷体" w:cs="楷体"/>
          <w:sz w:val="30"/>
          <w:szCs w:val="30"/>
        </w:rPr>
      </w:pPr>
    </w:p>
    <w:p>
      <w:pPr>
        <w:pStyle w:val="3"/>
        <w:jc w:val="center"/>
        <w:rPr>
          <w:rFonts w:hint="eastAsia" w:ascii="方正小标宋简体" w:hAnsi="方正小标宋简体" w:eastAsia="方正小标宋简体" w:cs="方正小标宋简体"/>
          <w:szCs w:val="36"/>
        </w:rPr>
      </w:pPr>
      <w:r>
        <w:rPr>
          <w:rFonts w:hint="eastAsia" w:ascii="黑体" w:hAnsi="黑体" w:cs="黑体"/>
          <w:sz w:val="44"/>
          <w:szCs w:val="44"/>
        </w:rPr>
        <w:t>九江市自然资源局柴桑区分局部门2022年度部门决算</w:t>
      </w:r>
    </w:p>
    <w:p>
      <w:pPr>
        <w:spacing w:line="600" w:lineRule="exact"/>
        <w:rPr>
          <w:rFonts w:hint="eastAsia" w:ascii="黑体" w:eastAsia="黑体"/>
          <w:sz w:val="44"/>
          <w:szCs w:val="36"/>
        </w:rPr>
      </w:pPr>
    </w:p>
    <w:p>
      <w:pPr>
        <w:spacing w:line="600" w:lineRule="exact"/>
        <w:jc w:val="center"/>
        <w:rPr>
          <w:rFonts w:hint="eastAsia" w:ascii="黑体" w:hAnsi="黑体" w:eastAsia="黑体" w:cs="黑体"/>
          <w:b/>
          <w:bCs/>
          <w:sz w:val="40"/>
          <w:szCs w:val="36"/>
        </w:rPr>
      </w:pPr>
      <w:r>
        <w:rPr>
          <w:rFonts w:hint="eastAsia" w:ascii="黑体" w:hAnsi="黑体" w:eastAsia="黑体" w:cs="黑体"/>
          <w:b/>
          <w:bCs/>
          <w:sz w:val="40"/>
          <w:szCs w:val="36"/>
        </w:rPr>
        <w:t>目    录</w:t>
      </w:r>
    </w:p>
    <w:p>
      <w:pPr>
        <w:widowControl/>
        <w:spacing w:line="600" w:lineRule="exact"/>
        <w:ind w:firstLine="640"/>
        <w:rPr>
          <w:rFonts w:hint="eastAsia" w:ascii="仿宋_GB2312" w:eastAsia="仿宋_GB2312"/>
          <w:sz w:val="32"/>
          <w:szCs w:val="30"/>
        </w:rPr>
      </w:pPr>
    </w:p>
    <w:p>
      <w:pPr>
        <w:widowControl/>
        <w:spacing w:line="600" w:lineRule="exact"/>
        <w:ind w:firstLine="640" w:firstLineChars="200"/>
        <w:rPr>
          <w:rFonts w:hint="eastAsia" w:ascii="黑体" w:hAnsi="黑体" w:eastAsia="黑体"/>
          <w:bCs/>
          <w:sz w:val="32"/>
          <w:szCs w:val="32"/>
        </w:rPr>
      </w:pPr>
      <w:r>
        <w:rPr>
          <w:rFonts w:hint="eastAsia" w:ascii="黑体" w:hAnsi="黑体" w:eastAsia="黑体"/>
          <w:bCs/>
          <w:sz w:val="32"/>
          <w:szCs w:val="32"/>
        </w:rPr>
        <w:t>第一部分  九江市自然资源局柴桑区分局部门概况</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一、部门主要职责</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二、部门基本情况</w:t>
      </w:r>
    </w:p>
    <w:p>
      <w:pPr>
        <w:widowControl/>
        <w:spacing w:line="600" w:lineRule="exact"/>
        <w:ind w:firstLine="640" w:firstLineChars="200"/>
        <w:rPr>
          <w:rFonts w:hint="eastAsia" w:ascii="黑体" w:hAnsi="黑体" w:eastAsia="黑体"/>
          <w:sz w:val="32"/>
          <w:szCs w:val="32"/>
        </w:rPr>
      </w:pPr>
      <w:r>
        <w:rPr>
          <w:rFonts w:hint="eastAsia" w:ascii="黑体" w:hAnsi="黑体" w:eastAsia="黑体"/>
          <w:sz w:val="32"/>
          <w:szCs w:val="32"/>
        </w:rPr>
        <w:t>第二部分  2022年度部门决算表</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三、支出决算表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四、财政拨款收入支出决算总表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五、一般公共预算财政拨款支出决算表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六、一般公共预算财政拨款基本支出决算表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七、政府性基金预算财政拨款收入支出决算表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八、国有资本经营预算财政拨款支出决算表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九、财政拨款“三公”经费支出决算表</w:t>
      </w:r>
    </w:p>
    <w:p>
      <w:pPr>
        <w:widowControl/>
        <w:spacing w:line="600" w:lineRule="exact"/>
        <w:ind w:firstLine="1280" w:firstLineChars="400"/>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十、国有资产占用情况表</w:t>
      </w:r>
    </w:p>
    <w:p>
      <w:pPr>
        <w:widowControl/>
        <w:spacing w:line="600" w:lineRule="exact"/>
        <w:ind w:firstLine="640" w:firstLineChars="200"/>
        <w:rPr>
          <w:rFonts w:hint="eastAsia" w:ascii="黑体" w:hAnsi="黑体" w:eastAsia="黑体"/>
          <w:sz w:val="32"/>
          <w:szCs w:val="32"/>
        </w:rPr>
      </w:pPr>
      <w:r>
        <w:rPr>
          <w:rFonts w:hint="eastAsia" w:ascii="黑体" w:hAnsi="黑体" w:eastAsia="黑体"/>
          <w:sz w:val="32"/>
          <w:szCs w:val="32"/>
        </w:rPr>
        <w:t>第三部分  2022年度部门决算情况说明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五、财政拨款“三公”经费支出决算情况说明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七、政府采购支出情况说明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八、国有资产占用情况说明</w:t>
      </w:r>
    </w:p>
    <w:p>
      <w:pPr>
        <w:widowControl/>
        <w:spacing w:line="600" w:lineRule="exact"/>
        <w:ind w:firstLine="1280" w:firstLineChars="400"/>
        <w:rPr>
          <w:rFonts w:hint="eastAsia" w:ascii="仿宋_GB2312" w:hAnsi="仿宋_GB2312" w:eastAsia="仿宋_GB2312"/>
          <w:sz w:val="32"/>
          <w:szCs w:val="30"/>
        </w:rPr>
      </w:pPr>
      <w:r>
        <w:rPr>
          <w:rFonts w:hint="eastAsia" w:ascii="仿宋_GB2312" w:hAnsi="仿宋_GB2312" w:eastAsia="仿宋_GB2312"/>
          <w:sz w:val="32"/>
          <w:szCs w:val="30"/>
        </w:rPr>
        <w:t>九、预算绩效情况说明</w:t>
      </w:r>
    </w:p>
    <w:p>
      <w:pPr>
        <w:widowControl/>
        <w:spacing w:line="600" w:lineRule="exact"/>
        <w:ind w:firstLine="640" w:firstLineChars="200"/>
        <w:rPr>
          <w:rFonts w:hint="eastAsia" w:ascii="黑体" w:hAnsi="黑体" w:eastAsia="黑体"/>
          <w:sz w:val="32"/>
          <w:szCs w:val="32"/>
        </w:rPr>
      </w:pPr>
      <w:r>
        <w:rPr>
          <w:rFonts w:hint="eastAsia" w:ascii="黑体" w:hAnsi="黑体" w:eastAsia="黑体"/>
          <w:sz w:val="32"/>
          <w:szCs w:val="32"/>
        </w:rPr>
        <w:t>第四部分  名词解释</w:t>
      </w:r>
    </w:p>
    <w:p>
      <w:pPr>
        <w:widowControl/>
        <w:spacing w:line="600" w:lineRule="exact"/>
        <w:ind w:firstLine="640" w:firstLineChars="200"/>
        <w:rPr>
          <w:rFonts w:ascii="黑体" w:hAnsi="黑体" w:eastAsia="黑体"/>
          <w:sz w:val="32"/>
          <w:szCs w:val="32"/>
        </w:rPr>
      </w:pPr>
      <w:r>
        <w:rPr>
          <w:rFonts w:hint="eastAsia" w:ascii="黑体" w:hAnsi="黑体" w:eastAsia="黑体"/>
          <w:sz w:val="32"/>
          <w:szCs w:val="32"/>
        </w:rPr>
        <w:t>第五部分  附件</w:t>
      </w:r>
    </w:p>
    <w:p>
      <w:pPr>
        <w:spacing w:line="600" w:lineRule="exact"/>
        <w:ind w:firstLine="630"/>
        <w:rPr>
          <w:rFonts w:hint="eastAsia" w:ascii="宋体" w:hAnsi="宋体"/>
          <w:b/>
          <w:sz w:val="32"/>
          <w:szCs w:val="30"/>
        </w:rPr>
      </w:pPr>
      <w:r>
        <w:rPr>
          <w:rFonts w:hint="eastAsia" w:ascii="宋体" w:hAnsi="宋体"/>
          <w:b/>
          <w:sz w:val="36"/>
          <w:szCs w:val="36"/>
        </w:rPr>
        <w:br w:type="page"/>
      </w:r>
    </w:p>
    <w:p>
      <w:pPr>
        <w:widowControl/>
        <w:spacing w:line="60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第一部分  九江市自然资源局柴桑区分局部门概况</w:t>
      </w:r>
    </w:p>
    <w:p>
      <w:pPr>
        <w:spacing w:line="600" w:lineRule="exact"/>
        <w:ind w:firstLine="630"/>
        <w:rPr>
          <w:rFonts w:hint="eastAsia"/>
          <w:sz w:val="32"/>
          <w:szCs w:val="32"/>
        </w:rPr>
      </w:pPr>
    </w:p>
    <w:p>
      <w:pPr>
        <w:spacing w:line="600" w:lineRule="exact"/>
        <w:ind w:firstLine="630"/>
        <w:rPr>
          <w:rFonts w:hint="eastAsia" w:ascii="黑体" w:hAnsi="黑体" w:eastAsia="黑体"/>
          <w:sz w:val="32"/>
          <w:szCs w:val="32"/>
        </w:rPr>
      </w:pPr>
      <w:r>
        <w:rPr>
          <w:rFonts w:hint="eastAsia" w:ascii="黑体" w:hAnsi="黑体" w:eastAsia="黑体"/>
          <w:sz w:val="32"/>
          <w:szCs w:val="32"/>
        </w:rPr>
        <w:t>一、部门主要职能</w:t>
      </w:r>
    </w:p>
    <w:p>
      <w:pPr>
        <w:pStyle w:val="4"/>
        <w:spacing w:before="240" w:beforeAutospacing="0" w:after="0" w:afterAutospacing="0" w:line="480" w:lineRule="atLeast"/>
        <w:ind w:firstLine="446"/>
        <w:jc w:val="both"/>
        <w:rPr>
          <w:rFonts w:hint="eastAsia"/>
          <w:color w:val="333333"/>
          <w:sz w:val="32"/>
          <w:szCs w:val="32"/>
        </w:rPr>
      </w:pPr>
      <w:r>
        <w:rPr>
          <w:rFonts w:hint="eastAsia" w:ascii="微软雅黑" w:hAnsi="微软雅黑" w:eastAsia="微软雅黑"/>
          <w:color w:val="333333"/>
          <w:sz w:val="30"/>
          <w:szCs w:val="30"/>
        </w:rPr>
        <w:t>（一）</w:t>
      </w:r>
      <w:r>
        <w:rPr>
          <w:rFonts w:hint="eastAsia"/>
          <w:color w:val="000000"/>
          <w:sz w:val="32"/>
          <w:szCs w:val="32"/>
        </w:rPr>
        <w:t>履行全民所有土地、矿产、森林、草地、湿地、水等自然资源资产所有者职责和所有国土空间用途管制职责。贯彻执行国家自然资源和国土空间规划及测绘等法律法规，拟订自然资源和国土空间规划及测绘等规范性文件，制定相关管理制度并监督执行。</w:t>
      </w:r>
    </w:p>
    <w:p>
      <w:pPr>
        <w:pStyle w:val="4"/>
        <w:spacing w:before="240" w:beforeAutospacing="0" w:after="0" w:afterAutospacing="0" w:line="480" w:lineRule="atLeast"/>
        <w:ind w:firstLine="446"/>
        <w:jc w:val="both"/>
        <w:rPr>
          <w:rFonts w:hint="eastAsia"/>
          <w:color w:val="333333"/>
          <w:sz w:val="32"/>
          <w:szCs w:val="32"/>
        </w:rPr>
      </w:pPr>
      <w:bookmarkStart w:id="0" w:name="bookmark27"/>
      <w:bookmarkEnd w:id="0"/>
      <w:r>
        <w:rPr>
          <w:rFonts w:hint="eastAsia"/>
          <w:color w:val="333333"/>
          <w:sz w:val="32"/>
          <w:szCs w:val="32"/>
        </w:rPr>
        <w:t>（二）负责自然资源调查监测评价。执行全区自然资源调查监测评价的指标体系和统计标准。实施自然资源基础调查、专项调查和监测。负责自然资源调查监测评价成果的监督管理和信息发布。</w:t>
      </w:r>
    </w:p>
    <w:p>
      <w:pPr>
        <w:pStyle w:val="4"/>
        <w:spacing w:before="240" w:beforeAutospacing="0" w:after="0" w:afterAutospacing="0" w:line="480" w:lineRule="atLeast"/>
        <w:ind w:firstLine="446"/>
        <w:jc w:val="both"/>
        <w:rPr>
          <w:rFonts w:hint="eastAsia"/>
          <w:color w:val="333333"/>
          <w:sz w:val="32"/>
          <w:szCs w:val="32"/>
        </w:rPr>
      </w:pPr>
      <w:bookmarkStart w:id="1" w:name="bookmark28"/>
      <w:bookmarkEnd w:id="1"/>
      <w:r>
        <w:rPr>
          <w:rFonts w:hint="eastAsia"/>
          <w:color w:val="333333"/>
          <w:sz w:val="32"/>
          <w:szCs w:val="32"/>
        </w:rPr>
        <w:t>（三）负责自然资源统一确权登记工作。执行各类自然资源和不动产统一确权登记、权籍调查、不动产测绘、争议调处、成果应用的制度。建立健全全区自然资源和不动产登记信息管理基础平台。负责自然资源和不动产登记资料收集、整理、共享、汇交管理等。负责全区自然资源和不动产确权登记工作。</w:t>
      </w:r>
    </w:p>
    <w:p>
      <w:pPr>
        <w:pStyle w:val="4"/>
        <w:spacing w:before="240" w:beforeAutospacing="0" w:after="0" w:afterAutospacing="0" w:line="480" w:lineRule="atLeast"/>
        <w:ind w:firstLine="446"/>
        <w:jc w:val="both"/>
        <w:rPr>
          <w:rFonts w:hint="eastAsia"/>
          <w:color w:val="333333"/>
          <w:sz w:val="32"/>
          <w:szCs w:val="32"/>
        </w:rPr>
      </w:pPr>
      <w:bookmarkStart w:id="2" w:name="bookmark29"/>
      <w:bookmarkEnd w:id="2"/>
      <w:r>
        <w:rPr>
          <w:rFonts w:hint="eastAsia"/>
          <w:color w:val="333333"/>
          <w:sz w:val="32"/>
          <w:szCs w:val="32"/>
        </w:rPr>
        <w:t>（四）负责自然资源资产有偿使用工作。贯彻执行全民所有自然资源资产统计制度，负责全民所有自然资源资产核算。编制全民所有自然资源资产负债表，拟订考核标准。拟订全民所有自然资源资产划拨、出让、租赁、作价出资和土地储备制度，合理配置全民所有自然资源资产。负责自然资源资产价值评估管理，依法收缴相关资产收益。</w:t>
      </w:r>
    </w:p>
    <w:p>
      <w:pPr>
        <w:pStyle w:val="4"/>
        <w:spacing w:before="240" w:beforeAutospacing="0" w:after="0" w:afterAutospacing="0" w:line="480" w:lineRule="atLeast"/>
        <w:ind w:firstLine="446"/>
        <w:jc w:val="both"/>
        <w:rPr>
          <w:rFonts w:hint="eastAsia"/>
          <w:color w:val="333333"/>
          <w:sz w:val="32"/>
          <w:szCs w:val="32"/>
        </w:rPr>
      </w:pPr>
      <w:bookmarkStart w:id="3" w:name="bookmark30"/>
      <w:bookmarkEnd w:id="3"/>
      <w:r>
        <w:rPr>
          <w:rFonts w:hint="eastAsia"/>
          <w:color w:val="333333"/>
          <w:sz w:val="32"/>
          <w:szCs w:val="32"/>
        </w:rPr>
        <w:t>（五）负责自然资源的合理开发利用。组织拟订自然资源发展规划及开发利用标准，建立政府公示自然资源价格体系，组织开展自然资源分等定级评估，开展自然资源利用评价考核，指导节约集约利用。负责自然资源市场监管。组织研究全区自然资源管理涉及宏观调控、区域协调和城乡统筹的政策措施。</w:t>
      </w:r>
    </w:p>
    <w:p>
      <w:pPr>
        <w:pStyle w:val="4"/>
        <w:spacing w:before="240" w:beforeAutospacing="0" w:after="0" w:afterAutospacing="0" w:line="480" w:lineRule="atLeast"/>
        <w:ind w:firstLine="446"/>
        <w:jc w:val="both"/>
        <w:rPr>
          <w:rFonts w:hint="eastAsia"/>
          <w:color w:val="333333"/>
          <w:sz w:val="32"/>
          <w:szCs w:val="32"/>
        </w:rPr>
      </w:pPr>
      <w:bookmarkStart w:id="4" w:name="bookmark31"/>
      <w:bookmarkEnd w:id="4"/>
      <w:r>
        <w:rPr>
          <w:rFonts w:hint="eastAsia"/>
          <w:color w:val="333333"/>
          <w:sz w:val="32"/>
          <w:szCs w:val="32"/>
        </w:rPr>
        <w:t>（六）负责建立空间规划体系并监督实施。推进落实主体功能区战略和制度，组织编制并监督实施国土空间规划、相关专项规划、详细规划和城市设计。开展资源环境承载力和国土空间开发适宜性评价，建立国土空间规划实施监测、评估和预警体系。组织划定生态保护红线、永久基本农田、城镇开发边界等控制线，构建节约资源和保护环境的生产、生活、生态空间布局。建立健全国土空间用途管制制度，研究拟订全区城乡规划政策并监督实施。组织拟订并实施土地等自然资源年度利用计划。负责柴桑区城乡规划实施统一管理，依法对全区各类建设项目核发建设项目选址意见书、建设用地规划许可证、建设工程规划许可证和乡村建设规划许可证，负责已批建设项目的批后监管和规划条件核实工作。负责指导监督基层规划编制管理。负责土地等国土空间用途转用工作。负责土地征收征用管理。</w:t>
      </w:r>
    </w:p>
    <w:p>
      <w:pPr>
        <w:pStyle w:val="4"/>
        <w:spacing w:before="240" w:beforeAutospacing="0" w:after="0" w:afterAutospacing="0" w:line="480" w:lineRule="atLeast"/>
        <w:ind w:firstLine="446"/>
        <w:jc w:val="both"/>
        <w:rPr>
          <w:rFonts w:hint="eastAsia"/>
          <w:color w:val="333333"/>
          <w:sz w:val="32"/>
          <w:szCs w:val="32"/>
        </w:rPr>
      </w:pPr>
      <w:bookmarkStart w:id="5" w:name="bookmark32"/>
      <w:bookmarkEnd w:id="5"/>
      <w:r>
        <w:rPr>
          <w:rFonts w:hint="eastAsia"/>
          <w:color w:val="333333"/>
          <w:sz w:val="32"/>
          <w:szCs w:val="32"/>
        </w:rPr>
        <w:t>（七）负责统筹国土空间生态修复。牵头组织编制国土空间生态修复规划并实施有关生态修复工程。负责国土空间综合整治、土地整理复垦、矿山地质环境恢复治理、矿业遗迹保护等工作。</w:t>
      </w:r>
    </w:p>
    <w:p>
      <w:pPr>
        <w:pStyle w:val="4"/>
        <w:spacing w:before="240" w:beforeAutospacing="0" w:after="0" w:afterAutospacing="0" w:line="480" w:lineRule="atLeast"/>
        <w:ind w:firstLine="317"/>
        <w:jc w:val="both"/>
        <w:rPr>
          <w:rFonts w:hint="eastAsia"/>
          <w:color w:val="333333"/>
          <w:sz w:val="32"/>
          <w:szCs w:val="32"/>
        </w:rPr>
      </w:pPr>
      <w:bookmarkStart w:id="6" w:name="bookmark33"/>
      <w:bookmarkEnd w:id="6"/>
      <w:r>
        <w:rPr>
          <w:rFonts w:hint="eastAsia"/>
          <w:color w:val="333333"/>
          <w:sz w:val="32"/>
          <w:szCs w:val="32"/>
        </w:rPr>
        <w:t>（八）负责组织实施最严格的耕地保护制度。牵头拟订并实施耕地保护政策，负责耕地数量、质量、生态保护。组织实施耕地保护责任目标考核和永久基本农田特殊保护。完善耕地占补平衡制度，监督占用耕地补偿制度执行情况。</w:t>
      </w:r>
    </w:p>
    <w:p>
      <w:pPr>
        <w:pStyle w:val="4"/>
        <w:spacing w:before="240" w:beforeAutospacing="0" w:after="0" w:afterAutospacing="0" w:line="480" w:lineRule="atLeast"/>
        <w:ind w:firstLine="346"/>
        <w:jc w:val="both"/>
        <w:rPr>
          <w:rFonts w:hint="eastAsia"/>
          <w:color w:val="333333"/>
          <w:sz w:val="32"/>
          <w:szCs w:val="32"/>
        </w:rPr>
      </w:pPr>
      <w:r>
        <w:rPr>
          <w:rFonts w:hint="eastAsia"/>
          <w:color w:val="000000"/>
          <w:sz w:val="32"/>
          <w:szCs w:val="32"/>
        </w:rPr>
        <w:t>（九）负责管理地质勘查行业和全区地质工作。执行地质勘查规划并监督检查执行情况。监督管理上级自然资源部门委托的地质调查、矿产勘查项目。负责监督管理地下水过量开采、疏干及引发的地面沉降等地质问题。负责古生物化石等地质遗迹的监督管理。</w:t>
      </w:r>
    </w:p>
    <w:p>
      <w:pPr>
        <w:pStyle w:val="4"/>
        <w:spacing w:before="240" w:beforeAutospacing="0" w:after="0" w:afterAutospacing="0" w:line="480" w:lineRule="atLeast"/>
        <w:ind w:firstLine="346"/>
        <w:jc w:val="both"/>
        <w:rPr>
          <w:rFonts w:hint="eastAsia"/>
          <w:color w:val="333333"/>
          <w:sz w:val="32"/>
          <w:szCs w:val="32"/>
        </w:rPr>
      </w:pPr>
      <w:r>
        <w:rPr>
          <w:rFonts w:hint="eastAsia"/>
          <w:color w:val="000000"/>
          <w:sz w:val="32"/>
          <w:szCs w:val="32"/>
        </w:rPr>
        <w:t>（十）负责矿产资源管理工作。负责权限内的矿产资源储量管理及压覆矿产资源审批。负责矿业权管理。会同有关部门承担保护性开采的特定矿种、优势矿产的调控及相关管理工作。监督指导矿产资源合理利用和保护。</w:t>
      </w:r>
    </w:p>
    <w:p>
      <w:pPr>
        <w:pStyle w:val="4"/>
        <w:spacing w:before="240" w:beforeAutospacing="0" w:after="0" w:afterAutospacing="0" w:line="480" w:lineRule="atLeast"/>
        <w:ind w:firstLine="475"/>
        <w:jc w:val="both"/>
        <w:rPr>
          <w:rFonts w:hint="eastAsia"/>
          <w:color w:val="333333"/>
          <w:sz w:val="32"/>
          <w:szCs w:val="32"/>
        </w:rPr>
      </w:pPr>
      <w:r>
        <w:rPr>
          <w:rFonts w:hint="eastAsia"/>
          <w:color w:val="333333"/>
          <w:sz w:val="32"/>
          <w:szCs w:val="32"/>
        </w:rPr>
        <w:t>（十一）负责测绘地理信息管理工作。负责基础测绘和测绘行业管理。负责测绘资质资格与信用管理，监督管理全区地理信息安全和市场秩序。负责地理信息公共服务管理。负责测量标志保护。规范和管理权限内卫星导航定位基准站。</w:t>
      </w:r>
    </w:p>
    <w:p>
      <w:pPr>
        <w:pStyle w:val="4"/>
        <w:spacing w:before="240" w:beforeAutospacing="0" w:after="0" w:afterAutospacing="0" w:line="480" w:lineRule="atLeast"/>
        <w:ind w:firstLine="346"/>
        <w:jc w:val="both"/>
        <w:rPr>
          <w:rFonts w:hint="eastAsia"/>
          <w:color w:val="333333"/>
          <w:sz w:val="32"/>
          <w:szCs w:val="32"/>
        </w:rPr>
      </w:pPr>
      <w:r>
        <w:rPr>
          <w:rFonts w:hint="eastAsia"/>
          <w:color w:val="333333"/>
          <w:sz w:val="32"/>
          <w:szCs w:val="32"/>
        </w:rPr>
        <w:t>（十二）组织实施自然资源执法监察，依法保护自然资源，维护自然资源使用者的合法权益，依法查处各类自然资源违法案件。</w:t>
      </w:r>
    </w:p>
    <w:p>
      <w:pPr>
        <w:pStyle w:val="4"/>
        <w:spacing w:before="240" w:beforeAutospacing="0" w:after="0" w:afterAutospacing="0" w:line="480" w:lineRule="atLeast"/>
        <w:ind w:firstLine="346"/>
        <w:jc w:val="both"/>
        <w:rPr>
          <w:rFonts w:hint="eastAsia"/>
          <w:color w:val="333333"/>
          <w:sz w:val="32"/>
          <w:szCs w:val="32"/>
        </w:rPr>
      </w:pPr>
      <w:r>
        <w:rPr>
          <w:rFonts w:hint="eastAsia"/>
          <w:color w:val="333333"/>
          <w:sz w:val="32"/>
          <w:szCs w:val="32"/>
        </w:rPr>
        <w:t>（十三）推动自然资源领域科技发展。实施自然资源领域科技创新发展和人才培养规划和计划。组织实施技术标准规程规范。组织实施重大科技工程及创新能力建设，推进自然资源信息化和信息资料的公共服务。组织开展自然资源领域对外交流合作。</w:t>
      </w:r>
    </w:p>
    <w:p>
      <w:pPr>
        <w:pStyle w:val="4"/>
        <w:spacing w:before="240" w:beforeAutospacing="0" w:after="0" w:afterAutospacing="0" w:line="480" w:lineRule="atLeast"/>
        <w:ind w:firstLine="346"/>
        <w:jc w:val="both"/>
        <w:rPr>
          <w:rFonts w:hint="eastAsia"/>
          <w:color w:val="333333"/>
          <w:sz w:val="32"/>
          <w:szCs w:val="32"/>
        </w:rPr>
      </w:pPr>
      <w:r>
        <w:rPr>
          <w:rFonts w:hint="eastAsia"/>
          <w:color w:val="333333"/>
          <w:sz w:val="32"/>
          <w:szCs w:val="32"/>
        </w:rPr>
        <w:t>（十四）根据区委、区政府授权，对全区落实关于自然资源和国土空间规划的方针政策、决策部署及法律法规执行情况进行检查。</w:t>
      </w:r>
    </w:p>
    <w:p>
      <w:pPr>
        <w:pStyle w:val="4"/>
        <w:spacing w:before="240" w:beforeAutospacing="0" w:after="202" w:afterAutospacing="0" w:line="480" w:lineRule="atLeast"/>
        <w:ind w:firstLine="418"/>
        <w:jc w:val="both"/>
        <w:rPr>
          <w:rFonts w:hint="eastAsia"/>
          <w:color w:val="333333"/>
          <w:sz w:val="32"/>
          <w:szCs w:val="32"/>
        </w:rPr>
      </w:pPr>
      <w:r>
        <w:rPr>
          <w:rFonts w:hint="eastAsia"/>
          <w:color w:val="333333"/>
          <w:sz w:val="32"/>
          <w:szCs w:val="32"/>
        </w:rPr>
        <w:t>（十五）完成市自然资源局和区委、区政府交办的其他工作任务。</w:t>
      </w:r>
    </w:p>
    <w:p>
      <w:pPr>
        <w:spacing w:line="600" w:lineRule="exact"/>
        <w:ind w:firstLine="630"/>
        <w:rPr>
          <w:rFonts w:hint="eastAsia" w:ascii="黑体" w:hAnsi="黑体" w:eastAsia="黑体"/>
          <w:sz w:val="32"/>
          <w:szCs w:val="32"/>
        </w:rPr>
      </w:pPr>
      <w:r>
        <w:rPr>
          <w:rFonts w:hint="eastAsia" w:ascii="黑体" w:hAnsi="黑体" w:eastAsia="黑体"/>
          <w:sz w:val="32"/>
          <w:szCs w:val="32"/>
        </w:rPr>
        <w:t>二、部门基本情况</w:t>
      </w:r>
    </w:p>
    <w:p>
      <w:pPr>
        <w:spacing w:line="600" w:lineRule="exact"/>
        <w:ind w:firstLine="630"/>
        <w:rPr>
          <w:rFonts w:hint="eastAsia" w:cs="华文仿宋"/>
          <w:sz w:val="32"/>
          <w:szCs w:val="32"/>
        </w:rPr>
      </w:pPr>
      <w:r>
        <w:rPr>
          <w:rFonts w:hint="eastAsia" w:ascii="宋体" w:hAnsi="宋体" w:cs="宋体"/>
          <w:sz w:val="32"/>
          <w:szCs w:val="32"/>
        </w:rPr>
        <w:t>纳入本套部门决算汇编范围的单位共  1 个，</w:t>
      </w:r>
      <w:r>
        <w:rPr>
          <w:rFonts w:hint="eastAsia" w:cs="华文仿宋"/>
          <w:sz w:val="32"/>
          <w:szCs w:val="32"/>
        </w:rPr>
        <w:t>九江市自然资源局柴桑区分局共有预算单位一个即九江市自然资源局柴桑区分局，九江市自然资源局柴桑区分局</w:t>
      </w:r>
      <w:r>
        <w:rPr>
          <w:rFonts w:cs="仿宋"/>
          <w:spacing w:val="10"/>
          <w:sz w:val="32"/>
          <w:szCs w:val="32"/>
        </w:rPr>
        <w:t>为九江市自然资源局派出机构</w:t>
      </w:r>
      <w:r>
        <w:rPr>
          <w:rFonts w:hint="eastAsia" w:cs="仿宋"/>
          <w:spacing w:val="10"/>
          <w:sz w:val="32"/>
          <w:szCs w:val="32"/>
        </w:rPr>
        <w:t>，</w:t>
      </w:r>
      <w:r>
        <w:rPr>
          <w:rFonts w:hint="eastAsia" w:cs="华文仿宋"/>
          <w:sz w:val="32"/>
          <w:szCs w:val="32"/>
        </w:rPr>
        <w:t>为正科级。机构内设4个职能科室（综合股、国土空间规划股、耕地保护利用股、矿产资源管理股）下属3个非独立核算事业单位（九江市自然资源储备利用中心柴桑区分中心、柴桑区自然资源执法监察大队、市不动产登记中心柴桑区分中心）</w:t>
      </w:r>
    </w:p>
    <w:p>
      <w:pPr>
        <w:spacing w:line="600" w:lineRule="exact"/>
        <w:ind w:firstLine="630"/>
        <w:rPr>
          <w:rFonts w:hint="eastAsia" w:ascii="宋体" w:hAnsi="宋体" w:cs="宋体"/>
          <w:sz w:val="32"/>
          <w:szCs w:val="32"/>
        </w:rPr>
      </w:pPr>
      <w:r>
        <w:rPr>
          <w:rFonts w:hint="eastAsia" w:ascii="宋体" w:hAnsi="宋体" w:cs="宋体"/>
          <w:sz w:val="32"/>
          <w:szCs w:val="32"/>
        </w:rPr>
        <w:t>本部门2022年年末实有人数  84 人，其中在职人员84  人，离休人员 0  人，退休人员 0 人（不</w:t>
      </w:r>
      <w:r>
        <w:rPr>
          <w:rFonts w:hint="eastAsia" w:ascii="宋体" w:hAnsi="宋体" w:cs="宋体"/>
          <w:sz w:val="32"/>
          <w:szCs w:val="32"/>
          <w:lang w:eastAsia="zh-CN"/>
        </w:rPr>
        <w:t>含有</w:t>
      </w:r>
      <w:r>
        <w:rPr>
          <w:rFonts w:hint="eastAsia" w:ascii="宋体" w:hAnsi="宋体" w:cs="宋体"/>
          <w:sz w:val="32"/>
          <w:szCs w:val="32"/>
        </w:rPr>
        <w:t>养老保险基金发放养老金的离退休人员）；年末其他人员 0 人；年末学生人数 0 人；由养老保险基金发放养老金的离退休人员 45 人。</w:t>
      </w:r>
    </w:p>
    <w:p>
      <w:pPr>
        <w:spacing w:line="600" w:lineRule="exact"/>
        <w:ind w:firstLine="630"/>
        <w:rPr>
          <w:rFonts w:hint="eastAsia" w:ascii="仿宋_GB2312" w:hAnsi="仿宋_GB2312" w:eastAsia="仿宋_GB2312"/>
          <w:sz w:val="30"/>
          <w:szCs w:val="30"/>
        </w:rPr>
      </w:pPr>
      <w:r>
        <w:rPr>
          <w:rFonts w:hint="eastAsia" w:ascii="仿宋_GB2312" w:hAnsi="仿宋_GB2312" w:eastAsia="仿宋_GB2312"/>
          <w:sz w:val="30"/>
          <w:szCs w:val="30"/>
        </w:rPr>
        <w:br w:type="page"/>
      </w:r>
    </w:p>
    <w:p>
      <w:pPr>
        <w:spacing w:line="600" w:lineRule="exact"/>
        <w:jc w:val="center"/>
        <w:rPr>
          <w:rFonts w:hint="eastAsia" w:ascii="方正小标宋简体" w:hAnsi="方正小标宋简体" w:eastAsia="方正小标宋简体" w:cs="方正小标宋简体"/>
          <w:bCs/>
          <w:sz w:val="44"/>
          <w:szCs w:val="44"/>
        </w:rPr>
      </w:pPr>
      <w:r>
        <w:rPr>
          <w:rFonts w:hint="eastAsia" w:ascii="方正公文小标宋" w:hAnsi="方正公文小标宋" w:eastAsia="方正公文小标宋" w:cs="方正公文小标宋"/>
          <w:bCs/>
          <w:sz w:val="44"/>
          <w:szCs w:val="44"/>
        </w:rPr>
        <w:t>第二部分  2022年度部门决算表</w:t>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center"/>
        <w:rPr>
          <w:rFonts w:hint="eastAsia"/>
        </w:rPr>
      </w:pPr>
      <w:r>
        <w:rPr>
          <w:rFonts w:hint="eastAsia"/>
        </w:rPr>
        <w:drawing>
          <wp:inline distT="0" distB="0" distL="114300" distR="114300">
            <wp:extent cx="5273040" cy="5233670"/>
            <wp:effectExtent l="0" t="0" r="3810" b="5080"/>
            <wp:docPr id="1" name="图片 11" descr="a740d863f4cbb466278d6b5dc6ef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a740d863f4cbb466278d6b5dc6ef021"/>
                    <pic:cNvPicPr>
                      <a:picLocks noChangeAspect="1"/>
                    </pic:cNvPicPr>
                  </pic:nvPicPr>
                  <pic:blipFill>
                    <a:blip r:embed="rId4"/>
                    <a:stretch>
                      <a:fillRect/>
                    </a:stretch>
                  </pic:blipFill>
                  <pic:spPr>
                    <a:xfrm>
                      <a:off x="0" y="0"/>
                      <a:ext cx="5273040" cy="5233670"/>
                    </a:xfrm>
                    <a:prstGeom prst="rect">
                      <a:avLst/>
                    </a:prstGeom>
                    <a:noFill/>
                    <a:ln>
                      <a:noFill/>
                    </a:ln>
                  </pic:spPr>
                </pic:pic>
              </a:graphicData>
            </a:graphic>
          </wp:inline>
        </w:drawing>
      </w:r>
    </w:p>
    <w:p>
      <w:pPr>
        <w:autoSpaceDE w:val="0"/>
        <w:autoSpaceDN w:val="0"/>
        <w:adjustRightInd w:val="0"/>
        <w:spacing w:line="360" w:lineRule="auto"/>
        <w:jc w:val="left"/>
        <w:rPr>
          <w:rFonts w:hint="eastAsia"/>
        </w:rPr>
      </w:pPr>
    </w:p>
    <w:p>
      <w:pPr>
        <w:autoSpaceDE w:val="0"/>
        <w:autoSpaceDN w:val="0"/>
        <w:adjustRightInd w:val="0"/>
        <w:spacing w:line="360" w:lineRule="auto"/>
        <w:jc w:val="left"/>
        <w:rPr>
          <w:rFonts w:hint="eastAsia"/>
        </w:rPr>
      </w:pPr>
    </w:p>
    <w:p>
      <w:pPr>
        <w:autoSpaceDE w:val="0"/>
        <w:autoSpaceDN w:val="0"/>
        <w:adjustRightInd w:val="0"/>
        <w:spacing w:line="360" w:lineRule="auto"/>
        <w:jc w:val="center"/>
        <w:rPr>
          <w:rFonts w:hint="eastAsia"/>
        </w:rPr>
      </w:pPr>
      <w:r>
        <w:rPr>
          <w:rFonts w:hint="eastAsia"/>
        </w:rPr>
        <w:drawing>
          <wp:inline distT="0" distB="0" distL="114300" distR="114300">
            <wp:extent cx="5268595" cy="3024505"/>
            <wp:effectExtent l="0" t="0" r="8255" b="4445"/>
            <wp:docPr id="2" name="图片 12" descr="f67c373ce8106dc5b192b14fb16c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f67c373ce8106dc5b192b14fb16c846"/>
                    <pic:cNvPicPr>
                      <a:picLocks noChangeAspect="1"/>
                    </pic:cNvPicPr>
                  </pic:nvPicPr>
                  <pic:blipFill>
                    <a:blip r:embed="rId5"/>
                    <a:stretch>
                      <a:fillRect/>
                    </a:stretch>
                  </pic:blipFill>
                  <pic:spPr>
                    <a:xfrm>
                      <a:off x="0" y="0"/>
                      <a:ext cx="5268595" cy="302450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center"/>
        <w:rPr>
          <w:rFonts w:hint="eastAsia"/>
        </w:rPr>
      </w:pPr>
      <w:r>
        <w:rPr>
          <w:rFonts w:hint="eastAsia"/>
        </w:rPr>
        <w:drawing>
          <wp:inline distT="0" distB="0" distL="114300" distR="114300">
            <wp:extent cx="5270500" cy="3777615"/>
            <wp:effectExtent l="0" t="0" r="6350" b="13335"/>
            <wp:docPr id="3" name="图片 13" descr="f914581daf58c4c758085c40d57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f914581daf58c4c758085c40d577574"/>
                    <pic:cNvPicPr>
                      <a:picLocks noChangeAspect="1"/>
                    </pic:cNvPicPr>
                  </pic:nvPicPr>
                  <pic:blipFill>
                    <a:blip r:embed="rId6"/>
                    <a:stretch>
                      <a:fillRect/>
                    </a:stretch>
                  </pic:blipFill>
                  <pic:spPr>
                    <a:xfrm>
                      <a:off x="0" y="0"/>
                      <a:ext cx="5270500" cy="377761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center"/>
        <w:rPr>
          <w:rFonts w:hint="eastAsia"/>
        </w:rPr>
      </w:pPr>
      <w:r>
        <w:rPr>
          <w:rFonts w:hint="eastAsia"/>
        </w:rPr>
        <w:drawing>
          <wp:inline distT="0" distB="0" distL="114300" distR="114300">
            <wp:extent cx="5271135" cy="3830320"/>
            <wp:effectExtent l="0" t="0" r="5715" b="17780"/>
            <wp:docPr id="4" name="图片 14" descr="ff60b6a90aec7b32cde275f88d34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ff60b6a90aec7b32cde275f88d34bbc"/>
                    <pic:cNvPicPr>
                      <a:picLocks noChangeAspect="1"/>
                    </pic:cNvPicPr>
                  </pic:nvPicPr>
                  <pic:blipFill>
                    <a:blip r:embed="rId7"/>
                    <a:stretch>
                      <a:fillRect/>
                    </a:stretch>
                  </pic:blipFill>
                  <pic:spPr>
                    <a:xfrm>
                      <a:off x="0" y="0"/>
                      <a:ext cx="5271135" cy="383032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center"/>
        <w:rPr>
          <w:rFonts w:hint="eastAsia"/>
        </w:rPr>
      </w:pPr>
      <w:r>
        <w:rPr>
          <w:rFonts w:hint="eastAsia"/>
        </w:rPr>
        <w:drawing>
          <wp:inline distT="0" distB="0" distL="114300" distR="114300">
            <wp:extent cx="5269230" cy="4318635"/>
            <wp:effectExtent l="0" t="0" r="7620" b="5715"/>
            <wp:docPr id="5" name="图片 15" descr="6f334be8aa51679a8047da5ae11b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6f334be8aa51679a8047da5ae11b8e0"/>
                    <pic:cNvPicPr>
                      <a:picLocks noChangeAspect="1"/>
                    </pic:cNvPicPr>
                  </pic:nvPicPr>
                  <pic:blipFill>
                    <a:blip r:embed="rId8"/>
                    <a:stretch>
                      <a:fillRect/>
                    </a:stretch>
                  </pic:blipFill>
                  <pic:spPr>
                    <a:xfrm>
                      <a:off x="0" y="0"/>
                      <a:ext cx="5269230" cy="431863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center"/>
        <w:rPr>
          <w:rFonts w:hint="eastAsia"/>
        </w:rPr>
      </w:pPr>
      <w:r>
        <w:rPr>
          <w:rFonts w:hint="eastAsia"/>
        </w:rPr>
        <w:drawing>
          <wp:inline distT="0" distB="0" distL="114300" distR="114300">
            <wp:extent cx="5266690" cy="8443595"/>
            <wp:effectExtent l="0" t="0" r="10160" b="14605"/>
            <wp:docPr id="6" name="图片 16" descr="1f5012fdfb1536660884390c7cf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1f5012fdfb1536660884390c7cf5411"/>
                    <pic:cNvPicPr>
                      <a:picLocks noChangeAspect="1"/>
                    </pic:cNvPicPr>
                  </pic:nvPicPr>
                  <pic:blipFill>
                    <a:blip r:embed="rId9"/>
                    <a:stretch>
                      <a:fillRect/>
                    </a:stretch>
                  </pic:blipFill>
                  <pic:spPr>
                    <a:xfrm>
                      <a:off x="0" y="0"/>
                      <a:ext cx="5266690" cy="8443595"/>
                    </a:xfrm>
                    <a:prstGeom prst="rect">
                      <a:avLst/>
                    </a:prstGeom>
                    <a:noFill/>
                    <a:ln>
                      <a:noFill/>
                    </a:ln>
                  </pic:spPr>
                </pic:pic>
              </a:graphicData>
            </a:graphic>
          </wp:inline>
        </w:drawing>
      </w:r>
    </w:p>
    <w:p>
      <w:pPr>
        <w:autoSpaceDE w:val="0"/>
        <w:autoSpaceDN w:val="0"/>
        <w:adjustRightInd w:val="0"/>
        <w:spacing w:line="360" w:lineRule="auto"/>
        <w:jc w:val="left"/>
        <w:rPr>
          <w:rFonts w:hint="eastAsia"/>
        </w:rPr>
      </w:pPr>
      <w:r>
        <w:rPr>
          <w:rFonts w:hint="eastAsia"/>
        </w:rPr>
        <w:drawing>
          <wp:inline distT="0" distB="0" distL="114300" distR="114300">
            <wp:extent cx="5268595" cy="2051050"/>
            <wp:effectExtent l="0" t="0" r="8255" b="6350"/>
            <wp:docPr id="7" name="图片 17" descr="38142f75a39257d3a500fcf27019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38142f75a39257d3a500fcf27019ea4"/>
                    <pic:cNvPicPr>
                      <a:picLocks noChangeAspect="1"/>
                    </pic:cNvPicPr>
                  </pic:nvPicPr>
                  <pic:blipFill>
                    <a:blip r:embed="rId10"/>
                    <a:stretch>
                      <a:fillRect/>
                    </a:stretch>
                  </pic:blipFill>
                  <pic:spPr>
                    <a:xfrm>
                      <a:off x="0" y="0"/>
                      <a:ext cx="5268595" cy="205105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rPr>
      </w:pPr>
      <w:r>
        <w:rPr>
          <w:rFonts w:hint="eastAsia"/>
        </w:rPr>
        <w:drawing>
          <wp:inline distT="0" distB="0" distL="114300" distR="114300">
            <wp:extent cx="5270500" cy="2635250"/>
            <wp:effectExtent l="0" t="0" r="6350" b="12700"/>
            <wp:docPr id="8" name="图片 18" descr="26c4dbe632ff55a2a83b78fe86ee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26c4dbe632ff55a2a83b78fe86ee8ed"/>
                    <pic:cNvPicPr>
                      <a:picLocks noChangeAspect="1"/>
                    </pic:cNvPicPr>
                  </pic:nvPicPr>
                  <pic:blipFill>
                    <a:blip r:embed="rId11"/>
                    <a:stretch>
                      <a:fillRect/>
                    </a:stretch>
                  </pic:blipFill>
                  <pic:spPr>
                    <a:xfrm>
                      <a:off x="0" y="0"/>
                      <a:ext cx="5270500" cy="2635250"/>
                    </a:xfrm>
                    <a:prstGeom prst="rect">
                      <a:avLst/>
                    </a:prstGeom>
                    <a:noFill/>
                    <a:ln>
                      <a:noFill/>
                    </a:ln>
                  </pic:spPr>
                </pic:pic>
              </a:graphicData>
            </a:graphic>
          </wp:inline>
        </w:drawing>
      </w:r>
    </w:p>
    <w:p>
      <w:pPr>
        <w:autoSpaceDE w:val="0"/>
        <w:autoSpaceDN w:val="0"/>
        <w:adjustRightInd w:val="0"/>
        <w:spacing w:line="360" w:lineRule="auto"/>
        <w:jc w:val="left"/>
      </w:pPr>
      <w:bookmarkStart w:id="8" w:name="_GoBack"/>
      <w:bookmarkEnd w:id="8"/>
    </w:p>
    <w:p>
      <w:pPr>
        <w:autoSpaceDE w:val="0"/>
        <w:autoSpaceDN w:val="0"/>
        <w:adjustRightInd w:val="0"/>
        <w:spacing w:line="360" w:lineRule="auto"/>
        <w:jc w:val="left"/>
      </w:pPr>
      <w:r>
        <w:rPr>
          <w:rFonts w:hint="eastAsia"/>
        </w:rPr>
        <w:drawing>
          <wp:inline distT="0" distB="0" distL="114300" distR="114300">
            <wp:extent cx="5273040" cy="4494530"/>
            <wp:effectExtent l="0" t="0" r="3810" b="1270"/>
            <wp:docPr id="9" name="图片 19" descr="9271c340f0d406dc068696d65d96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9271c340f0d406dc068696d65d9695d"/>
                    <pic:cNvPicPr>
                      <a:picLocks noChangeAspect="1"/>
                    </pic:cNvPicPr>
                  </pic:nvPicPr>
                  <pic:blipFill>
                    <a:blip r:embed="rId12"/>
                    <a:stretch>
                      <a:fillRect/>
                    </a:stretch>
                  </pic:blipFill>
                  <pic:spPr>
                    <a:xfrm>
                      <a:off x="0" y="0"/>
                      <a:ext cx="5273040" cy="4494530"/>
                    </a:xfrm>
                    <a:prstGeom prst="rect">
                      <a:avLst/>
                    </a:prstGeom>
                    <a:noFill/>
                    <a:ln>
                      <a:noFill/>
                    </a:ln>
                  </pic:spPr>
                </pic:pic>
              </a:graphicData>
            </a:graphic>
          </wp:inline>
        </w:drawing>
      </w:r>
      <w:r>
        <w:drawing>
          <wp:inline distT="0" distB="0" distL="114300" distR="114300">
            <wp:extent cx="5269230" cy="2943860"/>
            <wp:effectExtent l="0" t="0" r="7620" b="8890"/>
            <wp:docPr id="10" name="图片 20" descr="948ded163736899d3b9589260e0b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948ded163736899d3b9589260e0b504"/>
                    <pic:cNvPicPr>
                      <a:picLocks noChangeAspect="1"/>
                    </pic:cNvPicPr>
                  </pic:nvPicPr>
                  <pic:blipFill>
                    <a:blip r:embed="rId13"/>
                    <a:stretch>
                      <a:fillRect/>
                    </a:stretch>
                  </pic:blipFill>
                  <pic:spPr>
                    <a:xfrm>
                      <a:off x="0" y="0"/>
                      <a:ext cx="5269230" cy="294386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widowControl/>
        <w:spacing w:line="600" w:lineRule="exact"/>
        <w:ind w:firstLine="640"/>
        <w:rPr>
          <w:rFonts w:hint="eastAsia" w:ascii="宋体" w:hAnsi="宋体" w:cs="宋体"/>
          <w:b/>
          <w:sz w:val="44"/>
          <w:szCs w:val="44"/>
        </w:rPr>
      </w:pPr>
    </w:p>
    <w:p>
      <w:pPr>
        <w:widowControl/>
        <w:spacing w:line="600" w:lineRule="exact"/>
        <w:jc w:val="center"/>
        <w:rPr>
          <w:rFonts w:hint="eastAsia" w:ascii="方正公文小标宋" w:hAnsi="方正公文小标宋" w:eastAsia="方正公文小标宋" w:cs="方正公文小标宋"/>
          <w:bCs/>
          <w:sz w:val="44"/>
          <w:szCs w:val="44"/>
        </w:rPr>
      </w:pPr>
      <w:r>
        <w:rPr>
          <w:rFonts w:hint="eastAsia" w:ascii="方正公文小标宋" w:hAnsi="方正公文小标宋" w:eastAsia="方正公文小标宋" w:cs="方正公文小标宋"/>
          <w:bCs/>
          <w:sz w:val="44"/>
          <w:szCs w:val="44"/>
        </w:rPr>
        <w:t>第三部分  2022年度部门决算情况说明</w:t>
      </w:r>
    </w:p>
    <w:p>
      <w:pPr>
        <w:spacing w:line="600" w:lineRule="exact"/>
        <w:ind w:firstLine="630"/>
        <w:rPr>
          <w:rFonts w:hint="eastAsia" w:ascii="仿宋_GB2312" w:hAnsi="仿宋_GB2312" w:eastAsia="仿宋_GB2312"/>
          <w:sz w:val="30"/>
          <w:szCs w:val="30"/>
        </w:rPr>
      </w:pP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一、收入决算情况说明</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本部门2022年度收入总计 10254.07 万元，其中年初结转和结余 0 万元，较2021年减少 3679.87 万元，下降26.4 %；本年收入合计 10254.07万元，较2021年减少 3679.87万元，下降 26.4 %，主要原因是：城市发展脚步放缓，征地拆迁资金减少。</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本年收入的具体构成为：财政拨款收入 4683.55 万元，占45.68  %；事业收入 0 万元，占0 %；经营收入 0 万元，占 0 %；其他收入 5570.52万元，占 54.32 %。  </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二、支出决算情况说明</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本部门2022年度支出总计 10254.07 万元，其中本年支出合计 10254.07万元，较2021年减少3679.87万元，下降 26.4 %，主要原因是：城市发展脚步放缓，征地拆迁资金减少；年末结转和结余 0万元，较2021年增加 0万元，增长 0 %，主要原因是：年末无结转资金。</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本年支出的具体构成为：基本支出 2367.67 万元，占 23.09 %；项目支出7886.40万元，占76.91 %；经营支出 0万元，占 0 %；其他支出（对附属单位补助支出、上缴上级支出） 0  万元，占 0 %。</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三、财政拨款支出决算情况说明</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本部门2022年度财政拨款本年支出年初预算数为 1941.21万元，决算数为 4683.55万元，完成年初预算的 241 %。其中：</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（一）社会保障和就业支出年初预算数为 102.99万元，决算数为143.24万元，完成年初预算的 139 %，主要原因是：每年工资增资和人员的正常变动。</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（二）城乡社区支出年初预算数为 260 万元，决算数为 2319.16 万元，主要原因是：项目支出无法准确预估，年初未纳入预算。</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（三）自然资源海洋气象支出年初预算数为1578.22万元，决算数为 1818.62万元，完成年初预算的 115 %，主要原因是：年初无法精准预估。</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（四）灾害防治及应急管理支出年初预算数为0万元，决算数为 2.2万元，完成年初预算的 100 %，主要原因是：年初无法精准预估。</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（五）卫生健康支出年初预算数为0万元，决算数为2.21万元，完成年初预算的 100 %。主要原因是：疫情问题反复，卫生支出年初无法精准预估。</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（六）节能环保支出年初预算数为0万元，决算数为398.12万元，完成年初预算的 100 %，主要原因是：项目资金，年初无法精准预估。</w:t>
      </w:r>
    </w:p>
    <w:p>
      <w:pPr>
        <w:spacing w:line="600" w:lineRule="exact"/>
        <w:ind w:firstLine="640" w:firstLineChars="200"/>
        <w:rPr>
          <w:rFonts w:hint="eastAsia" w:ascii="仿宋_GB2312" w:hAnsi="仿宋_GB2312" w:eastAsia="仿宋_GB2312"/>
          <w:sz w:val="32"/>
          <w:szCs w:val="32"/>
        </w:rPr>
      </w:pP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四、一般公共预算财政拨款基本支出决算情况说明</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本部门2022年度一般公共预算财政拨款基本支出 2364.39 万元，其中：</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（一）工资福利支出 1024.24万元，较2021年减少 5.07 万元，下降 0.01 %，主要原因是：每年工资和人员的正常变动。</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（二）商品和服务支出1277.15万元，较2021年增加1068.18万元，主要原因是：会计科目核算发生变化。</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（三）对个人和家庭补助支出 0 万元，较2021年增加768.06万元，下降 100 %，主要原因是：会计核算科目变化。</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（四）资本性支出 63 万元，较2021年增加 63万元，增长100 %，主要原因是：会计科目核算变化。</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五、财政拨款“三公”经费支出决算情况说明</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本部门2022年度财政拨款“三公”经费支出</w:t>
      </w:r>
      <w:r>
        <w:rPr>
          <w:rFonts w:hint="eastAsia" w:ascii="仿宋" w:hAnsi="仿宋" w:eastAsia="仿宋" w:cs="仿宋"/>
          <w:b/>
          <w:bCs/>
          <w:color w:val="FF0000"/>
          <w:sz w:val="32"/>
          <w:szCs w:val="32"/>
        </w:rPr>
        <w:t>全年预算数</w:t>
      </w:r>
      <w:r>
        <w:rPr>
          <w:rFonts w:hint="eastAsia" w:ascii="仿宋" w:hAnsi="仿宋" w:eastAsia="仿宋" w:cs="仿宋"/>
          <w:sz w:val="32"/>
          <w:szCs w:val="32"/>
        </w:rPr>
        <w:t>为 37.49万元，决算数为18.84万元，完成</w:t>
      </w:r>
      <w:r>
        <w:rPr>
          <w:rFonts w:hint="eastAsia" w:ascii="仿宋" w:hAnsi="仿宋" w:eastAsia="仿宋" w:cs="仿宋"/>
          <w:b/>
          <w:bCs/>
          <w:color w:val="FF0000"/>
          <w:sz w:val="32"/>
          <w:szCs w:val="32"/>
        </w:rPr>
        <w:t>全年预算</w:t>
      </w:r>
      <w:r>
        <w:rPr>
          <w:rFonts w:hint="eastAsia" w:ascii="仿宋" w:hAnsi="仿宋" w:eastAsia="仿宋" w:cs="仿宋"/>
          <w:sz w:val="32"/>
          <w:szCs w:val="32"/>
        </w:rPr>
        <w:t>的 50.25 %，决算数较2021年增长10.31 万元，增长120 %，</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其中：</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（一）因公出国（境）支出</w:t>
      </w:r>
      <w:r>
        <w:rPr>
          <w:rFonts w:hint="eastAsia" w:ascii="仿宋" w:hAnsi="仿宋" w:eastAsia="仿宋" w:cs="仿宋"/>
          <w:b/>
          <w:bCs/>
          <w:color w:val="FF0000"/>
          <w:sz w:val="32"/>
          <w:szCs w:val="32"/>
        </w:rPr>
        <w:t>全年预算数</w:t>
      </w:r>
      <w:r>
        <w:rPr>
          <w:rFonts w:hint="eastAsia" w:ascii="仿宋" w:hAnsi="仿宋" w:eastAsia="仿宋" w:cs="仿宋"/>
          <w:sz w:val="32"/>
          <w:szCs w:val="32"/>
        </w:rPr>
        <w:t>为0万元，决算数为 0 万元，完成</w:t>
      </w:r>
      <w:r>
        <w:rPr>
          <w:rFonts w:hint="eastAsia" w:ascii="仿宋" w:hAnsi="仿宋" w:eastAsia="仿宋" w:cs="仿宋"/>
          <w:b/>
          <w:bCs/>
          <w:color w:val="FF0000"/>
          <w:sz w:val="32"/>
          <w:szCs w:val="32"/>
        </w:rPr>
        <w:t>全年预算</w:t>
      </w:r>
      <w:r>
        <w:rPr>
          <w:rFonts w:hint="eastAsia" w:ascii="仿宋" w:hAnsi="仿宋" w:eastAsia="仿宋" w:cs="仿宋"/>
          <w:sz w:val="32"/>
          <w:szCs w:val="32"/>
        </w:rPr>
        <w:t>的 0 %，决算数较2021年增加0万元，增长 0 %，主要原因是未安排因公出国人员。决算数较</w:t>
      </w:r>
      <w:r>
        <w:rPr>
          <w:rFonts w:hint="eastAsia" w:ascii="仿宋" w:hAnsi="仿宋" w:eastAsia="仿宋" w:cs="仿宋"/>
          <w:b/>
          <w:bCs/>
          <w:color w:val="FF0000"/>
          <w:sz w:val="32"/>
          <w:szCs w:val="32"/>
        </w:rPr>
        <w:t>全年预算数</w:t>
      </w:r>
      <w:r>
        <w:rPr>
          <w:rFonts w:hint="eastAsia" w:ascii="仿宋" w:hAnsi="仿宋" w:eastAsia="仿宋" w:cs="仿宋"/>
          <w:sz w:val="32"/>
          <w:szCs w:val="32"/>
        </w:rPr>
        <w:t>增加的主要原因是：未安排因公出国人员。全年安排因公出国（境）团组 0个，累计0人次，主要为：未安排因公出国人员。</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（二）公务接待费支出</w:t>
      </w:r>
      <w:r>
        <w:rPr>
          <w:rFonts w:hint="eastAsia" w:ascii="仿宋" w:hAnsi="仿宋" w:eastAsia="仿宋" w:cs="仿宋"/>
          <w:b/>
          <w:bCs/>
          <w:color w:val="FF0000"/>
          <w:sz w:val="32"/>
          <w:szCs w:val="32"/>
        </w:rPr>
        <w:t>全年预算数</w:t>
      </w:r>
      <w:r>
        <w:rPr>
          <w:rFonts w:hint="eastAsia" w:ascii="仿宋" w:hAnsi="仿宋" w:eastAsia="仿宋" w:cs="仿宋"/>
          <w:sz w:val="32"/>
          <w:szCs w:val="32"/>
        </w:rPr>
        <w:t>为 20万元，决算数为 1.35万元，完成</w:t>
      </w:r>
      <w:r>
        <w:rPr>
          <w:rFonts w:hint="eastAsia" w:ascii="仿宋" w:hAnsi="仿宋" w:eastAsia="仿宋" w:cs="仿宋"/>
          <w:b/>
          <w:bCs/>
          <w:color w:val="FF0000"/>
          <w:sz w:val="32"/>
          <w:szCs w:val="32"/>
        </w:rPr>
        <w:t>全年预算</w:t>
      </w:r>
      <w:r>
        <w:rPr>
          <w:rFonts w:hint="eastAsia" w:ascii="仿宋" w:hAnsi="仿宋" w:eastAsia="仿宋" w:cs="仿宋"/>
          <w:sz w:val="32"/>
          <w:szCs w:val="32"/>
        </w:rPr>
        <w:t>的6.7 %，决算数较2021年减少 7.18 万元，下降 84.17 %，主要原因是响应国家政策号召，压缩三公经费支出。决算数较</w:t>
      </w:r>
      <w:r>
        <w:rPr>
          <w:rFonts w:hint="eastAsia" w:ascii="仿宋" w:hAnsi="仿宋" w:eastAsia="仿宋" w:cs="仿宋"/>
          <w:b/>
          <w:bCs/>
          <w:color w:val="FF0000"/>
          <w:sz w:val="32"/>
          <w:szCs w:val="32"/>
        </w:rPr>
        <w:t>全年预算数减少</w:t>
      </w:r>
      <w:r>
        <w:rPr>
          <w:rFonts w:hint="eastAsia" w:ascii="仿宋" w:hAnsi="仿宋" w:eastAsia="仿宋" w:cs="仿宋"/>
          <w:sz w:val="32"/>
          <w:szCs w:val="32"/>
        </w:rPr>
        <w:t>的主要原因是：响应国家政策号召，压缩三公经费支出。全年国内公务接待 12 批，累计接待 104 人次，其中外事接待 0 批，累计接待 0 人次，主要为：为加速地方经济，带动就业岗位，进行招商活动。</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（三）公务用车购置及运行维护费支出17.49万元，其中公务用车购置</w:t>
      </w:r>
      <w:r>
        <w:rPr>
          <w:rFonts w:hint="eastAsia" w:ascii="仿宋" w:hAnsi="仿宋" w:eastAsia="仿宋" w:cs="仿宋"/>
          <w:b/>
          <w:bCs/>
          <w:color w:val="FF0000"/>
          <w:sz w:val="32"/>
          <w:szCs w:val="32"/>
        </w:rPr>
        <w:t>全年预算数</w:t>
      </w:r>
      <w:r>
        <w:rPr>
          <w:rFonts w:hint="eastAsia" w:ascii="仿宋" w:hAnsi="仿宋" w:eastAsia="仿宋" w:cs="仿宋"/>
          <w:sz w:val="32"/>
          <w:szCs w:val="32"/>
        </w:rPr>
        <w:t>为16.98万元，决算数为16.98万元，完成</w:t>
      </w:r>
      <w:r>
        <w:rPr>
          <w:rFonts w:hint="eastAsia" w:ascii="仿宋" w:hAnsi="仿宋" w:eastAsia="仿宋" w:cs="仿宋"/>
          <w:b/>
          <w:bCs/>
          <w:color w:val="FF0000"/>
          <w:sz w:val="32"/>
          <w:szCs w:val="32"/>
        </w:rPr>
        <w:t>全年预算</w:t>
      </w:r>
      <w:r>
        <w:rPr>
          <w:rFonts w:hint="eastAsia" w:ascii="仿宋" w:hAnsi="仿宋" w:eastAsia="仿宋" w:cs="仿宋"/>
          <w:sz w:val="32"/>
          <w:szCs w:val="32"/>
        </w:rPr>
        <w:t>的100 %，决算数较2021年增加16.98万元，增长100 %，主要原因是经区政府研究，批准我单位购入公务车，全年购置公务用车1辆。决算数较</w:t>
      </w:r>
      <w:r>
        <w:rPr>
          <w:rFonts w:hint="eastAsia" w:ascii="仿宋" w:hAnsi="仿宋" w:eastAsia="仿宋" w:cs="仿宋"/>
          <w:b/>
          <w:bCs/>
          <w:color w:val="FF0000"/>
          <w:sz w:val="32"/>
          <w:szCs w:val="32"/>
        </w:rPr>
        <w:t>全年预算数无变化</w:t>
      </w:r>
      <w:r>
        <w:rPr>
          <w:rFonts w:hint="eastAsia" w:ascii="仿宋" w:hAnsi="仿宋" w:eastAsia="仿宋" w:cs="仿宋"/>
          <w:sz w:val="32"/>
          <w:szCs w:val="32"/>
        </w:rPr>
        <w:t>；公务用车运行维护费支出</w:t>
      </w:r>
      <w:r>
        <w:rPr>
          <w:rFonts w:hint="eastAsia" w:ascii="仿宋" w:hAnsi="仿宋" w:eastAsia="仿宋" w:cs="仿宋"/>
          <w:b/>
          <w:bCs/>
          <w:color w:val="FF0000"/>
          <w:sz w:val="32"/>
          <w:szCs w:val="32"/>
        </w:rPr>
        <w:t>全年预算数</w:t>
      </w:r>
      <w:r>
        <w:rPr>
          <w:rFonts w:hint="eastAsia" w:ascii="仿宋" w:hAnsi="仿宋" w:eastAsia="仿宋" w:cs="仿宋"/>
          <w:sz w:val="32"/>
          <w:szCs w:val="32"/>
        </w:rPr>
        <w:t>为0.5万元，决算数为0.5 万元，完成</w:t>
      </w:r>
      <w:r>
        <w:rPr>
          <w:rFonts w:hint="eastAsia" w:ascii="仿宋" w:hAnsi="仿宋" w:eastAsia="仿宋" w:cs="仿宋"/>
          <w:b/>
          <w:bCs/>
          <w:color w:val="FF0000"/>
          <w:sz w:val="32"/>
          <w:szCs w:val="32"/>
        </w:rPr>
        <w:t>全年预算</w:t>
      </w:r>
      <w:r>
        <w:rPr>
          <w:rFonts w:hint="eastAsia" w:ascii="仿宋" w:hAnsi="仿宋" w:eastAsia="仿宋" w:cs="仿宋"/>
          <w:sz w:val="32"/>
          <w:szCs w:val="32"/>
        </w:rPr>
        <w:t>的100 %，决算数较2021年增加0.5万元，增长100 %，主要原因是经区政府研究，批准我单位购入公务车，年末公务用车保有1辆。决算数较</w:t>
      </w:r>
      <w:r>
        <w:rPr>
          <w:rFonts w:hint="eastAsia" w:ascii="仿宋" w:hAnsi="仿宋" w:eastAsia="仿宋" w:cs="仿宋"/>
          <w:b/>
          <w:bCs/>
          <w:color w:val="FF0000"/>
          <w:sz w:val="32"/>
          <w:szCs w:val="32"/>
        </w:rPr>
        <w:t>全年预算数无变化</w:t>
      </w:r>
      <w:r>
        <w:rPr>
          <w:rFonts w:hint="eastAsia" w:ascii="仿宋" w:hAnsi="仿宋" w:eastAsia="仿宋" w:cs="仿宋"/>
          <w:sz w:val="32"/>
          <w:szCs w:val="32"/>
        </w:rPr>
        <w:t>。</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六、机关运行经费支出情况说明</w:t>
      </w:r>
    </w:p>
    <w:p>
      <w:pPr>
        <w:pStyle w:val="7"/>
        <w:ind w:firstLine="640" w:firstLineChars="200"/>
        <w:rPr>
          <w:rFonts w:hint="eastAsia" w:ascii="仿宋" w:hAnsi="仿宋" w:eastAsia="仿宋" w:cs="仿宋"/>
          <w:sz w:val="32"/>
          <w:szCs w:val="32"/>
        </w:rPr>
      </w:pPr>
      <w:r>
        <w:rPr>
          <w:rFonts w:hint="eastAsia" w:ascii="仿宋" w:hAnsi="仿宋" w:eastAsia="仿宋" w:cs="仿宋"/>
          <w:sz w:val="32"/>
          <w:szCs w:val="32"/>
        </w:rPr>
        <w:t>本部门2022年度机关运行经费支出1340.15万元（与部门决算中行政单位和参照公务员法管理事业单位财政拨款基本支出中公用经费之和一致），较</w:t>
      </w:r>
      <w:r>
        <w:rPr>
          <w:rFonts w:hint="eastAsia" w:ascii="仿宋" w:hAnsi="仿宋" w:eastAsia="仿宋" w:cs="仿宋"/>
          <w:b/>
          <w:bCs/>
          <w:color w:val="FF0000"/>
          <w:sz w:val="32"/>
          <w:szCs w:val="32"/>
        </w:rPr>
        <w:t>上年决算数</w:t>
      </w:r>
      <w:r>
        <w:rPr>
          <w:rFonts w:hint="eastAsia" w:ascii="仿宋" w:hAnsi="仿宋" w:eastAsia="仿宋" w:cs="仿宋"/>
          <w:sz w:val="32"/>
          <w:szCs w:val="32"/>
        </w:rPr>
        <w:t xml:space="preserve">增加 1059.18万元：办公费54.06万元，水费4.45万元，电费12.82万元，邮电费18.43万元，物业管理费6.59万元，差旅费17.94万元，维修（护）费5.71万元，培训费0.05万元，公务接待费1.35万元，专员材料费0.55万元，劳务费92.28万元，工会经费65.09万元，福利费18.74万元，公务用车运行维护费0.51万元，其他交通费13.68,万元，其他商品和服务支出177.77万元，办公设施设备购置经费46.02，公务用车购置16.98万元，委托业务（项目）资金787.13万元。 </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七、政府采购支出情况说明</w:t>
      </w:r>
    </w:p>
    <w:p>
      <w:pPr>
        <w:pStyle w:val="7"/>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本部门2022年度政府采购支出总额 63 万元，其中：政府采购货物支出 63 万元、政府采购工程支出0 万元、政府采购服务支出 0 万元。授予中小企业合同金额63万元，占政府采购支出总额的 100 %，其中：授予小微企业合同金额 0 万元，占</w:t>
      </w:r>
      <w:r>
        <w:rPr>
          <w:rFonts w:hint="eastAsia" w:ascii="仿宋" w:hAnsi="仿宋" w:eastAsia="仿宋" w:cs="仿宋"/>
          <w:b/>
          <w:bCs/>
          <w:color w:val="FF0000"/>
          <w:sz w:val="32"/>
          <w:szCs w:val="32"/>
        </w:rPr>
        <w:t>授予中小企业合同金额</w:t>
      </w:r>
      <w:r>
        <w:rPr>
          <w:rFonts w:hint="eastAsia" w:ascii="仿宋" w:hAnsi="仿宋" w:eastAsia="仿宋" w:cs="仿宋"/>
          <w:sz w:val="32"/>
          <w:szCs w:val="32"/>
        </w:rPr>
        <w:t>的 0 %；货物采购授予中小企业合同金额占货物支出金额的 100 %，工程采购授予中小企业合同金额占工程支出金额的 0 %，服务采购授予中小企业合同金额占服务支出金额的 0 %。</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八、国有资产占用情况说明</w:t>
      </w:r>
    </w:p>
    <w:p>
      <w:pPr>
        <w:spacing w:line="60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lang w:eastAsia="zh-CN"/>
        </w:rPr>
        <w:t>截至2022年</w:t>
      </w:r>
      <w:r>
        <w:rPr>
          <w:rFonts w:hint="eastAsia" w:ascii="仿宋" w:hAnsi="仿宋" w:eastAsia="仿宋" w:cs="仿宋"/>
          <w:kern w:val="0"/>
          <w:sz w:val="32"/>
          <w:szCs w:val="32"/>
        </w:rPr>
        <w:t>12月31日，本部门国有资产占用情况见公开10表《国有资产占用情况表》。其中车辆中的其他用车主要是用于土地报批工作，市局对接汇报工作，执法执勤监察工作。</w:t>
      </w:r>
    </w:p>
    <w:p>
      <w:pPr>
        <w:autoSpaceDE w:val="0"/>
        <w:autoSpaceDN w:val="0"/>
        <w:adjustRightInd w:val="0"/>
        <w:spacing w:line="600" w:lineRule="exact"/>
        <w:ind w:firstLine="640" w:firstLineChars="200"/>
        <w:rPr>
          <w:rFonts w:hint="eastAsia" w:ascii="黑体" w:hAnsi="黑体" w:eastAsia="黑体"/>
          <w:sz w:val="32"/>
          <w:szCs w:val="32"/>
        </w:rPr>
      </w:pPr>
      <w:r>
        <w:rPr>
          <w:rFonts w:hint="eastAsia" w:ascii="黑体" w:hAnsi="黑体" w:eastAsia="黑体"/>
          <w:sz w:val="32"/>
          <w:szCs w:val="32"/>
        </w:rPr>
        <w:t>九、预算绩效</w:t>
      </w:r>
      <w:r>
        <w:rPr>
          <w:rFonts w:hint="eastAsia" w:ascii="黑体" w:hAnsi="黑体" w:eastAsia="黑体"/>
          <w:color w:val="FF0000"/>
          <w:sz w:val="32"/>
          <w:szCs w:val="32"/>
        </w:rPr>
        <w:t>评价</w:t>
      </w:r>
      <w:r>
        <w:rPr>
          <w:rFonts w:hint="eastAsia" w:ascii="黑体" w:hAnsi="黑体" w:eastAsia="黑体"/>
          <w:sz w:val="32"/>
          <w:szCs w:val="32"/>
        </w:rPr>
        <w:t>情况说明</w:t>
      </w:r>
    </w:p>
    <w:p>
      <w:pPr>
        <w:autoSpaceDE w:val="0"/>
        <w:autoSpaceDN w:val="0"/>
        <w:adjustRightInd w:val="0"/>
        <w:spacing w:line="60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（一）绩效</w:t>
      </w:r>
      <w:r>
        <w:rPr>
          <w:rFonts w:hint="eastAsia" w:ascii="楷体_GB2312" w:hAnsi="楷体_GB2312" w:eastAsia="楷体_GB2312" w:cs="楷体_GB2312"/>
          <w:b/>
          <w:bCs/>
          <w:color w:val="FF0000"/>
          <w:kern w:val="0"/>
          <w:sz w:val="32"/>
          <w:szCs w:val="32"/>
        </w:rPr>
        <w:t>评价</w:t>
      </w:r>
      <w:r>
        <w:rPr>
          <w:rFonts w:hint="eastAsia" w:ascii="楷体_GB2312" w:hAnsi="楷体_GB2312" w:eastAsia="楷体_GB2312" w:cs="楷体_GB2312"/>
          <w:kern w:val="0"/>
          <w:sz w:val="32"/>
          <w:szCs w:val="32"/>
        </w:rPr>
        <w:t>工作开展情况。</w:t>
      </w:r>
    </w:p>
    <w:p>
      <w:pPr>
        <w:spacing w:line="600" w:lineRule="exact"/>
        <w:ind w:firstLine="640" w:firstLineChars="200"/>
        <w:rPr>
          <w:rFonts w:hint="eastAsia" w:ascii="仿宋" w:hAnsi="仿宋" w:eastAsia="仿宋" w:cs="仿宋"/>
          <w:kern w:val="0"/>
          <w:sz w:val="32"/>
          <w:szCs w:val="32"/>
        </w:rPr>
      </w:pPr>
      <w:r>
        <w:rPr>
          <w:rFonts w:hint="eastAsia" w:ascii="仿宋" w:hAnsi="仿宋" w:eastAsia="仿宋" w:cs="仿宋"/>
          <w:sz w:val="32"/>
          <w:szCs w:val="32"/>
        </w:rPr>
        <w:t>根据九江市财政局转发《江西省财政厅办公室关于做好生态环境保护领域各类专项资金绩效自评工作的通知》（九财资环〔2020〕2号）文件要求，为进一步规范中央专项资金管理，强化预算支出的责任和效率，提高专项资金使用效率，柴桑自然资源分局开展了2022年度废弃露天矿山治理专项资金绩效自评，</w:t>
      </w:r>
      <w:r>
        <w:rPr>
          <w:rFonts w:hint="eastAsia" w:ascii="仿宋" w:hAnsi="仿宋" w:eastAsia="仿宋" w:cs="仿宋"/>
          <w:kern w:val="0"/>
          <w:sz w:val="32"/>
          <w:szCs w:val="32"/>
        </w:rPr>
        <w:t>共涉及资金 463.95 万元。</w:t>
      </w:r>
    </w:p>
    <w:p>
      <w:pPr>
        <w:autoSpaceDE w:val="0"/>
        <w:autoSpaceDN w:val="0"/>
        <w:adjustRightInd w:val="0"/>
        <w:spacing w:line="60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（二）部门决算中项目绩效自评结果。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我区2022年度废弃露天矿山治理资金共计463.95万，执行数398.11万元，预算执行率85.8%，中央专项资金支付了398.11万，预算执行率85.8%。</w:t>
      </w:r>
      <w:bookmarkStart w:id="7" w:name="_GoBack"/>
      <w:bookmarkEnd w:id="7"/>
    </w:p>
    <w:p>
      <w:pPr>
        <w:ind w:firstLine="640" w:firstLineChars="200"/>
        <w:rPr>
          <w:rFonts w:hint="eastAsia" w:ascii="仿宋" w:hAnsi="仿宋" w:eastAsia="仿宋" w:cs="仿宋"/>
          <w:sz w:val="32"/>
          <w:szCs w:val="32"/>
        </w:rPr>
      </w:pPr>
      <w:r>
        <w:rPr>
          <w:rFonts w:hint="eastAsia" w:ascii="仿宋" w:hAnsi="仿宋" w:eastAsia="仿宋" w:cs="仿宋"/>
          <w:sz w:val="32"/>
          <w:szCs w:val="32"/>
        </w:rPr>
        <w:t>项目资金管理情况分析。严格执行《预算法》和《财政部关于印发&lt;重点生态保护修复治理资金管理办法&gt;》（财资环〔2019〕29号）等法律法规规定，加强资金监管和预算执行，资金的预算编制、审查、批准、监督，以及执行和调整，严格依照法律法规规定执行，同时注重提高资金的使用效益。</w:t>
      </w:r>
    </w:p>
    <w:p>
      <w:pPr>
        <w:autoSpaceDE w:val="0"/>
        <w:autoSpaceDN w:val="0"/>
        <w:adjustRightInd w:val="0"/>
        <w:spacing w:line="60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（三）部门评价项目绩效评价情况。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2022年，中央专项资金支付涉及6家废弃露天采石场的生态修复工程，完成损毁土地修复面积数：5.46公顷</w:t>
      </w:r>
      <w:r>
        <w:rPr>
          <w:rFonts w:hint="eastAsia" w:ascii="仿宋" w:hAnsi="仿宋" w:eastAsia="仿宋" w:cs="仿宋"/>
          <w:sz w:val="32"/>
          <w:szCs w:val="32"/>
          <w:lang w:eastAsia="zh-CN"/>
        </w:rPr>
        <w:t>；</w:t>
      </w:r>
      <w:r>
        <w:rPr>
          <w:rFonts w:hint="eastAsia" w:ascii="仿宋" w:hAnsi="仿宋" w:eastAsia="仿宋" w:cs="仿宋"/>
          <w:sz w:val="32"/>
          <w:szCs w:val="32"/>
        </w:rPr>
        <w:t>实施区域历史遗留工矿废弃地复垦利用率按要求应≥50%，实际完成复垦利用率100%。</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项目治理工程的实施使周边环境得到明显改善，环境效益显著：修复后的地质环境稳定程度得到提升，破坏的土地得到恢复绿化；修复后与周边生态状况的和谐度得到提升，为附近居民提供了良好的生活环境；实施区域矿山地质灾害隐患下降；实施区域群众生命财产安全保障得到提升；实施区域矿山生态状况得到改善；实施区域露天矿山扬尘下降；实施区域露天矿山视觉污染得到较大改善。</w:t>
      </w:r>
    </w:p>
    <w:p>
      <w:pPr>
        <w:ind w:firstLine="640" w:firstLineChars="200"/>
        <w:rPr>
          <w:rFonts w:hint="eastAsia" w:ascii="宋体" w:hAnsi="宋体" w:cs="华文仿宋"/>
          <w:sz w:val="32"/>
          <w:szCs w:val="32"/>
        </w:rPr>
      </w:pPr>
      <w:r>
        <w:rPr>
          <w:rFonts w:hint="eastAsia" w:ascii="宋体" w:hAnsi="宋体" w:cs="华文仿宋"/>
          <w:sz w:val="32"/>
          <w:szCs w:val="32"/>
        </w:rPr>
        <w:t>（四）绩效自评表</w:t>
      </w:r>
    </w:p>
    <w:p>
      <w:pPr>
        <w:ind w:firstLine="640" w:firstLineChars="200"/>
        <w:rPr>
          <w:rFonts w:ascii="宋体" w:hAnsi="宋体" w:cs="华文仿宋"/>
          <w:sz w:val="32"/>
          <w:szCs w:val="32"/>
        </w:rPr>
      </w:pPr>
      <w:r>
        <w:rPr>
          <w:rFonts w:hint="eastAsia" w:ascii="宋体" w:hAnsi="宋体" w:cs="华文仿宋"/>
          <w:sz w:val="32"/>
          <w:szCs w:val="32"/>
        </w:rPr>
        <w:drawing>
          <wp:inline distT="0" distB="0" distL="114300" distR="114300">
            <wp:extent cx="5268595" cy="6107430"/>
            <wp:effectExtent l="0" t="0" r="8255" b="7620"/>
            <wp:docPr id="11" name="图片 11" descr="e03b2d1a0af23a937ec905e9eff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3b2d1a0af23a937ec905e9eff8567"/>
                    <pic:cNvPicPr>
                      <a:picLocks noChangeAspect="1"/>
                    </pic:cNvPicPr>
                  </pic:nvPicPr>
                  <pic:blipFill>
                    <a:blip r:embed="rId14"/>
                    <a:stretch>
                      <a:fillRect/>
                    </a:stretch>
                  </pic:blipFill>
                  <pic:spPr>
                    <a:xfrm>
                      <a:off x="0" y="0"/>
                      <a:ext cx="5268595" cy="6107430"/>
                    </a:xfrm>
                    <a:prstGeom prst="rect">
                      <a:avLst/>
                    </a:prstGeom>
                    <a:noFill/>
                    <a:ln>
                      <a:noFill/>
                    </a:ln>
                  </pic:spPr>
                </pic:pic>
              </a:graphicData>
            </a:graphic>
          </wp:inline>
        </w:drawing>
      </w:r>
    </w:p>
    <w:p>
      <w:pPr>
        <w:autoSpaceDE w:val="0"/>
        <w:autoSpaceDN w:val="0"/>
        <w:adjustRightInd w:val="0"/>
        <w:spacing w:line="570" w:lineRule="exact"/>
        <w:ind w:firstLine="640" w:firstLineChars="200"/>
        <w:rPr>
          <w:rFonts w:hint="eastAsia" w:ascii="方正小标宋简体" w:hAnsi="方正小标宋简体" w:eastAsia="方正小标宋简体" w:cs="方正小标宋简体"/>
          <w:kern w:val="0"/>
          <w:sz w:val="32"/>
          <w:szCs w:val="32"/>
        </w:rPr>
      </w:pPr>
      <w:r>
        <w:rPr>
          <w:rFonts w:hint="eastAsia" w:ascii="方正小标宋简体" w:hAnsi="方正小标宋简体" w:eastAsia="方正小标宋简体" w:cs="方正小标宋简体"/>
          <w:kern w:val="0"/>
          <w:sz w:val="32"/>
          <w:szCs w:val="32"/>
        </w:rPr>
        <w:br w:type="page"/>
      </w:r>
    </w:p>
    <w:p>
      <w:pPr>
        <w:widowControl/>
        <w:spacing w:line="57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第四部分  名词解释</w:t>
      </w:r>
    </w:p>
    <w:p>
      <w:pPr>
        <w:pStyle w:val="7"/>
        <w:spacing w:line="570" w:lineRule="exact"/>
        <w:ind w:firstLine="640" w:firstLineChars="200"/>
        <w:rPr>
          <w:rFonts w:hint="eastAsia" w:ascii="仿宋_GB2312" w:hAnsi="仿宋_GB2312" w:eastAsia="仿宋_GB2312"/>
          <w:sz w:val="32"/>
          <w:szCs w:val="32"/>
        </w:rPr>
      </w:pPr>
    </w:p>
    <w:p>
      <w:pPr>
        <w:spacing w:line="570" w:lineRule="exact"/>
        <w:ind w:firstLine="640" w:firstLineChars="200"/>
        <w:rPr>
          <w:rFonts w:hint="eastAsia" w:ascii="仿宋_GB2312" w:hAnsi="仿宋_GB2312" w:eastAsia="仿宋_GB2312"/>
          <w:sz w:val="32"/>
          <w:szCs w:val="32"/>
        </w:rPr>
      </w:pPr>
      <w:r>
        <w:rPr>
          <w:rFonts w:hint="eastAsia" w:ascii="仿宋_GB2312" w:hAnsi="仿宋_GB2312" w:eastAsia="仿宋_GB2312"/>
          <w:kern w:val="0"/>
          <w:sz w:val="32"/>
          <w:szCs w:val="32"/>
        </w:rPr>
        <w:t xml:space="preserve"> “三公”经费支出和机关运行经费支出口径必须予以说明（可参照如下格式进行说明）：</w:t>
      </w:r>
    </w:p>
    <w:p>
      <w:pPr>
        <w:spacing w:line="570" w:lineRule="exact"/>
        <w:ind w:firstLine="640" w:firstLineChars="200"/>
        <w:rPr>
          <w:rFonts w:hint="eastAsia" w:ascii="仿宋_GB2312" w:hAnsi="仿宋_GB2312" w:eastAsia="仿宋_GB2312"/>
          <w:kern w:val="0"/>
          <w:sz w:val="32"/>
          <w:szCs w:val="32"/>
        </w:rPr>
      </w:pPr>
      <w:r>
        <w:rPr>
          <w:rFonts w:hint="eastAsia" w:ascii="仿宋_GB2312" w:hAnsi="仿宋_GB2312" w:eastAsia="仿宋_GB2312"/>
          <w:kern w:val="0"/>
          <w:sz w:val="32"/>
          <w:szCs w:val="32"/>
        </w:rPr>
        <w:t>“三公”经费支出：指用</w:t>
      </w:r>
      <w:r>
        <w:rPr>
          <w:rFonts w:hint="eastAsia" w:ascii="仿宋_GB2312" w:hAnsi="仿宋_GB2312" w:eastAsia="仿宋_GB2312"/>
          <w:b/>
          <w:bCs/>
          <w:color w:val="FF0000"/>
          <w:kern w:val="0"/>
          <w:sz w:val="32"/>
          <w:szCs w:val="32"/>
        </w:rPr>
        <w:t>财政拨款</w:t>
      </w:r>
      <w:r>
        <w:rPr>
          <w:rFonts w:hint="eastAsia" w:ascii="仿宋_GB2312" w:hAnsi="仿宋_GB2312" w:eastAsia="仿宋_GB2312"/>
          <w:kern w:val="0"/>
          <w:sz w:val="32"/>
          <w:szCs w:val="32"/>
        </w:rPr>
        <w:t>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pPr>
        <w:spacing w:line="570" w:lineRule="exact"/>
        <w:ind w:firstLine="640" w:firstLineChars="200"/>
        <w:rPr>
          <w:rFonts w:hint="eastAsia" w:ascii="仿宋_GB2312" w:hAnsi="仿宋_GB2312" w:eastAsia="仿宋_GB2312"/>
          <w:kern w:val="0"/>
          <w:sz w:val="32"/>
          <w:szCs w:val="32"/>
        </w:rPr>
      </w:pPr>
      <w:r>
        <w:rPr>
          <w:rFonts w:hint="eastAsia" w:ascii="仿宋_GB2312" w:hAnsi="仿宋_GB2312" w:eastAsia="仿宋_GB2312"/>
          <w:kern w:val="0"/>
          <w:sz w:val="32"/>
          <w:szCs w:val="32"/>
        </w:rPr>
        <w:t>机关运行经费支出：指用</w:t>
      </w:r>
      <w:r>
        <w:rPr>
          <w:rFonts w:hint="eastAsia" w:ascii="仿宋_GB2312" w:hAnsi="仿宋_GB2312" w:eastAsia="仿宋_GB2312"/>
          <w:b/>
          <w:bCs/>
          <w:color w:val="FF0000"/>
          <w:kern w:val="0"/>
          <w:sz w:val="32"/>
          <w:szCs w:val="32"/>
        </w:rPr>
        <w:t>财政拨款</w:t>
      </w:r>
      <w:r>
        <w:rPr>
          <w:rFonts w:hint="eastAsia" w:ascii="仿宋_GB2312" w:hAnsi="仿宋_GB2312" w:eastAsia="仿宋_GB2312"/>
          <w:kern w:val="0"/>
          <w:sz w:val="32"/>
          <w:szCs w:val="32"/>
        </w:rPr>
        <w:t>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spacing w:line="600" w:lineRule="exact"/>
        <w:ind w:firstLine="600"/>
        <w:rPr>
          <w:rFonts w:hint="eastAsia" w:ascii="仿宋_GB2312" w:hAnsi="仿宋_GB2312" w:eastAsia="仿宋_GB2312"/>
          <w:kern w:val="0"/>
          <w:sz w:val="32"/>
          <w:szCs w:val="32"/>
        </w:rPr>
      </w:pPr>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第五部分  附    件</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D2F412-BDD6-4382-8458-28E3A25AE64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embedRegular r:id="rId2" w:fontKey="{67B1DA2C-B5BC-430C-9AEE-CBE44D308B30}"/>
  </w:font>
  <w:font w:name="方正小标宋简体">
    <w:panose1 w:val="03000509000000000000"/>
    <w:charset w:val="86"/>
    <w:family w:val="script"/>
    <w:pitch w:val="default"/>
    <w:sig w:usb0="00000001" w:usb1="080E0000" w:usb2="00000000" w:usb3="00000000" w:csb0="00040000" w:csb1="00000000"/>
    <w:embedRegular r:id="rId3" w:fontKey="{FCDCC19F-A6D5-400F-8CA9-CC188CAD328F}"/>
  </w:font>
  <w:font w:name="仿宋_GB2312">
    <w:panose1 w:val="02010609030101010101"/>
    <w:charset w:val="86"/>
    <w:family w:val="modern"/>
    <w:pitch w:val="default"/>
    <w:sig w:usb0="00000001" w:usb1="080E0000" w:usb2="00000000" w:usb3="00000000" w:csb0="00040000" w:csb1="00000000"/>
    <w:embedRegular r:id="rId4" w:fontKey="{BD3BAE4B-B45A-4E4B-8BEA-43C8507D74E7}"/>
  </w:font>
  <w:font w:name="方正小标宋_GBK">
    <w:panose1 w:val="02000000000000000000"/>
    <w:charset w:val="86"/>
    <w:family w:val="auto"/>
    <w:pitch w:val="default"/>
    <w:sig w:usb0="A00002BF" w:usb1="38CF7CFA" w:usb2="00082016" w:usb3="00000000" w:csb0="00040001" w:csb1="00000000"/>
    <w:embedRegular r:id="rId5" w:fontKey="{7700C6B4-A0A1-42A8-936C-42BCED73977D}"/>
  </w:font>
  <w:font w:name="微软雅黑">
    <w:panose1 w:val="020B0503020204020204"/>
    <w:charset w:val="86"/>
    <w:family w:val="swiss"/>
    <w:pitch w:val="default"/>
    <w:sig w:usb0="80000287" w:usb1="280F3C52" w:usb2="00000016" w:usb3="00000000" w:csb0="0004001F" w:csb1="00000000"/>
    <w:embedRegular r:id="rId6" w:fontKey="{DBD0F813-8188-4E73-B828-C5D69F420A55}"/>
  </w:font>
  <w:font w:name="华文仿宋">
    <w:panose1 w:val="02010600040101010101"/>
    <w:charset w:val="86"/>
    <w:family w:val="auto"/>
    <w:pitch w:val="default"/>
    <w:sig w:usb0="00000287" w:usb1="080F0000" w:usb2="00000000" w:usb3="00000000" w:csb0="0004009F" w:csb1="DFD70000"/>
    <w:embedRegular r:id="rId7" w:fontKey="{506DB4B7-6861-4299-9DC2-6A5F145F62EF}"/>
  </w:font>
  <w:font w:name="仿宋">
    <w:panose1 w:val="02010609060101010101"/>
    <w:charset w:val="86"/>
    <w:family w:val="modern"/>
    <w:pitch w:val="default"/>
    <w:sig w:usb0="800002BF" w:usb1="38CF7CFA" w:usb2="00000016" w:usb3="00000000" w:csb0="00040001" w:csb1="00000000"/>
    <w:embedRegular r:id="rId8" w:fontKey="{6964F21C-2CA2-4A14-A68D-18FAFFA862F1}"/>
  </w:font>
  <w:font w:name="方正公文小标宋">
    <w:panose1 w:val="02000500000000000000"/>
    <w:charset w:val="86"/>
    <w:family w:val="auto"/>
    <w:pitch w:val="default"/>
    <w:sig w:usb0="A00002BF" w:usb1="38CF7CFA" w:usb2="00000016" w:usb3="00000000" w:csb0="00040001" w:csb1="00000000"/>
    <w:embedRegular r:id="rId9" w:fontKey="{6A0CD854-5D4F-4B86-A7FC-277F295C7F09}"/>
  </w:font>
  <w:font w:name="楷体_GB2312">
    <w:panose1 w:val="02010609030101010101"/>
    <w:charset w:val="86"/>
    <w:family w:val="modern"/>
    <w:pitch w:val="default"/>
    <w:sig w:usb0="00000001" w:usb1="080E0000" w:usb2="00000000" w:usb3="00000000" w:csb0="00040000" w:csb1="00000000"/>
    <w:embedRegular r:id="rId10" w:fontKey="{CE734CEB-E2A2-4F6A-B0DD-2DFC3457EF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hMWRhZjdlZTMwYTIzOTI4OTNiMzZmYjE0NDg2NzEifQ=="/>
  </w:docVars>
  <w:rsids>
    <w:rsidRoot w:val="00D6498E"/>
    <w:rsid w:val="00115DF7"/>
    <w:rsid w:val="00296415"/>
    <w:rsid w:val="004D3289"/>
    <w:rsid w:val="004F5DC0"/>
    <w:rsid w:val="00670F67"/>
    <w:rsid w:val="006732F3"/>
    <w:rsid w:val="00833A48"/>
    <w:rsid w:val="00B36673"/>
    <w:rsid w:val="00BA04DC"/>
    <w:rsid w:val="00C61BBB"/>
    <w:rsid w:val="00CE6DEA"/>
    <w:rsid w:val="00D6498E"/>
    <w:rsid w:val="0933462F"/>
    <w:rsid w:val="11B804AB"/>
    <w:rsid w:val="2E291BDE"/>
    <w:rsid w:val="391E3D1C"/>
    <w:rsid w:val="496718EF"/>
    <w:rsid w:val="66455781"/>
    <w:rsid w:val="77E315FD"/>
    <w:rsid w:val="7DF468F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styleId="4">
    <w:name w:val="Normal (Web)"/>
    <w:basedOn w:val="1"/>
    <w:uiPriority w:val="0"/>
    <w:pPr>
      <w:widowControl/>
      <w:spacing w:before="100" w:beforeAutospacing="1" w:after="100" w:afterAutospacing="1"/>
      <w:jc w:val="left"/>
    </w:pPr>
    <w:rPr>
      <w:rFonts w:ascii="宋体" w:hAnsi="宋体" w:cs="宋体"/>
      <w:kern w:val="0"/>
      <w:sz w:val="24"/>
    </w:rPr>
  </w:style>
  <w:style w:type="paragraph" w:customStyle="1" w:styleId="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965</Words>
  <Characters>5506</Characters>
  <Lines>45</Lines>
  <Paragraphs>12</Paragraphs>
  <TotalTime>2</TotalTime>
  <ScaleCrop>false</ScaleCrop>
  <LinksUpToDate>false</LinksUpToDate>
  <CharactersWithSpaces>6459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2023-04-09T14:08:00Z</dcterms:created>
  <dc:creator>Administrator</dc:creator>
  <cp:lastModifiedBy>秋风若寒</cp:lastModifiedBy>
  <dcterms:modified xsi:type="dcterms:W3CDTF">2023-09-28T02:25:29Z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8DB428A5511F44A8801EC6CCE669B700_13</vt:lpwstr>
  </property>
</Properties>
</file>