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D076E">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5EE2ED8">
      <w:pPr>
        <w:jc w:val="both"/>
        <w:rPr>
          <w:rFonts w:hint="eastAsia" w:ascii="黑体" w:hAnsi="黑体" w:eastAsia="黑体" w:cs="黑体"/>
          <w:b w:val="0"/>
          <w:bCs w:val="0"/>
          <w:sz w:val="32"/>
          <w:szCs w:val="32"/>
          <w:lang w:val="en-US" w:eastAsia="zh-CN"/>
        </w:rPr>
      </w:pPr>
    </w:p>
    <w:p w14:paraId="1CD09B64">
      <w:pPr>
        <w:widowControl/>
        <w:spacing w:line="520" w:lineRule="atLeast"/>
        <w:ind w:left="0" w:leftChars="0" w:firstLine="0" w:firstLineChars="0"/>
        <w:jc w:val="center"/>
        <w:rPr>
          <w:rFonts w:hint="default"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第三中学</w:t>
      </w:r>
      <w:r>
        <w:rPr>
          <w:rFonts w:hint="eastAsia" w:ascii="黑体" w:hAnsi="黑体" w:eastAsia="黑体" w:cs="Times New Roman"/>
          <w:b w:val="0"/>
          <w:bCs w:val="0"/>
          <w:color w:val="000000"/>
          <w:kern w:val="0"/>
          <w:sz w:val="44"/>
          <w:szCs w:val="44"/>
          <w:lang w:eastAsia="zh-CN"/>
        </w:rPr>
        <w:t>2026</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单位预算</w:t>
      </w:r>
    </w:p>
    <w:p w14:paraId="2B2698D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A1E2731">
      <w:pPr>
        <w:pStyle w:val="13"/>
        <w:rPr>
          <w:rFonts w:ascii="宋体" w:hAnsi="宋体"/>
          <w:color w:val="000000"/>
        </w:rPr>
      </w:pPr>
    </w:p>
    <w:p w14:paraId="6F488878">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柴桑区第三中学</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FC57A70">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单位</w:t>
      </w:r>
      <w:r>
        <w:rPr>
          <w:rFonts w:ascii="Adobe 仿宋 Std R" w:hAnsi="Adobe 仿宋 Std R" w:eastAsia="Adobe 仿宋 Std R" w:cs="黑体"/>
          <w:kern w:val="2"/>
          <w:sz w:val="32"/>
          <w:szCs w:val="30"/>
        </w:rPr>
        <w:t>主要职责</w:t>
      </w:r>
    </w:p>
    <w:p w14:paraId="75A1D80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21B07914">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柴桑区第三中学</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预算表</w:t>
      </w:r>
    </w:p>
    <w:p w14:paraId="191974C7">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573114F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收入总表》</w:t>
      </w:r>
    </w:p>
    <w:p w14:paraId="6105358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支出总表》</w:t>
      </w:r>
    </w:p>
    <w:p w14:paraId="0D77C25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276B64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40A271C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470A6C9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1399DC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451AAD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36C7CA9A">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lang w:eastAsia="zh-CN"/>
        </w:rPr>
        <w:t>单位</w:t>
      </w:r>
      <w:r>
        <w:rPr>
          <w:rFonts w:hint="eastAsia" w:ascii="Adobe 仿宋 Std R" w:hAnsi="Adobe 仿宋 Std R" w:eastAsia="Adobe 仿宋 Std R" w:cs="黑体"/>
          <w:kern w:val="2"/>
          <w:sz w:val="32"/>
          <w:szCs w:val="30"/>
        </w:rPr>
        <w:t>整体支出绩效目标表</w:t>
      </w:r>
      <w:r>
        <w:rPr>
          <w:rFonts w:ascii="Adobe 仿宋 Std R" w:hAnsi="Adobe 仿宋 Std R" w:eastAsia="Adobe 仿宋 Std R" w:cs="黑体"/>
          <w:kern w:val="2"/>
          <w:sz w:val="32"/>
          <w:szCs w:val="30"/>
        </w:rPr>
        <w:t>》</w:t>
      </w:r>
    </w:p>
    <w:p w14:paraId="4D2353A5">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B24D1A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柴桑区第三中学</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预算情况说明</w:t>
      </w:r>
    </w:p>
    <w:p w14:paraId="52383E3C">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预算收支情况说明</w:t>
      </w:r>
    </w:p>
    <w:p w14:paraId="72B05AE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年“三公”经费预算情况说明</w:t>
      </w:r>
    </w:p>
    <w:p w14:paraId="4F99795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C31DFBE">
      <w:pPr>
        <w:widowControl/>
        <w:spacing w:line="580" w:lineRule="exact"/>
        <w:jc w:val="center"/>
        <w:rPr>
          <w:rFonts w:ascii="仿宋_GB2312" w:eastAsia="仿宋_GB2312"/>
          <w:b/>
          <w:sz w:val="32"/>
          <w:szCs w:val="30"/>
        </w:rPr>
      </w:pPr>
    </w:p>
    <w:p w14:paraId="25552C48">
      <w:pPr>
        <w:widowControl/>
        <w:spacing w:line="580" w:lineRule="exact"/>
        <w:jc w:val="center"/>
        <w:rPr>
          <w:rFonts w:ascii="仿宋_GB2312" w:eastAsia="仿宋_GB2312"/>
          <w:b/>
          <w:sz w:val="32"/>
          <w:szCs w:val="30"/>
        </w:rPr>
      </w:pPr>
    </w:p>
    <w:p w14:paraId="22C3BACB">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柴桑区第三中学</w:t>
      </w:r>
      <w:r>
        <w:rPr>
          <w:rFonts w:hint="eastAsia" w:ascii="仿宋_GB2312" w:eastAsia="仿宋_GB2312"/>
          <w:b/>
          <w:sz w:val="44"/>
          <w:szCs w:val="44"/>
        </w:rPr>
        <w:t>概况</w:t>
      </w:r>
    </w:p>
    <w:p w14:paraId="59750C63">
      <w:pPr>
        <w:widowControl/>
        <w:spacing w:line="580" w:lineRule="exact"/>
        <w:jc w:val="left"/>
        <w:rPr>
          <w:rFonts w:ascii="宋体" w:hAnsi="宋体"/>
          <w:b/>
          <w:sz w:val="36"/>
          <w:szCs w:val="36"/>
        </w:rPr>
      </w:pPr>
    </w:p>
    <w:p w14:paraId="30250BD8">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eastAsia="zh-CN"/>
        </w:rPr>
        <w:t>单位</w:t>
      </w:r>
      <w:r>
        <w:rPr>
          <w:rFonts w:hint="eastAsia" w:ascii="仿宋_GB2312" w:hAnsi="仿宋_GB2312" w:eastAsia="仿宋_GB2312" w:cs="仿宋_GB2312"/>
          <w:b/>
          <w:sz w:val="36"/>
          <w:szCs w:val="36"/>
        </w:rPr>
        <w:t>主要职责</w:t>
      </w:r>
    </w:p>
    <w:p w14:paraId="38721713">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 实施初中教育，促进基础教育发展。</w:t>
      </w:r>
    </w:p>
    <w:p w14:paraId="2A71165B">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2. 负责义务教育阶段学生的学籍管理、毕业资格审定、毕业证书的发放。</w:t>
      </w:r>
    </w:p>
    <w:p w14:paraId="4661D325">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3、制定义务教育阶段新生招生工作方案和实施办法，完成新生入学分配工作。协同上级招生机构，做好中考招生工作。</w:t>
      </w:r>
    </w:p>
    <w:p w14:paraId="233C6AA4">
      <w:pPr>
        <w:rPr>
          <w:b/>
          <w:sz w:val="36"/>
          <w:szCs w:val="36"/>
        </w:rPr>
      </w:pPr>
      <w:r>
        <w:rPr>
          <w:rFonts w:hint="eastAsia"/>
          <w:b/>
          <w:sz w:val="36"/>
          <w:szCs w:val="36"/>
        </w:rPr>
        <w:t>二、机构设置及人员情况</w:t>
      </w:r>
    </w:p>
    <w:p w14:paraId="4A18A88A">
      <w:pPr>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2026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柴桑区第三中学内设处室</w:t>
      </w:r>
      <w:r>
        <w:rPr>
          <w:rFonts w:hint="eastAsia" w:ascii="仿宋" w:hAnsi="仿宋" w:eastAsia="仿宋" w:cs="仿宋"/>
          <w:color w:val="auto"/>
          <w:kern w:val="0"/>
          <w:sz w:val="32"/>
          <w:szCs w:val="32"/>
          <w:lang w:val="en-US" w:eastAsia="zh-CN"/>
        </w:rPr>
        <w:t>5</w:t>
      </w:r>
      <w:r>
        <w:rPr>
          <w:rFonts w:ascii="仿宋" w:hAnsi="仿宋" w:eastAsia="仿宋"/>
          <w:color w:val="auto"/>
          <w:sz w:val="32"/>
          <w:szCs w:val="32"/>
        </w:rPr>
        <w:t>个，包括</w:t>
      </w:r>
      <w:r>
        <w:rPr>
          <w:rFonts w:hint="eastAsia" w:ascii="仿宋" w:hAnsi="仿宋" w:eastAsia="仿宋"/>
          <w:sz w:val="32"/>
          <w:szCs w:val="32"/>
          <w:u w:val="single"/>
          <w:lang w:val="en-US" w:eastAsia="zh-CN"/>
        </w:rPr>
        <w:t>教务处、政教处、总务处、科研处及办公室</w:t>
      </w:r>
      <w:r>
        <w:rPr>
          <w:rFonts w:hint="eastAsia" w:ascii="仿宋" w:hAnsi="仿宋" w:eastAsia="仿宋"/>
          <w:color w:val="auto"/>
          <w:sz w:val="32"/>
          <w:szCs w:val="32"/>
        </w:rPr>
        <w:t>。</w:t>
      </w:r>
    </w:p>
    <w:p w14:paraId="3998A106">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249</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0</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249</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179</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179</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179人，部分</w:t>
      </w:r>
      <w:r>
        <w:rPr>
          <w:rFonts w:ascii="仿宋" w:hAnsi="仿宋" w:eastAsia="仿宋"/>
          <w:sz w:val="32"/>
          <w:szCs w:val="32"/>
        </w:rPr>
        <w:t>部补助事业在职人数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66</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3</w:t>
      </w:r>
      <w:r>
        <w:rPr>
          <w:rFonts w:ascii="仿宋" w:hAnsi="仿宋" w:eastAsia="仿宋"/>
          <w:sz w:val="32"/>
          <w:szCs w:val="32"/>
        </w:rPr>
        <w:t>人。</w:t>
      </w:r>
      <w:r>
        <w:fldChar w:fldCharType="end"/>
      </w:r>
    </w:p>
    <w:p w14:paraId="76392EAF">
      <w:pPr>
        <w:widowControl/>
        <w:spacing w:line="580" w:lineRule="exact"/>
        <w:jc w:val="center"/>
        <w:rPr>
          <w:rFonts w:ascii="仿宋_GB2312" w:eastAsia="仿宋_GB2312"/>
          <w:b/>
          <w:szCs w:val="30"/>
        </w:rPr>
      </w:pPr>
    </w:p>
    <w:p w14:paraId="253D094A">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柴桑区第三中学</w:t>
      </w:r>
      <w:r>
        <w:rPr>
          <w:rFonts w:hint="eastAsia" w:ascii="仿宋_GB2312" w:eastAsia="仿宋_GB2312"/>
          <w:b/>
          <w:sz w:val="44"/>
          <w:szCs w:val="44"/>
          <w:lang w:eastAsia="zh-CN"/>
        </w:rPr>
        <w:t>2026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预算表</w:t>
      </w:r>
    </w:p>
    <w:p w14:paraId="3D31B65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3AD49F21">
      <w:pPr>
        <w:ind w:firstLine="640" w:firstLineChars="200"/>
        <w:jc w:val="left"/>
        <w:rPr>
          <w:rStyle w:val="14"/>
          <w:rFonts w:ascii="仿宋" w:hAnsi="仿宋" w:eastAsia="仿宋"/>
          <w:bCs/>
          <w:sz w:val="32"/>
          <w:szCs w:val="32"/>
        </w:rPr>
      </w:pPr>
    </w:p>
    <w:p w14:paraId="4C5A2E95">
      <w:pPr>
        <w:ind w:firstLine="640" w:firstLineChars="200"/>
        <w:jc w:val="left"/>
        <w:rPr>
          <w:rStyle w:val="14"/>
          <w:rFonts w:ascii="仿宋" w:hAnsi="仿宋" w:eastAsia="仿宋"/>
          <w:bCs/>
          <w:sz w:val="32"/>
          <w:szCs w:val="32"/>
        </w:rPr>
      </w:pPr>
    </w:p>
    <w:p w14:paraId="4FC5DEED">
      <w:pPr>
        <w:ind w:firstLine="640" w:firstLineChars="200"/>
        <w:jc w:val="left"/>
        <w:rPr>
          <w:rStyle w:val="14"/>
          <w:rFonts w:ascii="仿宋" w:hAnsi="仿宋" w:eastAsia="仿宋"/>
          <w:bCs/>
          <w:sz w:val="32"/>
          <w:szCs w:val="32"/>
        </w:rPr>
      </w:pPr>
    </w:p>
    <w:p w14:paraId="524C0B57">
      <w:pPr>
        <w:ind w:firstLine="640" w:firstLineChars="200"/>
        <w:jc w:val="left"/>
        <w:rPr>
          <w:rStyle w:val="14"/>
          <w:rFonts w:ascii="仿宋" w:hAnsi="仿宋" w:eastAsia="仿宋"/>
          <w:bCs/>
          <w:sz w:val="32"/>
          <w:szCs w:val="32"/>
        </w:rPr>
      </w:pPr>
    </w:p>
    <w:p w14:paraId="258BA7C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柴桑区第三中学</w:t>
      </w:r>
      <w:r>
        <w:rPr>
          <w:rFonts w:hint="eastAsia" w:ascii="仿宋_GB2312" w:eastAsia="仿宋_GB2312"/>
          <w:b/>
          <w:sz w:val="44"/>
          <w:szCs w:val="44"/>
          <w:lang w:eastAsia="zh-CN"/>
        </w:rPr>
        <w:t>2026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预算情况说明</w:t>
      </w:r>
    </w:p>
    <w:p w14:paraId="6A8C1E24">
      <w:pPr>
        <w:widowControl/>
        <w:spacing w:line="580" w:lineRule="exact"/>
        <w:jc w:val="center"/>
        <w:rPr>
          <w:rFonts w:ascii="仿宋_GB2312" w:eastAsia="仿宋_GB2312"/>
          <w:b/>
          <w:sz w:val="32"/>
          <w:szCs w:val="30"/>
        </w:rPr>
      </w:pPr>
    </w:p>
    <w:p w14:paraId="7A985D57">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单位</w:t>
      </w:r>
      <w:r>
        <w:rPr>
          <w:rFonts w:hint="eastAsia" w:ascii="黑体" w:hAnsi="黑体" w:eastAsia="黑体" w:cs="黑体"/>
          <w:b w:val="0"/>
          <w:bCs/>
          <w:sz w:val="32"/>
          <w:szCs w:val="30"/>
        </w:rPr>
        <w:t>预算收支情况说明</w:t>
      </w:r>
    </w:p>
    <w:p w14:paraId="0B3B17EB">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3CAAF064">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柴桑区第三中学</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4085.2</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459.68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3668.5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444.52</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val="en-US" w:eastAsia="zh-CN"/>
        </w:rPr>
        <w:t>事业单位经营收入0万元，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highlight w:val="none"/>
          <w:lang w:val="en-US" w:eastAsia="zh-CN"/>
        </w:rPr>
        <w:t>附属单位上缴收入0万元</w:t>
      </w:r>
      <w:r>
        <w:rPr>
          <w:rFonts w:hint="eastAsia" w:ascii="仿宋" w:hAnsi="仿宋" w:eastAsia="仿宋" w:cs="Times New Roman"/>
          <w:kern w:val="0"/>
          <w:sz w:val="32"/>
          <w:szCs w:val="32"/>
          <w:lang w:val="en-US" w:eastAsia="zh-CN"/>
        </w:rPr>
        <w:t>，</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lang w:val="en-US" w:eastAsia="zh-CN"/>
        </w:rPr>
        <w:t>0万元；上级补助收入0万元，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lang w:val="en-US" w:eastAsia="zh-CN"/>
        </w:rPr>
        <w:t>0万元；其他收入416.7万元，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15.16万元；使用非财政拨款结余0万元，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lang w:val="en-US" w:eastAsia="zh-CN"/>
        </w:rPr>
        <w:t>0万元；上年结转（结余）0万元，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lang w:val="en-US" w:eastAsia="zh-CN"/>
        </w:rPr>
        <w:t>0万元。</w:t>
      </w:r>
    </w:p>
    <w:p w14:paraId="0A3E1BED">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237E18C">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柴桑区第三中学</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hint="eastAsia" w:ascii="仿宋" w:hAnsi="仿宋" w:eastAsia="仿宋"/>
          <w:sz w:val="32"/>
          <w:szCs w:val="32"/>
          <w:lang w:val="en-US" w:eastAsia="zh-CN"/>
        </w:rPr>
        <w:t>4085.2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459.68</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4B77D2C6">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3763.47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137.95</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3474.69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68.19</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220.59</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38.7</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321.73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321.73</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283.03</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38.7</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5C4F02AB">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较上年预算安排增加（减少）</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万</w:t>
      </w:r>
      <w:r>
        <w:rPr>
          <w:rStyle w:val="14"/>
          <w:rFonts w:hint="eastAsia" w:ascii="仿宋" w:hAnsi="仿宋" w:eastAsia="仿宋"/>
          <w:color w:val="auto"/>
          <w:sz w:val="32"/>
          <w:szCs w:val="32"/>
          <w:highlight w:val="none"/>
          <w:lang w:val="en-US" w:eastAsia="zh-CN"/>
        </w:rPr>
        <w:t>元；公共安全支出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较上年预算安排增加（减少）</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3285.1</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32.32</w:t>
      </w:r>
      <w:r>
        <w:rPr>
          <w:rStyle w:val="14"/>
          <w:rFonts w:ascii="仿宋" w:hAnsi="仿宋" w:eastAsia="仿宋"/>
          <w:sz w:val="32"/>
          <w:szCs w:val="32"/>
        </w:rPr>
        <w:t>万元;科学技术支出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文化旅游体育与传媒支出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376.86</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68.76</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210.95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210.95</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元；城乡社区支出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交通运输支出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元；资源勘探工业信息等支出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元；商业服务业等支出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元；金融支出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元；自然资源海洋气象等支出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212.29</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212.29</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元；灾害防治及应急管理支出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p>
    <w:p w14:paraId="78F5C082">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3474.69</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698.49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351.22</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47.22</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220.59</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215.65</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38.7</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较上年预算安排减少</w:t>
      </w:r>
      <w:r>
        <w:rPr>
          <w:rStyle w:val="14"/>
          <w:rFonts w:hint="eastAsia" w:ascii="仿宋" w:hAnsi="仿宋" w:eastAsia="仿宋"/>
          <w:sz w:val="32"/>
          <w:szCs w:val="32"/>
          <w:lang w:val="en-US" w:eastAsia="zh-CN"/>
        </w:rPr>
        <w:t>5.7</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万元,较上年预算安排增加（减少）</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fldChar w:fldCharType="end"/>
      </w:r>
    </w:p>
    <w:p w14:paraId="740585B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5B1803FE">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柴桑区第三中学</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3668.5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444.52</w:t>
      </w:r>
      <w:r>
        <w:rPr>
          <w:rStyle w:val="14"/>
          <w:rFonts w:ascii="仿宋" w:hAnsi="仿宋" w:eastAsia="仿宋"/>
          <w:sz w:val="32"/>
          <w:szCs w:val="32"/>
        </w:rPr>
        <w:t>万元;</w:t>
      </w:r>
      <w:r>
        <w:fldChar w:fldCharType="end"/>
      </w:r>
    </w:p>
    <w:p w14:paraId="650C2A9B">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2868.4</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376.86</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210.95</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212.29</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5CCCBAD4">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3346.77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122.79</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3057.99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68.19</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220.59</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321.73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321.73</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283.03</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38.7</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14:paraId="0521EC2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06C53D1C">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柴桑区第三中学</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hint="eastAsia" w:ascii="仿宋" w:hAnsi="仿宋" w:eastAsia="仿宋" w:cs="Times New Roman"/>
          <w:kern w:val="0"/>
          <w:sz w:val="32"/>
          <w:szCs w:val="32"/>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177B5A1F">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没有使用政府性基金预算拨款安排的支出</w:t>
      </w:r>
      <w:r>
        <w:rPr>
          <w:rStyle w:val="14"/>
          <w:rFonts w:hint="eastAsia" w:ascii="仿宋" w:hAnsi="仿宋" w:eastAsia="仿宋"/>
          <w:b/>
          <w:bCs/>
          <w:sz w:val="32"/>
          <w:szCs w:val="32"/>
          <w:lang w:eastAsia="zh-CN"/>
        </w:rPr>
        <w:t>。</w:t>
      </w:r>
    </w:p>
    <w:p w14:paraId="1FDBFBFE">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0C5AAF8C">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柴桑区第三中学</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67608D7C">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没有使用国有资本经营预算拨款安排的支出</w:t>
      </w:r>
      <w:r>
        <w:rPr>
          <w:rStyle w:val="14"/>
          <w:rFonts w:hint="eastAsia" w:ascii="仿宋" w:hAnsi="仿宋" w:eastAsia="仿宋"/>
          <w:b/>
          <w:bCs/>
          <w:sz w:val="32"/>
          <w:szCs w:val="32"/>
          <w:lang w:eastAsia="zh-CN"/>
        </w:rPr>
        <w:t>。</w:t>
      </w:r>
    </w:p>
    <w:p w14:paraId="18496B65">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3FDD7CC0">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本单位非行政参公单位，无机关运行经费</w:t>
      </w:r>
      <w:r>
        <w:rPr>
          <w:rStyle w:val="14"/>
          <w:rFonts w:hint="eastAsia" w:ascii="仿宋" w:hAnsi="仿宋" w:eastAsia="仿宋"/>
          <w:b/>
          <w:bCs/>
          <w:sz w:val="32"/>
          <w:szCs w:val="32"/>
          <w:lang w:eastAsia="zh-CN"/>
        </w:rPr>
        <w:t>。</w:t>
      </w:r>
    </w:p>
    <w:p w14:paraId="0E7AFBC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54F40C9C">
      <w:pPr>
        <w:ind w:firstLine="531"/>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所属各单位政府采购总额</w:t>
      </w:r>
      <w:r>
        <w:rPr>
          <w:rFonts w:hint="eastAsia" w:ascii="仿宋" w:hAnsi="仿宋" w:eastAsia="仿宋" w:cs="Times New Roman"/>
          <w:kern w:val="0"/>
          <w:sz w:val="32"/>
          <w:szCs w:val="32"/>
          <w:lang w:val="en-US" w:eastAsia="zh-CN"/>
        </w:rPr>
        <w:t>38.7</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38.7</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14:paraId="24E7ABAC">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09163131">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各级财政编制单位预算基础信息上报截止时间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w:t>
      </w:r>
      <w:r>
        <w:fldChar w:fldCharType="end"/>
      </w:r>
    </w:p>
    <w:p w14:paraId="2B5D3ED5">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rPr>
        <w:t>。</w:t>
      </w:r>
    </w:p>
    <w:p w14:paraId="676AF70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如“单位共有车辆0辆”</w:t>
      </w:r>
      <w:r>
        <w:rPr>
          <w:rFonts w:hint="eastAsia" w:ascii="Adobe 仿宋 Std R" w:hAnsi="Adobe 仿宋 Std R" w:eastAsia="Adobe 仿宋 Std R"/>
          <w:sz w:val="32"/>
          <w:szCs w:val="32"/>
          <w:lang w:val="en-US" w:eastAsia="zh-CN"/>
        </w:rPr>
        <w:t>）</w:t>
      </w:r>
    </w:p>
    <w:p w14:paraId="01CFD9C3">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val="en-US" w:eastAsia="zh-CN"/>
        </w:rPr>
        <w:t>城乡义务教育生均公用经费-初中</w:t>
      </w:r>
      <w:r>
        <w:rPr>
          <w:rStyle w:val="14"/>
          <w:rFonts w:hint="eastAsia" w:ascii="楷体_GB2312" w:hAnsi="楷体_GB2312" w:eastAsia="楷体_GB2312" w:cs="楷体_GB2312"/>
          <w:b/>
          <w:bCs w:val="0"/>
          <w:sz w:val="32"/>
          <w:szCs w:val="32"/>
        </w:rPr>
        <w:t>项目情况说明</w:t>
      </w:r>
    </w:p>
    <w:p w14:paraId="51EAEC44">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w:t>
      </w:r>
      <w:r>
        <w:rPr>
          <w:rStyle w:val="14"/>
          <w:rFonts w:hint="eastAsia" w:ascii="楷体_GB2312" w:hAnsi="楷体_GB2312" w:eastAsia="楷体_GB2312" w:cs="楷体_GB2312"/>
          <w:b/>
          <w:bCs w:val="0"/>
          <w:sz w:val="32"/>
          <w:szCs w:val="32"/>
          <w:lang w:val="en-US" w:eastAsia="zh-CN"/>
        </w:rPr>
        <w:t>城乡义务教育生均公用经费-初中</w:t>
      </w:r>
      <w:r>
        <w:rPr>
          <w:rFonts w:hint="eastAsia" w:ascii="Adobe 仿宋 Std R" w:hAnsi="Adobe 仿宋 Std R" w:eastAsia="Adobe 仿宋 Std R"/>
          <w:sz w:val="32"/>
          <w:szCs w:val="32"/>
        </w:rPr>
        <w:t>项目</w:t>
      </w:r>
    </w:p>
    <w:p w14:paraId="335185E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：年度生均公用经费，用于学校办公、水电、零星维修、设备购置等支出，保障学校正常运转、开展教育教学活动及其他日常工作任务。</w:t>
      </w:r>
    </w:p>
    <w:p w14:paraId="7BC58C3C">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生均公用经费是政府为保障学校正常运转和教育质量，按学生人数核定并拨付的公用经费标准，其背景依据主要包括政策法规、财政事权划分及教育发展需求。江西省生均公用经费政策的背景依据主要基于国家和省级政府关于义务教育经费保障机制的统一部署，旨在确保各级各类学校正常运转并提升教育质量。以下是具体依据和调整情况：遵循《国务院办公厅关于进一步加强义务教育经费保障机制改革的通知》（国办发〔2015〕67号）等文件精神，结合本地实际制定配套政策。以《江西省人民政府关于进一步完善城乡义务教育经费保障机制的实施意见》（赣府发〔2016〕17号）为核心，明确生均公用经费基准定额及分担比例 。</w:t>
      </w:r>
    </w:p>
    <w:p w14:paraId="645A5CE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江西省九江市柴桑区第三中学</w:t>
      </w:r>
    </w:p>
    <w:p w14:paraId="0853897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生均</w:t>
      </w:r>
      <w:r>
        <w:rPr>
          <w:rFonts w:hint="eastAsia" w:ascii="Adobe 仿宋 Std R" w:hAnsi="Adobe 仿宋 Std R" w:eastAsia="Adobe 仿宋 Std R"/>
          <w:sz w:val="32"/>
          <w:szCs w:val="32"/>
          <w:lang w:eastAsia="zh-CN"/>
        </w:rPr>
        <w:t>公用经费，</w:t>
      </w:r>
      <w:r>
        <w:rPr>
          <w:rFonts w:hint="eastAsia" w:ascii="Adobe 仿宋 Std R" w:hAnsi="Adobe 仿宋 Std R" w:eastAsia="Adobe 仿宋 Std R"/>
          <w:sz w:val="32"/>
          <w:szCs w:val="32"/>
          <w:lang w:val="en-US" w:eastAsia="zh-CN"/>
        </w:rPr>
        <w:t>由财政拨款，</w:t>
      </w:r>
      <w:r>
        <w:rPr>
          <w:rFonts w:hint="eastAsia" w:ascii="Adobe 仿宋 Std R" w:hAnsi="Adobe 仿宋 Std R" w:eastAsia="Adobe 仿宋 Std R"/>
          <w:sz w:val="32"/>
          <w:szCs w:val="32"/>
          <w:lang w:eastAsia="zh-CN"/>
        </w:rPr>
        <w:t>用于学校办公、水电、零星维修、设备购置等支出，保障学校正常运转、开展教育教学活动及其他日常工作任务。</w:t>
      </w:r>
      <w:r>
        <w:rPr>
          <w:rFonts w:hint="eastAsia" w:ascii="Adobe 仿宋 Std R" w:hAnsi="Adobe 仿宋 Std R" w:eastAsia="Adobe 仿宋 Std R"/>
          <w:sz w:val="32"/>
          <w:szCs w:val="32"/>
          <w:lang w:val="en-US" w:eastAsia="zh-CN"/>
        </w:rPr>
        <w:t>实行“谁使用，谁负责”的责任机制，学校需健全预算和内部控制制度，经费使用情况需接受监督。由各级财政、教育部门及财政部监管局负责监督，确保资金专款专用，防止截留、挤占和挪用。</w:t>
      </w:r>
      <w:bookmarkStart w:id="0" w:name="_GoBack"/>
      <w:bookmarkEnd w:id="0"/>
    </w:p>
    <w:p w14:paraId="43C9BD8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一年</w:t>
      </w:r>
    </w:p>
    <w:p w14:paraId="0AF7B7F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321.73万元</w:t>
      </w:r>
    </w:p>
    <w:p w14:paraId="42F30032">
      <w:pPr>
        <w:ind w:firstLine="642"/>
        <w:rPr>
          <w:rFonts w:hint="eastAsia" w:ascii="Adobe 仿宋 Std R" w:hAnsi="Adobe 仿宋 Std R" w:eastAsia="Adobe 仿宋 Std R"/>
          <w:sz w:val="32"/>
          <w:szCs w:val="32"/>
        </w:rPr>
      </w:pPr>
    </w:p>
    <w:p w14:paraId="6D39270A">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年“三公”经费预算情况说明</w:t>
      </w:r>
    </w:p>
    <w:p w14:paraId="75B43A3D">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lang w:val="en-US" w:eastAsia="zh-CN"/>
        </w:rPr>
        <w:t>柴桑区第三中学</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w:t>
      </w:r>
      <w:r>
        <w:rPr>
          <w:rFonts w:hint="eastAsia" w:ascii="仿宋" w:hAnsi="仿宋" w:eastAsia="仿宋"/>
          <w:bCs/>
          <w:sz w:val="32"/>
          <w:szCs w:val="32"/>
          <w:lang w:val="en-US" w:eastAsia="zh-CN"/>
        </w:rPr>
        <w:t>财政拨款</w:t>
      </w:r>
      <w:r>
        <w:rPr>
          <w:rFonts w:hint="eastAsia" w:ascii="仿宋" w:hAnsi="仿宋" w:eastAsia="仿宋"/>
          <w:bCs/>
          <w:sz w:val="32"/>
          <w:szCs w:val="32"/>
        </w:rPr>
        <w:t>安排</w:t>
      </w:r>
      <w:r>
        <w:rPr>
          <w:rFonts w:hint="eastAsia" w:ascii="仿宋" w:hAnsi="仿宋" w:eastAsia="仿宋" w:cs="Times New Roman"/>
          <w:kern w:val="0"/>
          <w:sz w:val="32"/>
          <w:szCs w:val="32"/>
          <w:lang w:val="en-US" w:eastAsia="zh-CN"/>
        </w:rPr>
        <w:t>1</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2103CDCF">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 w:val="0"/>
          <w:bCs/>
          <w:sz w:val="32"/>
          <w:szCs w:val="32"/>
          <w:u w:val="single"/>
          <w:lang w:val="en-US" w:eastAsia="zh-CN"/>
        </w:rPr>
        <w:t>与上年安排保持一致</w:t>
      </w:r>
      <w:r>
        <w:rPr>
          <w:rFonts w:ascii="仿宋" w:hAnsi="仿宋" w:eastAsia="仿宋"/>
          <w:bCs/>
          <w:sz w:val="32"/>
          <w:szCs w:val="32"/>
        </w:rPr>
        <w:t>。</w:t>
      </w:r>
    </w:p>
    <w:p w14:paraId="1355902B">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1</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 w:val="0"/>
          <w:bCs/>
          <w:sz w:val="32"/>
          <w:szCs w:val="32"/>
          <w:u w:val="single"/>
          <w:lang w:val="en-US" w:eastAsia="zh-CN"/>
        </w:rPr>
        <w:t>与上年安排保持一致</w:t>
      </w:r>
      <w:r>
        <w:rPr>
          <w:rFonts w:ascii="仿宋" w:hAnsi="仿宋" w:eastAsia="仿宋"/>
          <w:bCs/>
          <w:sz w:val="32"/>
          <w:szCs w:val="32"/>
        </w:rPr>
        <w:t>。</w:t>
      </w:r>
    </w:p>
    <w:p w14:paraId="6F242549">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 w:val="0"/>
          <w:bCs/>
          <w:sz w:val="32"/>
          <w:szCs w:val="32"/>
          <w:u w:val="single"/>
          <w:lang w:val="en-US" w:eastAsia="zh-CN"/>
        </w:rPr>
        <w:t>与上年安排保持一致</w:t>
      </w:r>
      <w:r>
        <w:rPr>
          <w:rFonts w:ascii="仿宋" w:hAnsi="仿宋" w:eastAsia="仿宋"/>
          <w:bCs/>
          <w:sz w:val="32"/>
          <w:szCs w:val="32"/>
        </w:rPr>
        <w:t>。</w:t>
      </w:r>
    </w:p>
    <w:p w14:paraId="219CE969">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 w:val="0"/>
          <w:bCs/>
          <w:sz w:val="32"/>
          <w:szCs w:val="32"/>
          <w:u w:val="single"/>
          <w:lang w:val="en-US" w:eastAsia="zh-CN"/>
        </w:rPr>
        <w:t>与上年安排保持一致</w:t>
      </w:r>
      <w:r>
        <w:rPr>
          <w:rFonts w:ascii="仿宋" w:hAnsi="仿宋" w:eastAsia="仿宋"/>
          <w:bCs/>
          <w:sz w:val="32"/>
          <w:szCs w:val="32"/>
        </w:rPr>
        <w:t>。</w:t>
      </w:r>
    </w:p>
    <w:p w14:paraId="054BA03E">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增减变化为0的也请填写，并在主要原因说明</w:t>
      </w:r>
      <w:r>
        <w:rPr>
          <w:rFonts w:hint="eastAsia" w:ascii="仿宋" w:hAnsi="仿宋" w:eastAsia="仿宋"/>
          <w:b/>
          <w:bCs w:val="0"/>
          <w:sz w:val="32"/>
          <w:szCs w:val="32"/>
          <w:lang w:val="en-US" w:eastAsia="zh-CN"/>
        </w:rPr>
        <w:t>“与上年安排保持一致”</w:t>
      </w:r>
      <w:r>
        <w:rPr>
          <w:rFonts w:hint="eastAsia" w:ascii="仿宋" w:hAnsi="仿宋" w:eastAsia="仿宋"/>
          <w:bCs/>
          <w:sz w:val="32"/>
          <w:szCs w:val="32"/>
          <w:lang w:eastAsia="zh-CN"/>
        </w:rPr>
        <w:t>）</w:t>
      </w:r>
    </w:p>
    <w:p w14:paraId="56D622A2">
      <w:pPr>
        <w:widowControl/>
        <w:shd w:val="clear" w:color="auto" w:fill="FFFFFF"/>
        <w:spacing w:line="640" w:lineRule="atLeast"/>
        <w:ind w:firstLine="640"/>
        <w:jc w:val="center"/>
        <w:rPr>
          <w:rFonts w:ascii="仿宋_GB2312" w:eastAsia="仿宋_GB2312"/>
          <w:b/>
          <w:sz w:val="32"/>
          <w:szCs w:val="30"/>
        </w:rPr>
      </w:pPr>
    </w:p>
    <w:p w14:paraId="3AF9B7C4">
      <w:pPr>
        <w:widowControl/>
        <w:shd w:val="clear" w:color="auto" w:fill="FFFFFF"/>
        <w:spacing w:line="640" w:lineRule="atLeast"/>
        <w:ind w:firstLine="640"/>
        <w:jc w:val="center"/>
        <w:rPr>
          <w:rFonts w:ascii="仿宋_GB2312" w:eastAsia="仿宋_GB2312"/>
          <w:b/>
          <w:sz w:val="32"/>
          <w:szCs w:val="30"/>
        </w:rPr>
      </w:pPr>
    </w:p>
    <w:p w14:paraId="33EFF5E4">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0E55423E">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6FC51A6F">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35B82626">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5168396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DB8E38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4694CAB1">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6CFFF737">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14:paraId="433371A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F81D26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63A7BDE4">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1C55E38F">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2A55E89D">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实际，参照《2026年政府收支分类科目》的规范说明进行解释。</w:t>
      </w:r>
    </w:p>
    <w:p w14:paraId="07C886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19D00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4B7D49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517ED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D67B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1212D2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0B64B8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9A2FB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14:paraId="432071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14:paraId="3AFD8ED2">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14:paraId="101C8E5A">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5A5D96">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2CFFC1C6">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13047016">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1FF34A67">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dobe 仿宋 Std R">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EA9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C08CB23">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35C540E"/>
    <w:rsid w:val="03B72CC7"/>
    <w:rsid w:val="04763F31"/>
    <w:rsid w:val="04EA5622"/>
    <w:rsid w:val="05F01250"/>
    <w:rsid w:val="069552CB"/>
    <w:rsid w:val="0811040D"/>
    <w:rsid w:val="087B3EA7"/>
    <w:rsid w:val="08A00A2D"/>
    <w:rsid w:val="09691794"/>
    <w:rsid w:val="098E76A3"/>
    <w:rsid w:val="0AE72B76"/>
    <w:rsid w:val="0B001F2F"/>
    <w:rsid w:val="0B172C65"/>
    <w:rsid w:val="0C9776ED"/>
    <w:rsid w:val="0D4B4CD3"/>
    <w:rsid w:val="0E6B25E0"/>
    <w:rsid w:val="12086726"/>
    <w:rsid w:val="12170AB5"/>
    <w:rsid w:val="128B26EC"/>
    <w:rsid w:val="12B30C96"/>
    <w:rsid w:val="147E3783"/>
    <w:rsid w:val="158A79C4"/>
    <w:rsid w:val="168D7598"/>
    <w:rsid w:val="178C24ED"/>
    <w:rsid w:val="17A47D26"/>
    <w:rsid w:val="1A564145"/>
    <w:rsid w:val="1A7A6541"/>
    <w:rsid w:val="1C453EB2"/>
    <w:rsid w:val="1C60776B"/>
    <w:rsid w:val="1CCC6940"/>
    <w:rsid w:val="1E890F8D"/>
    <w:rsid w:val="1ED932C0"/>
    <w:rsid w:val="1FB41916"/>
    <w:rsid w:val="2047243B"/>
    <w:rsid w:val="21534ADC"/>
    <w:rsid w:val="22CB58FB"/>
    <w:rsid w:val="2519649B"/>
    <w:rsid w:val="25231156"/>
    <w:rsid w:val="26504C69"/>
    <w:rsid w:val="27A91D58"/>
    <w:rsid w:val="28685F76"/>
    <w:rsid w:val="29A26457"/>
    <w:rsid w:val="2EAB4B6A"/>
    <w:rsid w:val="2EDA4EED"/>
    <w:rsid w:val="2F7973C6"/>
    <w:rsid w:val="30D10882"/>
    <w:rsid w:val="3255662B"/>
    <w:rsid w:val="328E04C8"/>
    <w:rsid w:val="32B01FF9"/>
    <w:rsid w:val="3569247E"/>
    <w:rsid w:val="37C02198"/>
    <w:rsid w:val="38EE4A0F"/>
    <w:rsid w:val="39D81433"/>
    <w:rsid w:val="3A506A32"/>
    <w:rsid w:val="3A5F274A"/>
    <w:rsid w:val="3C10400B"/>
    <w:rsid w:val="3CC051F9"/>
    <w:rsid w:val="3E675F8E"/>
    <w:rsid w:val="40AD2461"/>
    <w:rsid w:val="42672788"/>
    <w:rsid w:val="429A6A15"/>
    <w:rsid w:val="42D86204"/>
    <w:rsid w:val="456265B6"/>
    <w:rsid w:val="464A2500"/>
    <w:rsid w:val="465C21CE"/>
    <w:rsid w:val="481F5CD4"/>
    <w:rsid w:val="4921778A"/>
    <w:rsid w:val="4CD22D17"/>
    <w:rsid w:val="4D64034B"/>
    <w:rsid w:val="4DDA0A50"/>
    <w:rsid w:val="4E2E4DC7"/>
    <w:rsid w:val="4E4D56E6"/>
    <w:rsid w:val="4EDD2163"/>
    <w:rsid w:val="50986AB5"/>
    <w:rsid w:val="50CA1027"/>
    <w:rsid w:val="5209326F"/>
    <w:rsid w:val="528154FB"/>
    <w:rsid w:val="52FE6B4C"/>
    <w:rsid w:val="53B4545D"/>
    <w:rsid w:val="549F7F67"/>
    <w:rsid w:val="55A35789"/>
    <w:rsid w:val="57284198"/>
    <w:rsid w:val="579730CB"/>
    <w:rsid w:val="58F07B3F"/>
    <w:rsid w:val="5C3A5E6A"/>
    <w:rsid w:val="5C525EDC"/>
    <w:rsid w:val="5DF324D4"/>
    <w:rsid w:val="5E275239"/>
    <w:rsid w:val="5FC75D5B"/>
    <w:rsid w:val="60454E6C"/>
    <w:rsid w:val="628F156F"/>
    <w:rsid w:val="659A0956"/>
    <w:rsid w:val="65D45034"/>
    <w:rsid w:val="65EB4454"/>
    <w:rsid w:val="67544B35"/>
    <w:rsid w:val="6771764C"/>
    <w:rsid w:val="6A7E0DF8"/>
    <w:rsid w:val="6B016D82"/>
    <w:rsid w:val="6B95402F"/>
    <w:rsid w:val="6BB56B6A"/>
    <w:rsid w:val="6EB56B85"/>
    <w:rsid w:val="6FA128E1"/>
    <w:rsid w:val="70C366B0"/>
    <w:rsid w:val="719B6760"/>
    <w:rsid w:val="72D03F57"/>
    <w:rsid w:val="753F6323"/>
    <w:rsid w:val="77084C62"/>
    <w:rsid w:val="770E067D"/>
    <w:rsid w:val="775A3A98"/>
    <w:rsid w:val="79EF706B"/>
    <w:rsid w:val="7A7D67F0"/>
    <w:rsid w:val="7A9E5575"/>
    <w:rsid w:val="7BD158A7"/>
    <w:rsid w:val="7E457CCB"/>
    <w:rsid w:val="7E596FAC"/>
    <w:rsid w:val="7E8A1D6F"/>
    <w:rsid w:val="7EA75D72"/>
    <w:rsid w:val="7F0F0B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4427</Words>
  <Characters>5167</Characters>
  <Lines>21</Lines>
  <Paragraphs>6</Paragraphs>
  <TotalTime>17</TotalTime>
  <ScaleCrop>false</ScaleCrop>
  <LinksUpToDate>false</LinksUpToDate>
  <CharactersWithSpaces>5278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qzuser</cp:lastModifiedBy>
  <cp:lastPrinted>2018-04-23T08:18:00Z</cp:lastPrinted>
  <dcterms:modified xsi:type="dcterms:W3CDTF">2026-02-03T03:31:54Z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1213B020A891424CA3B21B4655CA8A3A</vt:lpwstr>
  </property>
  <property fmtid="{D5CDD505-2E9C-101B-9397-08002B2CF9AE}" pid="4" name="KSOTemplateDocerSaveRecord">
    <vt:lpwstr>eyJoZGlkIjoiOGMyYjMyYTE4Mzc4NjhiMzExNDc1M2FkZGJiZjA4MjMiLCJ1c2VySWQiOiIzMDgyMDI4MDAifQ==</vt:lpwstr>
  </property>
</Properties>
</file>