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9EE17">
      <w:pPr>
        <w:spacing w:line="360" w:lineRule="auto"/>
        <w:jc w:val="center"/>
        <w:rPr>
          <w:rFonts w:hint="eastAsia" w:ascii="宋体" w:hAnsi="宋体" w:cs="宋体"/>
          <w:b/>
          <w:bCs/>
          <w:sz w:val="44"/>
          <w:szCs w:val="44"/>
        </w:rPr>
      </w:pPr>
      <w:bookmarkStart w:id="0" w:name="_Toc28892_WPSOffice_Level1"/>
    </w:p>
    <w:p w14:paraId="44FF9982">
      <w:pPr>
        <w:spacing w:line="360" w:lineRule="auto"/>
        <w:jc w:val="center"/>
        <w:rPr>
          <w:rFonts w:hint="eastAsia" w:ascii="宋体" w:hAnsi="宋体" w:cs="宋体"/>
          <w:b/>
          <w:bCs/>
          <w:sz w:val="44"/>
          <w:szCs w:val="44"/>
        </w:rPr>
      </w:pPr>
    </w:p>
    <w:p w14:paraId="1CB0F010">
      <w:pPr>
        <w:spacing w:line="360" w:lineRule="auto"/>
        <w:jc w:val="center"/>
        <w:rPr>
          <w:rFonts w:hint="eastAsia" w:ascii="宋体" w:hAnsi="宋体" w:cs="宋体"/>
          <w:b/>
          <w:bCs/>
          <w:sz w:val="44"/>
          <w:szCs w:val="44"/>
        </w:rPr>
      </w:pPr>
    </w:p>
    <w:p w14:paraId="4AF65580">
      <w:pPr>
        <w:spacing w:line="360" w:lineRule="auto"/>
        <w:jc w:val="center"/>
        <w:rPr>
          <w:rFonts w:hint="eastAsia" w:ascii="宋体" w:hAnsi="宋体" w:cs="宋体"/>
          <w:b/>
          <w:bCs/>
          <w:sz w:val="44"/>
          <w:szCs w:val="44"/>
        </w:rPr>
      </w:pPr>
    </w:p>
    <w:p w14:paraId="673AF879">
      <w:pPr>
        <w:spacing w:line="360" w:lineRule="auto"/>
        <w:jc w:val="center"/>
        <w:rPr>
          <w:rFonts w:hint="eastAsia" w:ascii="宋体" w:hAnsi="宋体" w:cs="宋体"/>
          <w:b/>
          <w:bCs/>
          <w:sz w:val="44"/>
          <w:szCs w:val="44"/>
        </w:rPr>
      </w:pPr>
    </w:p>
    <w:p w14:paraId="5C5B2627">
      <w:pPr>
        <w:spacing w:line="360" w:lineRule="auto"/>
        <w:jc w:val="center"/>
        <w:rPr>
          <w:rFonts w:hint="eastAsia" w:ascii="宋体" w:hAnsi="宋体" w:cs="宋体"/>
          <w:b/>
          <w:bCs/>
          <w:sz w:val="44"/>
          <w:szCs w:val="44"/>
        </w:rPr>
      </w:pPr>
    </w:p>
    <w:p w14:paraId="2FD38B19">
      <w:pPr>
        <w:spacing w:line="360" w:lineRule="auto"/>
        <w:jc w:val="center"/>
        <w:rPr>
          <w:rFonts w:hint="eastAsia" w:ascii="宋体" w:hAnsi="宋体" w:cs="宋体"/>
          <w:b/>
          <w:bCs/>
          <w:sz w:val="44"/>
          <w:szCs w:val="44"/>
        </w:rPr>
      </w:pPr>
    </w:p>
    <w:p w14:paraId="618C0B42">
      <w:pPr>
        <w:spacing w:line="360" w:lineRule="auto"/>
        <w:jc w:val="center"/>
        <w:rPr>
          <w:rFonts w:hint="eastAsia" w:ascii="宋体" w:hAnsi="宋体" w:cs="宋体"/>
          <w:b/>
          <w:bCs/>
          <w:sz w:val="44"/>
          <w:szCs w:val="44"/>
        </w:rPr>
      </w:pPr>
    </w:p>
    <w:p w14:paraId="5498C043">
      <w:pPr>
        <w:spacing w:line="360" w:lineRule="auto"/>
        <w:jc w:val="center"/>
        <w:rPr>
          <w:rFonts w:hint="eastAsia" w:ascii="宋体" w:hAnsi="宋体" w:cs="宋体"/>
          <w:b/>
          <w:bCs/>
          <w:sz w:val="44"/>
          <w:szCs w:val="44"/>
        </w:rPr>
      </w:pPr>
    </w:p>
    <w:p w14:paraId="0314A9A7">
      <w:pPr>
        <w:spacing w:line="360" w:lineRule="auto"/>
        <w:jc w:val="center"/>
        <w:rPr>
          <w:rFonts w:hint="eastAsia" w:ascii="宋体" w:hAnsi="宋体" w:cs="宋体"/>
          <w:b/>
          <w:bCs/>
          <w:sz w:val="44"/>
          <w:szCs w:val="44"/>
        </w:rPr>
      </w:pPr>
    </w:p>
    <w:p w14:paraId="4ABD20F1">
      <w:pPr>
        <w:spacing w:line="360" w:lineRule="auto"/>
        <w:jc w:val="center"/>
        <w:rPr>
          <w:rFonts w:hint="eastAsia" w:ascii="宋体" w:hAnsi="宋体" w:cs="宋体"/>
          <w:b/>
          <w:bCs/>
          <w:sz w:val="44"/>
          <w:szCs w:val="44"/>
        </w:rPr>
      </w:pPr>
    </w:p>
    <w:p w14:paraId="54A59D03">
      <w:pPr>
        <w:spacing w:line="360" w:lineRule="auto"/>
        <w:jc w:val="center"/>
        <w:rPr>
          <w:rFonts w:hint="eastAsia" w:ascii="宋体" w:hAnsi="宋体" w:cs="宋体"/>
          <w:b/>
          <w:bCs/>
          <w:sz w:val="52"/>
          <w:szCs w:val="52"/>
        </w:rPr>
      </w:pPr>
      <w:r>
        <w:rPr>
          <w:rFonts w:hint="eastAsia" w:ascii="宋体" w:hAnsi="宋体" w:cs="宋体"/>
          <w:b/>
          <w:bCs/>
          <w:sz w:val="52"/>
          <w:szCs w:val="52"/>
        </w:rPr>
        <w:t>教育部门</w:t>
      </w:r>
    </w:p>
    <w:p w14:paraId="7085564D">
      <w:pPr>
        <w:spacing w:line="360" w:lineRule="auto"/>
        <w:jc w:val="center"/>
        <w:rPr>
          <w:rFonts w:hint="eastAsia" w:ascii="宋体" w:hAnsi="宋体" w:cs="宋体"/>
          <w:b/>
          <w:bCs/>
          <w:sz w:val="44"/>
          <w:szCs w:val="44"/>
        </w:rPr>
      </w:pPr>
      <w:r>
        <w:rPr>
          <w:rFonts w:hint="eastAsia" w:ascii="宋体" w:hAnsi="宋体" w:cs="宋体"/>
          <w:b/>
          <w:bCs/>
          <w:sz w:val="44"/>
          <w:szCs w:val="44"/>
        </w:rPr>
        <w:t>整体支出2025年度绩效自评报告</w:t>
      </w:r>
    </w:p>
    <w:p w14:paraId="464CBC7C">
      <w:pPr>
        <w:spacing w:line="360" w:lineRule="auto"/>
        <w:jc w:val="center"/>
        <w:rPr>
          <w:rFonts w:hint="eastAsia" w:ascii="宋体" w:hAnsi="宋体" w:cs="宋体"/>
          <w:b/>
          <w:bCs/>
          <w:sz w:val="36"/>
          <w:szCs w:val="36"/>
        </w:rPr>
      </w:pPr>
    </w:p>
    <w:p w14:paraId="08E7CC46">
      <w:pPr>
        <w:spacing w:line="360" w:lineRule="auto"/>
        <w:jc w:val="center"/>
        <w:rPr>
          <w:rFonts w:hint="eastAsia" w:ascii="宋体" w:hAnsi="宋体" w:cs="宋体"/>
          <w:b/>
          <w:bCs/>
          <w:sz w:val="36"/>
          <w:szCs w:val="36"/>
        </w:rPr>
      </w:pPr>
    </w:p>
    <w:p w14:paraId="3F944A22">
      <w:pPr>
        <w:spacing w:line="360" w:lineRule="auto"/>
        <w:jc w:val="center"/>
        <w:rPr>
          <w:rFonts w:hint="eastAsia" w:ascii="宋体" w:hAnsi="宋体" w:cs="宋体"/>
          <w:b/>
          <w:bCs/>
          <w:sz w:val="36"/>
          <w:szCs w:val="36"/>
        </w:rPr>
      </w:pPr>
    </w:p>
    <w:p w14:paraId="36ECD6BD">
      <w:pPr>
        <w:spacing w:line="360" w:lineRule="auto"/>
        <w:rPr>
          <w:rFonts w:hint="eastAsia" w:ascii="宋体" w:hAnsi="宋体" w:cs="宋体"/>
          <w:sz w:val="24"/>
        </w:rPr>
      </w:pPr>
    </w:p>
    <w:p w14:paraId="36F6E914">
      <w:pPr>
        <w:spacing w:line="360" w:lineRule="auto"/>
        <w:jc w:val="center"/>
        <w:rPr>
          <w:rFonts w:hint="eastAsia" w:ascii="宋体" w:hAnsi="宋体" w:cs="宋体"/>
          <w:sz w:val="24"/>
        </w:rPr>
      </w:pPr>
    </w:p>
    <w:p w14:paraId="395864A1">
      <w:pPr>
        <w:spacing w:line="360" w:lineRule="auto"/>
        <w:jc w:val="center"/>
        <w:rPr>
          <w:rFonts w:hint="eastAsia" w:ascii="宋体" w:hAnsi="宋体" w:cs="宋体"/>
          <w:sz w:val="24"/>
        </w:rPr>
      </w:pPr>
    </w:p>
    <w:p w14:paraId="0F194F74">
      <w:pPr>
        <w:spacing w:line="360" w:lineRule="auto"/>
        <w:jc w:val="center"/>
        <w:rPr>
          <w:rFonts w:hint="eastAsia" w:ascii="宋体" w:hAnsi="宋体" w:cs="宋体"/>
          <w:sz w:val="24"/>
        </w:rPr>
      </w:pPr>
    </w:p>
    <w:p w14:paraId="5909DC3F">
      <w:pPr>
        <w:spacing w:line="360" w:lineRule="auto"/>
        <w:jc w:val="center"/>
        <w:rPr>
          <w:rFonts w:hint="eastAsia" w:ascii="宋体" w:hAnsi="宋体" w:cs="宋体"/>
          <w:sz w:val="24"/>
        </w:rPr>
      </w:pPr>
    </w:p>
    <w:p w14:paraId="6A53452F">
      <w:pPr>
        <w:spacing w:line="360" w:lineRule="auto"/>
        <w:jc w:val="center"/>
        <w:rPr>
          <w:rFonts w:hint="eastAsia" w:ascii="宋体" w:hAnsi="宋体" w:cs="宋体"/>
          <w:sz w:val="24"/>
        </w:rPr>
      </w:pPr>
    </w:p>
    <w:p w14:paraId="17921649">
      <w:pPr>
        <w:spacing w:line="360" w:lineRule="auto"/>
        <w:jc w:val="center"/>
        <w:rPr>
          <w:rFonts w:hint="eastAsia" w:ascii="宋体" w:hAnsi="宋体" w:cs="宋体"/>
          <w:sz w:val="24"/>
        </w:rPr>
      </w:pPr>
    </w:p>
    <w:p w14:paraId="5A6DABCF">
      <w:pPr>
        <w:spacing w:line="360" w:lineRule="auto"/>
        <w:jc w:val="center"/>
        <w:rPr>
          <w:rFonts w:hint="eastAsia" w:ascii="宋体" w:hAnsi="宋体" w:cs="宋体"/>
          <w:sz w:val="24"/>
        </w:rPr>
      </w:pPr>
    </w:p>
    <w:p w14:paraId="3C65145E">
      <w:pPr>
        <w:spacing w:line="360" w:lineRule="auto"/>
        <w:jc w:val="center"/>
        <w:rPr>
          <w:rFonts w:hint="eastAsia" w:ascii="宋体" w:hAnsi="宋体" w:cs="宋体"/>
          <w:sz w:val="24"/>
        </w:rPr>
      </w:pPr>
    </w:p>
    <w:p w14:paraId="0CCB30C5">
      <w:pPr>
        <w:spacing w:line="360" w:lineRule="auto"/>
        <w:jc w:val="center"/>
        <w:rPr>
          <w:rFonts w:hint="eastAsia" w:ascii="黑体" w:hAnsi="黑体" w:eastAsia="黑体" w:cs="黑体"/>
          <w:b/>
          <w:bCs/>
          <w:sz w:val="36"/>
          <w:szCs w:val="36"/>
        </w:rPr>
      </w:pPr>
      <w:r>
        <w:rPr>
          <w:rFonts w:hint="eastAsia" w:ascii="宋体" w:hAnsi="宋体" w:cs="宋体"/>
          <w:b/>
          <w:bCs/>
          <w:sz w:val="36"/>
          <w:szCs w:val="36"/>
        </w:rPr>
        <w:t>2026年3月</w:t>
      </w:r>
    </w:p>
    <w:p w14:paraId="6A1AA824">
      <w:pPr>
        <w:widowControl/>
        <w:spacing w:line="360" w:lineRule="auto"/>
        <w:jc w:val="left"/>
        <w:rPr>
          <w:rFonts w:hint="eastAsia" w:ascii="黑体" w:hAnsi="黑体" w:eastAsia="黑体" w:cs="黑体"/>
          <w:b/>
          <w:bCs/>
          <w:sz w:val="36"/>
          <w:szCs w:val="36"/>
        </w:rPr>
        <w:sectPr>
          <w:pgSz w:w="11906" w:h="16838"/>
          <w:pgMar w:top="1134" w:right="1304" w:bottom="1134" w:left="1418" w:header="851" w:footer="850" w:gutter="284"/>
          <w:pgNumType w:start="1"/>
          <w:cols w:space="720" w:num="1"/>
        </w:sectPr>
      </w:pPr>
    </w:p>
    <w:p w14:paraId="1BB15E39">
      <w:pPr>
        <w:jc w:val="center"/>
        <w:rPr>
          <w:rFonts w:hint="eastAsia" w:ascii="黑体" w:hAnsi="黑体" w:eastAsia="黑体" w:cs="黑体"/>
          <w:b/>
          <w:bCs/>
          <w:sz w:val="36"/>
          <w:szCs w:val="36"/>
        </w:rPr>
      </w:pPr>
      <w:r>
        <w:rPr>
          <w:rFonts w:hint="eastAsia" w:ascii="黑体" w:hAnsi="黑体" w:eastAsia="黑体" w:cs="黑体"/>
          <w:b/>
          <w:bCs/>
          <w:sz w:val="36"/>
          <w:szCs w:val="36"/>
        </w:rPr>
        <w:t>目录</w:t>
      </w:r>
    </w:p>
    <w:p w14:paraId="7E786ED2">
      <w:pPr>
        <w:pStyle w:val="13"/>
        <w:tabs>
          <w:tab w:val="right" w:leader="dot" w:pos="8900"/>
        </w:tabs>
        <w:rPr>
          <w:sz w:val="28"/>
          <w:szCs w:val="28"/>
        </w:rPr>
      </w:pPr>
      <w:r>
        <w:fldChar w:fldCharType="begin"/>
      </w:r>
      <w:r>
        <w:instrText xml:space="preserve"> HYPERLINK "file:///D:\\财政\\绩效\\2021教体部门绩效自评\\教育部门整体支出2021年度绩效自评报告.doc" \l "_Toc32493" </w:instrText>
      </w:r>
      <w:r>
        <w:fldChar w:fldCharType="separate"/>
      </w:r>
      <w:r>
        <w:rPr>
          <w:rStyle w:val="7"/>
          <w:rFonts w:hint="eastAsia"/>
          <w:b/>
          <w:bCs/>
          <w:sz w:val="28"/>
          <w:szCs w:val="28"/>
        </w:rPr>
        <w:t>一、部门概况</w:t>
      </w:r>
      <w:r>
        <w:rPr>
          <w:rStyle w:val="7"/>
          <w:b/>
          <w:bCs/>
          <w:sz w:val="28"/>
          <w:szCs w:val="28"/>
        </w:rPr>
        <w:tab/>
      </w:r>
      <w:r>
        <w:rPr>
          <w:rStyle w:val="7"/>
        </w:rPr>
        <w:fldChar w:fldCharType="begin"/>
      </w:r>
      <w:r>
        <w:rPr>
          <w:rStyle w:val="7"/>
          <w:b/>
          <w:bCs/>
          <w:sz w:val="28"/>
          <w:szCs w:val="28"/>
        </w:rPr>
        <w:instrText xml:space="preserve"> PAGEREF _Toc32493 \h </w:instrText>
      </w:r>
      <w:r>
        <w:rPr>
          <w:rStyle w:val="7"/>
        </w:rPr>
        <w:fldChar w:fldCharType="separate"/>
      </w:r>
      <w:r>
        <w:rPr>
          <w:rStyle w:val="7"/>
          <w:b/>
          <w:bCs/>
          <w:sz w:val="28"/>
          <w:szCs w:val="28"/>
        </w:rPr>
        <w:t>1</w:t>
      </w:r>
      <w:r>
        <w:rPr>
          <w:rStyle w:val="7"/>
        </w:rPr>
        <w:fldChar w:fldCharType="end"/>
      </w:r>
      <w:r>
        <w:rPr>
          <w:rStyle w:val="7"/>
        </w:rPr>
        <w:fldChar w:fldCharType="end"/>
      </w:r>
      <w:r>
        <w:fldChar w:fldCharType="begin"/>
      </w:r>
      <w:r>
        <w:rPr>
          <w:rFonts w:hint="eastAsia" w:ascii="华文新魏" w:hAnsi="宋体" w:eastAsia="华文新魏"/>
          <w:spacing w:val="42"/>
          <w:sz w:val="32"/>
          <w:szCs w:val="32"/>
        </w:rPr>
        <w:instrText xml:space="preserve">TOC \o "1-3" \h \u </w:instrText>
      </w:r>
      <w:r>
        <w:fldChar w:fldCharType="separate"/>
      </w:r>
    </w:p>
    <w:p w14:paraId="6D405E61">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"_Toc30480" </w:instrText>
      </w:r>
      <w:r>
        <w:fldChar w:fldCharType="separate"/>
      </w:r>
      <w:r>
        <w:rPr>
          <w:rStyle w:val="7"/>
          <w:rFonts w:hint="eastAsia"/>
          <w:sz w:val="28"/>
          <w:szCs w:val="28"/>
        </w:rPr>
        <w:t>（一）部门基本情况及职能</w:t>
      </w:r>
      <w:r>
        <w:rPr>
          <w:rStyle w:val="7"/>
          <w:sz w:val="28"/>
          <w:szCs w:val="28"/>
        </w:rPr>
        <w:tab/>
      </w:r>
      <w:r>
        <w:rPr>
          <w:rStyle w:val="7"/>
        </w:rPr>
        <w:fldChar w:fldCharType="begin"/>
      </w:r>
      <w:r>
        <w:rPr>
          <w:rStyle w:val="7"/>
          <w:sz w:val="28"/>
          <w:szCs w:val="28"/>
        </w:rPr>
        <w:instrText xml:space="preserve"> PAGEREF _Toc30480 \h </w:instrText>
      </w:r>
      <w:r>
        <w:rPr>
          <w:rStyle w:val="7"/>
        </w:rPr>
        <w:fldChar w:fldCharType="separate"/>
      </w:r>
      <w:r>
        <w:rPr>
          <w:rStyle w:val="7"/>
          <w:sz w:val="28"/>
          <w:szCs w:val="28"/>
        </w:rPr>
        <w:t>1</w:t>
      </w:r>
      <w:r>
        <w:rPr>
          <w:rStyle w:val="7"/>
        </w:rPr>
        <w:fldChar w:fldCharType="end"/>
      </w:r>
      <w:r>
        <w:rPr>
          <w:rStyle w:val="7"/>
        </w:rPr>
        <w:fldChar w:fldCharType="end"/>
      </w:r>
    </w:p>
    <w:p w14:paraId="5971A540">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"_Toc3136" </w:instrText>
      </w:r>
      <w:r>
        <w:fldChar w:fldCharType="separate"/>
      </w:r>
      <w:r>
        <w:rPr>
          <w:rStyle w:val="7"/>
          <w:rFonts w:hint="eastAsia"/>
          <w:sz w:val="28"/>
          <w:szCs w:val="28"/>
        </w:rPr>
        <w:t>（二）履职总体目标、工作任务</w:t>
      </w:r>
      <w:r>
        <w:rPr>
          <w:rStyle w:val="7"/>
          <w:sz w:val="28"/>
          <w:szCs w:val="28"/>
        </w:rPr>
        <w:tab/>
      </w:r>
      <w:r>
        <w:rPr>
          <w:rStyle w:val="7"/>
        </w:rPr>
        <w:fldChar w:fldCharType="begin"/>
      </w:r>
      <w:r>
        <w:rPr>
          <w:rStyle w:val="7"/>
          <w:sz w:val="28"/>
          <w:szCs w:val="28"/>
        </w:rPr>
        <w:instrText xml:space="preserve"> PAGEREF _Toc3136 \h </w:instrText>
      </w:r>
      <w:r>
        <w:rPr>
          <w:rStyle w:val="7"/>
        </w:rPr>
        <w:fldChar w:fldCharType="separate"/>
      </w:r>
      <w:r>
        <w:rPr>
          <w:rStyle w:val="7"/>
          <w:sz w:val="28"/>
          <w:szCs w:val="28"/>
        </w:rPr>
        <w:t>1</w:t>
      </w:r>
      <w:r>
        <w:rPr>
          <w:rStyle w:val="7"/>
        </w:rPr>
        <w:fldChar w:fldCharType="end"/>
      </w:r>
      <w:r>
        <w:rPr>
          <w:rStyle w:val="7"/>
        </w:rPr>
        <w:fldChar w:fldCharType="end"/>
      </w:r>
    </w:p>
    <w:p w14:paraId="77DD6562">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"_Toc18004" </w:instrText>
      </w:r>
      <w:r>
        <w:fldChar w:fldCharType="separate"/>
      </w:r>
      <w:r>
        <w:rPr>
          <w:rStyle w:val="7"/>
          <w:rFonts w:hint="eastAsia"/>
          <w:sz w:val="28"/>
          <w:szCs w:val="28"/>
        </w:rPr>
        <w:t>（三）年度整体支出绩效目标</w:t>
      </w:r>
      <w:r>
        <w:rPr>
          <w:rStyle w:val="7"/>
          <w:sz w:val="28"/>
          <w:szCs w:val="28"/>
        </w:rPr>
        <w:tab/>
      </w:r>
      <w:r>
        <w:rPr>
          <w:rStyle w:val="7"/>
          <w:sz w:val="28"/>
          <w:szCs w:val="28"/>
        </w:rPr>
        <w:t>3</w:t>
      </w:r>
      <w:r>
        <w:rPr>
          <w:rStyle w:val="7"/>
          <w:sz w:val="28"/>
          <w:szCs w:val="28"/>
        </w:rPr>
        <w:fldChar w:fldCharType="end"/>
      </w:r>
    </w:p>
    <w:p w14:paraId="03875857">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"_Toc5087" </w:instrText>
      </w:r>
      <w:r>
        <w:fldChar w:fldCharType="separate"/>
      </w:r>
      <w:r>
        <w:rPr>
          <w:rStyle w:val="7"/>
          <w:rFonts w:hint="eastAsia"/>
          <w:sz w:val="28"/>
          <w:szCs w:val="28"/>
        </w:rPr>
        <w:t>（四）部门预算绩效管理开展情况</w:t>
      </w:r>
      <w:r>
        <w:rPr>
          <w:rStyle w:val="7"/>
          <w:sz w:val="28"/>
          <w:szCs w:val="28"/>
        </w:rPr>
        <w:tab/>
      </w:r>
      <w:r>
        <w:rPr>
          <w:rStyle w:val="7"/>
          <w:sz w:val="28"/>
          <w:szCs w:val="28"/>
        </w:rPr>
        <w:t>3</w:t>
      </w:r>
      <w:r>
        <w:rPr>
          <w:rStyle w:val="7"/>
          <w:sz w:val="28"/>
          <w:szCs w:val="28"/>
        </w:rPr>
        <w:fldChar w:fldCharType="end"/>
      </w:r>
    </w:p>
    <w:p w14:paraId="7A54BF45">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"_Toc15828" </w:instrText>
      </w:r>
      <w:r>
        <w:fldChar w:fldCharType="separate"/>
      </w:r>
      <w:r>
        <w:rPr>
          <w:rStyle w:val="7"/>
          <w:rFonts w:hint="eastAsia" w:ascii="宋体" w:hAnsi="宋体" w:cs="宋体"/>
          <w:sz w:val="28"/>
          <w:szCs w:val="28"/>
        </w:rPr>
        <w:t>1、预决算信息公开</w:t>
      </w:r>
      <w:r>
        <w:rPr>
          <w:rStyle w:val="7"/>
          <w:sz w:val="28"/>
          <w:szCs w:val="28"/>
        </w:rPr>
        <w:tab/>
      </w:r>
      <w:r>
        <w:rPr>
          <w:rStyle w:val="7"/>
          <w:sz w:val="28"/>
          <w:szCs w:val="28"/>
        </w:rPr>
        <w:t>3</w:t>
      </w:r>
      <w:r>
        <w:rPr>
          <w:rStyle w:val="7"/>
          <w:sz w:val="28"/>
          <w:szCs w:val="28"/>
        </w:rPr>
        <w:fldChar w:fldCharType="end"/>
      </w:r>
    </w:p>
    <w:p w14:paraId="203AA6B7">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"_Toc13926" </w:instrText>
      </w:r>
      <w:r>
        <w:fldChar w:fldCharType="separate"/>
      </w:r>
      <w:r>
        <w:rPr>
          <w:rStyle w:val="7"/>
          <w:rFonts w:hint="eastAsia" w:ascii="宋体" w:hAnsi="宋体" w:cs="宋体"/>
          <w:sz w:val="28"/>
          <w:szCs w:val="28"/>
        </w:rPr>
        <w:t>2、人员控制</w:t>
      </w:r>
      <w:r>
        <w:rPr>
          <w:rStyle w:val="7"/>
          <w:sz w:val="28"/>
          <w:szCs w:val="28"/>
        </w:rPr>
        <w:tab/>
      </w:r>
      <w:r>
        <w:rPr>
          <w:rStyle w:val="7"/>
          <w:sz w:val="28"/>
          <w:szCs w:val="28"/>
        </w:rPr>
        <w:t>3</w:t>
      </w:r>
      <w:r>
        <w:rPr>
          <w:rStyle w:val="7"/>
          <w:sz w:val="28"/>
          <w:szCs w:val="28"/>
        </w:rPr>
        <w:fldChar w:fldCharType="end"/>
      </w:r>
    </w:p>
    <w:p w14:paraId="051A7CA5">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"_Toc7892" </w:instrText>
      </w:r>
      <w:r>
        <w:fldChar w:fldCharType="separate"/>
      </w:r>
      <w:r>
        <w:rPr>
          <w:rStyle w:val="7"/>
          <w:rFonts w:hint="eastAsia" w:ascii="宋体" w:hAnsi="宋体" w:cs="宋体"/>
          <w:sz w:val="28"/>
          <w:szCs w:val="28"/>
        </w:rPr>
        <w:t>3、资金使用合规性</w:t>
      </w:r>
      <w:r>
        <w:rPr>
          <w:rStyle w:val="7"/>
          <w:sz w:val="28"/>
          <w:szCs w:val="28"/>
        </w:rPr>
        <w:tab/>
      </w:r>
      <w:r>
        <w:rPr>
          <w:rStyle w:val="7"/>
        </w:rPr>
        <w:fldChar w:fldCharType="begin"/>
      </w:r>
      <w:r>
        <w:rPr>
          <w:rStyle w:val="7"/>
          <w:sz w:val="28"/>
          <w:szCs w:val="28"/>
        </w:rPr>
        <w:instrText xml:space="preserve"> PAGEREF _Toc7892 \h </w:instrText>
      </w:r>
      <w:r>
        <w:rPr>
          <w:rStyle w:val="7"/>
        </w:rPr>
        <w:fldChar w:fldCharType="separate"/>
      </w:r>
      <w:r>
        <w:rPr>
          <w:rStyle w:val="7"/>
          <w:sz w:val="28"/>
          <w:szCs w:val="28"/>
        </w:rPr>
        <w:t>3</w:t>
      </w:r>
      <w:r>
        <w:rPr>
          <w:rStyle w:val="7"/>
        </w:rPr>
        <w:fldChar w:fldCharType="end"/>
      </w:r>
      <w:r>
        <w:rPr>
          <w:rStyle w:val="7"/>
        </w:rPr>
        <w:fldChar w:fldCharType="end"/>
      </w:r>
    </w:p>
    <w:p w14:paraId="642C8853">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"_Toc3789" </w:instrText>
      </w:r>
      <w:r>
        <w:fldChar w:fldCharType="separate"/>
      </w:r>
      <w:r>
        <w:rPr>
          <w:rStyle w:val="7"/>
          <w:rFonts w:hint="eastAsia" w:ascii="宋体" w:hAnsi="宋体" w:cs="宋体"/>
          <w:sz w:val="28"/>
          <w:szCs w:val="28"/>
        </w:rPr>
        <w:t>4、资产管理制度健全性、管理安全性</w:t>
      </w:r>
      <w:r>
        <w:rPr>
          <w:rStyle w:val="7"/>
          <w:sz w:val="28"/>
          <w:szCs w:val="28"/>
        </w:rPr>
        <w:tab/>
      </w:r>
      <w:r>
        <w:rPr>
          <w:rStyle w:val="7"/>
        </w:rPr>
        <w:fldChar w:fldCharType="begin"/>
      </w:r>
      <w:r>
        <w:rPr>
          <w:rStyle w:val="7"/>
          <w:sz w:val="28"/>
          <w:szCs w:val="28"/>
        </w:rPr>
        <w:instrText xml:space="preserve"> PAGEREF _Toc3789 \h </w:instrText>
      </w:r>
      <w:r>
        <w:rPr>
          <w:rStyle w:val="7"/>
        </w:rPr>
        <w:fldChar w:fldCharType="separate"/>
      </w:r>
      <w:r>
        <w:rPr>
          <w:rStyle w:val="7"/>
          <w:sz w:val="28"/>
          <w:szCs w:val="28"/>
        </w:rPr>
        <w:t>3</w:t>
      </w:r>
      <w:r>
        <w:rPr>
          <w:rStyle w:val="7"/>
        </w:rPr>
        <w:fldChar w:fldCharType="end"/>
      </w:r>
      <w:r>
        <w:rPr>
          <w:rStyle w:val="7"/>
        </w:rPr>
        <w:fldChar w:fldCharType="end"/>
      </w:r>
    </w:p>
    <w:p w14:paraId="1B76D5CF">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"_Toc9223" </w:instrText>
      </w:r>
      <w:r>
        <w:fldChar w:fldCharType="separate"/>
      </w:r>
      <w:r>
        <w:rPr>
          <w:rStyle w:val="7"/>
          <w:rFonts w:hint="eastAsia" w:ascii="宋体" w:hAnsi="宋体" w:cs="宋体"/>
          <w:sz w:val="28"/>
          <w:szCs w:val="28"/>
        </w:rPr>
        <w:t>5、固定资产利用率</w:t>
      </w:r>
      <w:r>
        <w:rPr>
          <w:rStyle w:val="7"/>
          <w:sz w:val="28"/>
          <w:szCs w:val="28"/>
        </w:rPr>
        <w:tab/>
      </w:r>
      <w:r>
        <w:rPr>
          <w:rStyle w:val="7"/>
          <w:sz w:val="28"/>
          <w:szCs w:val="28"/>
        </w:rPr>
        <w:t>3</w:t>
      </w:r>
      <w:r>
        <w:rPr>
          <w:rStyle w:val="7"/>
          <w:sz w:val="28"/>
          <w:szCs w:val="28"/>
        </w:rPr>
        <w:fldChar w:fldCharType="end"/>
      </w:r>
    </w:p>
    <w:p w14:paraId="38F53121">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"_Toc21016" </w:instrText>
      </w:r>
      <w:r>
        <w:fldChar w:fldCharType="separate"/>
      </w:r>
      <w:r>
        <w:rPr>
          <w:rStyle w:val="7"/>
          <w:rFonts w:hint="eastAsia"/>
          <w:sz w:val="28"/>
          <w:szCs w:val="28"/>
        </w:rPr>
        <w:t>（五）部门预算及执行情况</w:t>
      </w:r>
      <w:r>
        <w:rPr>
          <w:rStyle w:val="7"/>
          <w:sz w:val="28"/>
          <w:szCs w:val="28"/>
        </w:rPr>
        <w:tab/>
      </w:r>
      <w:r>
        <w:rPr>
          <w:rStyle w:val="7"/>
        </w:rPr>
        <w:fldChar w:fldCharType="begin"/>
      </w:r>
      <w:r>
        <w:rPr>
          <w:rStyle w:val="7"/>
          <w:sz w:val="28"/>
          <w:szCs w:val="28"/>
        </w:rPr>
        <w:instrText xml:space="preserve"> PAGEREF _Toc21016 \h </w:instrText>
      </w:r>
      <w:r>
        <w:rPr>
          <w:rStyle w:val="7"/>
        </w:rPr>
        <w:fldChar w:fldCharType="separate"/>
      </w:r>
      <w:r>
        <w:rPr>
          <w:rStyle w:val="7"/>
          <w:sz w:val="28"/>
          <w:szCs w:val="28"/>
        </w:rPr>
        <w:t>3</w:t>
      </w:r>
      <w:r>
        <w:rPr>
          <w:rStyle w:val="7"/>
        </w:rPr>
        <w:fldChar w:fldCharType="end"/>
      </w:r>
      <w:r>
        <w:rPr>
          <w:rStyle w:val="7"/>
        </w:rPr>
        <w:fldChar w:fldCharType="end"/>
      </w:r>
    </w:p>
    <w:p w14:paraId="316A8B0B">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"_Toc26392" </w:instrText>
      </w:r>
      <w:r>
        <w:fldChar w:fldCharType="separate"/>
      </w:r>
      <w:r>
        <w:rPr>
          <w:rStyle w:val="7"/>
          <w:sz w:val="28"/>
          <w:szCs w:val="28"/>
        </w:rPr>
        <w:t>1</w:t>
      </w:r>
      <w:r>
        <w:rPr>
          <w:rStyle w:val="7"/>
          <w:rFonts w:hint="eastAsia"/>
          <w:sz w:val="28"/>
          <w:szCs w:val="28"/>
        </w:rPr>
        <w:t>、2025年度部门整体收入和支出情况</w:t>
      </w:r>
      <w:r>
        <w:rPr>
          <w:rStyle w:val="7"/>
          <w:sz w:val="28"/>
          <w:szCs w:val="28"/>
        </w:rPr>
        <w:tab/>
      </w:r>
      <w:r>
        <w:rPr>
          <w:rStyle w:val="7"/>
          <w:sz w:val="28"/>
          <w:szCs w:val="28"/>
        </w:rPr>
        <w:t>3</w:t>
      </w:r>
      <w:r>
        <w:rPr>
          <w:rStyle w:val="7"/>
          <w:sz w:val="28"/>
          <w:szCs w:val="28"/>
        </w:rPr>
        <w:fldChar w:fldCharType="end"/>
      </w:r>
    </w:p>
    <w:p w14:paraId="5F64E67B">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"_Toc17289" </w:instrText>
      </w:r>
      <w:r>
        <w:fldChar w:fldCharType="separate"/>
      </w:r>
      <w:r>
        <w:rPr>
          <w:rStyle w:val="7"/>
          <w:sz w:val="28"/>
          <w:szCs w:val="28"/>
        </w:rPr>
        <w:t>2</w:t>
      </w:r>
      <w:r>
        <w:rPr>
          <w:rStyle w:val="7"/>
          <w:rFonts w:hint="eastAsia"/>
          <w:sz w:val="28"/>
          <w:szCs w:val="28"/>
        </w:rPr>
        <w:t>、2025年公用经费和三公经费情况</w:t>
      </w:r>
      <w:r>
        <w:rPr>
          <w:rStyle w:val="7"/>
          <w:sz w:val="28"/>
          <w:szCs w:val="28"/>
        </w:rPr>
        <w:tab/>
      </w:r>
      <w:r>
        <w:rPr>
          <w:rStyle w:val="7"/>
        </w:rPr>
        <w:fldChar w:fldCharType="begin"/>
      </w:r>
      <w:r>
        <w:rPr>
          <w:rStyle w:val="7"/>
          <w:sz w:val="28"/>
          <w:szCs w:val="28"/>
        </w:rPr>
        <w:instrText xml:space="preserve"> PAGEREF _Toc17289 \h </w:instrText>
      </w:r>
      <w:r>
        <w:rPr>
          <w:rStyle w:val="7"/>
        </w:rPr>
        <w:fldChar w:fldCharType="separate"/>
      </w:r>
      <w:r>
        <w:rPr>
          <w:rStyle w:val="7"/>
          <w:sz w:val="28"/>
          <w:szCs w:val="28"/>
        </w:rPr>
        <w:t>4</w:t>
      </w:r>
      <w:r>
        <w:rPr>
          <w:rStyle w:val="7"/>
        </w:rPr>
        <w:fldChar w:fldCharType="end"/>
      </w:r>
      <w:r>
        <w:rPr>
          <w:rStyle w:val="7"/>
        </w:rPr>
        <w:fldChar w:fldCharType="end"/>
      </w:r>
    </w:p>
    <w:p w14:paraId="3CEAF372">
      <w:pPr>
        <w:pStyle w:val="13"/>
        <w:tabs>
          <w:tab w:val="right" w:leader="dot" w:pos="8900"/>
        </w:tabs>
        <w:rPr>
          <w:b/>
          <w:bCs/>
          <w:sz w:val="28"/>
          <w:szCs w:val="28"/>
        </w:rPr>
      </w:pPr>
      <w:r>
        <w:fldChar w:fldCharType="begin"/>
      </w:r>
      <w:r>
        <w:instrText xml:space="preserve"> HYPERLINK "file:///D:\\财政\\绩效\\2021教体部门绩效自评\\教育部门整体支出2021年度绩效自评报告.doc" \l "_Toc5836" </w:instrText>
      </w:r>
      <w:r>
        <w:fldChar w:fldCharType="separate"/>
      </w:r>
      <w:r>
        <w:rPr>
          <w:rStyle w:val="7"/>
          <w:rFonts w:hint="eastAsia"/>
          <w:b/>
          <w:bCs/>
          <w:sz w:val="28"/>
          <w:szCs w:val="28"/>
        </w:rPr>
        <w:t>二、部门整体支出绩效实现情况</w:t>
      </w:r>
      <w:r>
        <w:rPr>
          <w:rStyle w:val="7"/>
          <w:b/>
          <w:bCs/>
          <w:sz w:val="28"/>
          <w:szCs w:val="28"/>
        </w:rPr>
        <w:tab/>
      </w:r>
      <w:r>
        <w:rPr>
          <w:rStyle w:val="7"/>
        </w:rPr>
        <w:fldChar w:fldCharType="begin"/>
      </w:r>
      <w:r>
        <w:rPr>
          <w:rStyle w:val="7"/>
          <w:b/>
          <w:bCs/>
          <w:sz w:val="28"/>
          <w:szCs w:val="28"/>
        </w:rPr>
        <w:instrText xml:space="preserve"> PAGEREF _Toc5836 \h </w:instrText>
      </w:r>
      <w:r>
        <w:rPr>
          <w:rStyle w:val="7"/>
        </w:rPr>
        <w:fldChar w:fldCharType="separate"/>
      </w:r>
      <w:r>
        <w:rPr>
          <w:rStyle w:val="7"/>
          <w:b/>
          <w:bCs/>
          <w:sz w:val="28"/>
          <w:szCs w:val="28"/>
        </w:rPr>
        <w:t>4</w:t>
      </w:r>
      <w:r>
        <w:rPr>
          <w:rStyle w:val="7"/>
        </w:rPr>
        <w:fldChar w:fldCharType="end"/>
      </w:r>
      <w:r>
        <w:rPr>
          <w:rStyle w:val="7"/>
        </w:rPr>
        <w:fldChar w:fldCharType="end"/>
      </w:r>
    </w:p>
    <w:p w14:paraId="1C8A326F">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"_Toc10640" </w:instrText>
      </w:r>
      <w:r>
        <w:fldChar w:fldCharType="separate"/>
      </w:r>
      <w:r>
        <w:rPr>
          <w:rStyle w:val="7"/>
          <w:rFonts w:hint="eastAsia"/>
          <w:sz w:val="28"/>
          <w:szCs w:val="28"/>
        </w:rPr>
        <w:t>（一）履职完成情况</w:t>
      </w:r>
      <w:r>
        <w:rPr>
          <w:rStyle w:val="7"/>
          <w:sz w:val="28"/>
          <w:szCs w:val="28"/>
        </w:rPr>
        <w:tab/>
      </w:r>
      <w:r>
        <w:rPr>
          <w:rStyle w:val="7"/>
        </w:rPr>
        <w:fldChar w:fldCharType="begin"/>
      </w:r>
      <w:r>
        <w:rPr>
          <w:rStyle w:val="7"/>
          <w:sz w:val="28"/>
          <w:szCs w:val="28"/>
        </w:rPr>
        <w:instrText xml:space="preserve"> PAGEREF _Toc10640 \h </w:instrText>
      </w:r>
      <w:r>
        <w:rPr>
          <w:rStyle w:val="7"/>
        </w:rPr>
        <w:fldChar w:fldCharType="separate"/>
      </w:r>
      <w:r>
        <w:rPr>
          <w:rStyle w:val="7"/>
          <w:sz w:val="28"/>
          <w:szCs w:val="28"/>
        </w:rPr>
        <w:t>4</w:t>
      </w:r>
      <w:r>
        <w:rPr>
          <w:rStyle w:val="7"/>
        </w:rPr>
        <w:fldChar w:fldCharType="end"/>
      </w:r>
      <w:r>
        <w:rPr>
          <w:rStyle w:val="7"/>
        </w:rPr>
        <w:fldChar w:fldCharType="end"/>
      </w:r>
    </w:p>
    <w:p w14:paraId="7CBD93E1">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"_Toc26960" </w:instrText>
      </w:r>
      <w:r>
        <w:fldChar w:fldCharType="separate"/>
      </w:r>
      <w:r>
        <w:rPr>
          <w:rStyle w:val="7"/>
          <w:sz w:val="28"/>
          <w:szCs w:val="28"/>
        </w:rPr>
        <w:t>1</w:t>
      </w:r>
      <w:r>
        <w:rPr>
          <w:rStyle w:val="7"/>
          <w:rFonts w:hint="eastAsia"/>
          <w:sz w:val="28"/>
          <w:szCs w:val="28"/>
        </w:rPr>
        <w:t>、党建工作</w:t>
      </w:r>
      <w:r>
        <w:rPr>
          <w:rStyle w:val="7"/>
          <w:sz w:val="28"/>
          <w:szCs w:val="28"/>
        </w:rPr>
        <w:tab/>
      </w:r>
      <w:r>
        <w:rPr>
          <w:rStyle w:val="7"/>
          <w:sz w:val="28"/>
          <w:szCs w:val="28"/>
        </w:rPr>
        <w:t>4</w:t>
      </w:r>
      <w:r>
        <w:rPr>
          <w:rStyle w:val="7"/>
          <w:sz w:val="28"/>
          <w:szCs w:val="28"/>
        </w:rPr>
        <w:fldChar w:fldCharType="end"/>
      </w:r>
    </w:p>
    <w:p w14:paraId="0FDF0A7D">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"_Toc10457" </w:instrText>
      </w:r>
      <w:r>
        <w:fldChar w:fldCharType="separate"/>
      </w:r>
      <w:r>
        <w:rPr>
          <w:rStyle w:val="7"/>
          <w:sz w:val="28"/>
          <w:szCs w:val="28"/>
        </w:rPr>
        <w:t>2</w:t>
      </w:r>
      <w:r>
        <w:rPr>
          <w:rStyle w:val="7"/>
          <w:rFonts w:hint="eastAsia"/>
          <w:sz w:val="28"/>
          <w:szCs w:val="28"/>
        </w:rPr>
        <w:t>、师资队伍建设</w:t>
      </w:r>
      <w:r>
        <w:rPr>
          <w:rStyle w:val="7"/>
          <w:sz w:val="28"/>
          <w:szCs w:val="28"/>
        </w:rPr>
        <w:tab/>
      </w:r>
      <w:r>
        <w:rPr>
          <w:rStyle w:val="7"/>
          <w:sz w:val="28"/>
          <w:szCs w:val="28"/>
        </w:rPr>
        <w:t>5</w:t>
      </w:r>
      <w:r>
        <w:rPr>
          <w:rStyle w:val="7"/>
          <w:sz w:val="28"/>
          <w:szCs w:val="28"/>
        </w:rPr>
        <w:fldChar w:fldCharType="end"/>
      </w:r>
    </w:p>
    <w:p w14:paraId="7AA218AD">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"_Toc30996" </w:instrText>
      </w:r>
      <w:r>
        <w:fldChar w:fldCharType="separate"/>
      </w:r>
      <w:r>
        <w:rPr>
          <w:rStyle w:val="7"/>
          <w:sz w:val="28"/>
          <w:szCs w:val="28"/>
        </w:rPr>
        <w:t>3</w:t>
      </w:r>
      <w:r>
        <w:rPr>
          <w:rStyle w:val="7"/>
          <w:rFonts w:hint="eastAsia"/>
          <w:sz w:val="28"/>
          <w:szCs w:val="28"/>
        </w:rPr>
        <w:t>、办学条件改善</w:t>
      </w:r>
      <w:r>
        <w:rPr>
          <w:rStyle w:val="7"/>
          <w:sz w:val="28"/>
          <w:szCs w:val="28"/>
        </w:rPr>
        <w:tab/>
      </w:r>
      <w:r>
        <w:rPr>
          <w:rStyle w:val="7"/>
          <w:sz w:val="28"/>
          <w:szCs w:val="28"/>
        </w:rPr>
        <w:t>5</w:t>
      </w:r>
      <w:r>
        <w:rPr>
          <w:rStyle w:val="7"/>
          <w:sz w:val="28"/>
          <w:szCs w:val="28"/>
        </w:rPr>
        <w:fldChar w:fldCharType="end"/>
      </w:r>
    </w:p>
    <w:p w14:paraId="379998B0">
      <w:pPr>
        <w:pStyle w:val="11"/>
        <w:tabs>
          <w:tab w:val="right" w:leader="dot" w:pos="8900"/>
        </w:tabs>
        <w:ind w:left="840" w:leftChars="0"/>
        <w:rPr>
          <w:sz w:val="28"/>
          <w:szCs w:val="28"/>
        </w:rPr>
      </w:pPr>
      <w:r>
        <w:fldChar w:fldCharType="begin"/>
      </w:r>
      <w:r>
        <w:instrText xml:space="preserve"> HYPERLINK "file:///D:\\财政\\绩效\\2021教体部门绩效自评\\教育部门整体支出2021年度绩效自评报告.doc" \l "_Toc31316" </w:instrText>
      </w:r>
      <w:r>
        <w:fldChar w:fldCharType="separate"/>
      </w:r>
      <w:r>
        <w:rPr>
          <w:rStyle w:val="7"/>
          <w:sz w:val="28"/>
          <w:szCs w:val="28"/>
        </w:rPr>
        <w:t>4</w:t>
      </w:r>
      <w:r>
        <w:rPr>
          <w:rStyle w:val="7"/>
          <w:rFonts w:hint="eastAsia"/>
          <w:sz w:val="28"/>
          <w:szCs w:val="28"/>
        </w:rPr>
        <w:t>、教育教学管理</w:t>
      </w:r>
      <w:r>
        <w:rPr>
          <w:rStyle w:val="7"/>
          <w:sz w:val="28"/>
          <w:szCs w:val="28"/>
        </w:rPr>
        <w:tab/>
      </w:r>
      <w:r>
        <w:rPr>
          <w:rStyle w:val="7"/>
          <w:sz w:val="28"/>
          <w:szCs w:val="28"/>
        </w:rPr>
        <w:t>7</w:t>
      </w:r>
      <w:r>
        <w:rPr>
          <w:rStyle w:val="7"/>
          <w:sz w:val="28"/>
          <w:szCs w:val="28"/>
        </w:rPr>
        <w:fldChar w:fldCharType="end"/>
      </w:r>
    </w:p>
    <w:p w14:paraId="1A836AE3">
      <w:pPr>
        <w:pStyle w:val="11"/>
        <w:tabs>
          <w:tab w:val="right" w:leader="dot" w:pos="8900"/>
        </w:tabs>
        <w:ind w:left="840" w:leftChars="0"/>
        <w:rPr>
          <w:rFonts w:hint="eastAsia" w:ascii="华文新魏" w:hAnsi="宋体" w:eastAsia="华文新魏"/>
          <w:spacing w:val="42"/>
          <w:sz w:val="28"/>
          <w:szCs w:val="28"/>
        </w:rPr>
      </w:pPr>
      <w:r>
        <w:fldChar w:fldCharType="begin"/>
      </w:r>
      <w:r>
        <w:instrText xml:space="preserve"> HYPERLINK "file:///D:\\财政\\绩效\\2021教体部门绩效自评\\教育部门整体支出2021年度绩效自评报告.doc" \l "_Toc1391" </w:instrText>
      </w:r>
      <w:r>
        <w:fldChar w:fldCharType="separate"/>
      </w:r>
      <w:r>
        <w:rPr>
          <w:rStyle w:val="7"/>
          <w:sz w:val="28"/>
          <w:szCs w:val="28"/>
        </w:rPr>
        <w:t>5</w:t>
      </w:r>
      <w:r>
        <w:rPr>
          <w:rStyle w:val="7"/>
          <w:rFonts w:hint="eastAsia"/>
          <w:sz w:val="28"/>
          <w:szCs w:val="28"/>
        </w:rPr>
        <w:t>、民生工程推进</w:t>
      </w:r>
      <w:r>
        <w:rPr>
          <w:rStyle w:val="7"/>
          <w:sz w:val="28"/>
          <w:szCs w:val="28"/>
        </w:rPr>
        <w:tab/>
      </w:r>
      <w:r>
        <w:rPr>
          <w:rStyle w:val="7"/>
          <w:sz w:val="28"/>
          <w:szCs w:val="28"/>
        </w:rPr>
        <w:t>7</w:t>
      </w:r>
      <w:r>
        <w:rPr>
          <w:rStyle w:val="7"/>
          <w:sz w:val="28"/>
          <w:szCs w:val="28"/>
        </w:rPr>
        <w:fldChar w:fldCharType="end"/>
      </w:r>
    </w:p>
    <w:p w14:paraId="3EA83CDD">
      <w:pPr>
        <w:pStyle w:val="11"/>
        <w:tabs>
          <w:tab w:val="right" w:leader="dot" w:pos="8900"/>
        </w:tabs>
        <w:ind w:left="840" w:leftChars="0"/>
        <w:rPr>
          <w:sz w:val="28"/>
          <w:szCs w:val="28"/>
        </w:rPr>
      </w:pPr>
      <w:r>
        <w:rPr>
          <w:sz w:val="28"/>
          <w:szCs w:val="28"/>
        </w:rPr>
        <w:t>6</w:t>
      </w:r>
      <w:r>
        <w:rPr>
          <w:rFonts w:hint="eastAsia"/>
          <w:sz w:val="28"/>
          <w:szCs w:val="28"/>
        </w:rPr>
        <w:t>、学校安全保障</w:t>
      </w:r>
      <w:r>
        <w:rPr>
          <w:sz w:val="28"/>
          <w:szCs w:val="28"/>
        </w:rPr>
        <w:tab/>
      </w:r>
      <w:r>
        <w:rPr>
          <w:sz w:val="28"/>
          <w:szCs w:val="28"/>
        </w:rPr>
        <w:t>8</w:t>
      </w:r>
    </w:p>
    <w:p w14:paraId="5733BF2E">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"_Toc18810" </w:instrText>
      </w:r>
      <w:r>
        <w:fldChar w:fldCharType="separate"/>
      </w:r>
      <w:r>
        <w:rPr>
          <w:rStyle w:val="7"/>
          <w:rFonts w:hint="eastAsia" w:ascii="宋体" w:hAnsi="宋体" w:cs="仿宋"/>
          <w:sz w:val="28"/>
          <w:szCs w:val="28"/>
        </w:rPr>
        <w:t xml:space="preserve">（二） </w:t>
      </w:r>
      <w:r>
        <w:rPr>
          <w:rStyle w:val="7"/>
          <w:rFonts w:hint="eastAsia"/>
          <w:sz w:val="28"/>
          <w:szCs w:val="28"/>
        </w:rPr>
        <w:t>履职效果情况</w:t>
      </w:r>
      <w:r>
        <w:rPr>
          <w:rStyle w:val="7"/>
          <w:sz w:val="28"/>
          <w:szCs w:val="28"/>
        </w:rPr>
        <w:tab/>
      </w:r>
      <w:r>
        <w:rPr>
          <w:rStyle w:val="7"/>
          <w:sz w:val="28"/>
          <w:szCs w:val="28"/>
        </w:rPr>
        <w:t>8</w:t>
      </w:r>
      <w:r>
        <w:rPr>
          <w:rStyle w:val="7"/>
          <w:sz w:val="28"/>
          <w:szCs w:val="28"/>
        </w:rPr>
        <w:fldChar w:fldCharType="end"/>
      </w:r>
    </w:p>
    <w:p w14:paraId="773A19D4">
      <w:pPr>
        <w:pStyle w:val="13"/>
        <w:tabs>
          <w:tab w:val="right" w:leader="dot" w:pos="8900"/>
        </w:tabs>
        <w:rPr>
          <w:b/>
          <w:bCs/>
          <w:sz w:val="28"/>
          <w:szCs w:val="28"/>
        </w:rPr>
      </w:pPr>
      <w:r>
        <w:fldChar w:fldCharType="begin"/>
      </w:r>
      <w:r>
        <w:instrText xml:space="preserve"> HYPERLINK "file:///D:\\财政\\绩效\\2021教体部门绩效自评\\教育部门整体支出2021年度绩效自评报告.doc" \l "_Toc22386" </w:instrText>
      </w:r>
      <w:r>
        <w:fldChar w:fldCharType="separate"/>
      </w:r>
      <w:r>
        <w:rPr>
          <w:rStyle w:val="7"/>
          <w:rFonts w:hint="eastAsia"/>
          <w:b/>
          <w:bCs/>
          <w:sz w:val="28"/>
          <w:szCs w:val="28"/>
        </w:rPr>
        <w:t>三、部门整体支出绩效中存在问题及改进措施</w:t>
      </w:r>
      <w:r>
        <w:rPr>
          <w:rStyle w:val="7"/>
          <w:b/>
          <w:bCs/>
          <w:sz w:val="28"/>
          <w:szCs w:val="28"/>
        </w:rPr>
        <w:tab/>
      </w:r>
      <w:r>
        <w:rPr>
          <w:rStyle w:val="7"/>
        </w:rPr>
        <w:fldChar w:fldCharType="begin"/>
      </w:r>
      <w:r>
        <w:rPr>
          <w:rStyle w:val="7"/>
          <w:b/>
          <w:bCs/>
          <w:sz w:val="28"/>
          <w:szCs w:val="28"/>
        </w:rPr>
        <w:instrText xml:space="preserve"> PAGEREF _Toc22386 \h </w:instrText>
      </w:r>
      <w:r>
        <w:rPr>
          <w:rStyle w:val="7"/>
        </w:rPr>
        <w:fldChar w:fldCharType="separate"/>
      </w:r>
      <w:r>
        <w:rPr>
          <w:rStyle w:val="7"/>
          <w:b/>
          <w:bCs/>
          <w:sz w:val="28"/>
          <w:szCs w:val="28"/>
        </w:rPr>
        <w:t>9</w:t>
      </w:r>
      <w:r>
        <w:rPr>
          <w:rStyle w:val="7"/>
        </w:rPr>
        <w:fldChar w:fldCharType="end"/>
      </w:r>
      <w:r>
        <w:rPr>
          <w:rStyle w:val="7"/>
        </w:rPr>
        <w:fldChar w:fldCharType="end"/>
      </w:r>
    </w:p>
    <w:p w14:paraId="0AFDDD38">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"_Toc16557" </w:instrText>
      </w:r>
      <w:r>
        <w:fldChar w:fldCharType="separate"/>
      </w:r>
      <w:r>
        <w:rPr>
          <w:rStyle w:val="7"/>
          <w:rFonts w:hint="eastAsia"/>
          <w:sz w:val="28"/>
          <w:szCs w:val="28"/>
        </w:rPr>
        <w:t>（一）主要问题及原因分析</w:t>
      </w:r>
      <w:r>
        <w:rPr>
          <w:rStyle w:val="7"/>
          <w:sz w:val="28"/>
          <w:szCs w:val="28"/>
        </w:rPr>
        <w:tab/>
      </w:r>
      <w:r>
        <w:rPr>
          <w:rStyle w:val="7"/>
        </w:rPr>
        <w:fldChar w:fldCharType="begin"/>
      </w:r>
      <w:r>
        <w:rPr>
          <w:rStyle w:val="7"/>
          <w:sz w:val="28"/>
          <w:szCs w:val="28"/>
        </w:rPr>
        <w:instrText xml:space="preserve"> PAGEREF _Toc16557 \h </w:instrText>
      </w:r>
      <w:r>
        <w:rPr>
          <w:rStyle w:val="7"/>
        </w:rPr>
        <w:fldChar w:fldCharType="separate"/>
      </w:r>
      <w:r>
        <w:rPr>
          <w:rStyle w:val="7"/>
          <w:sz w:val="28"/>
          <w:szCs w:val="28"/>
        </w:rPr>
        <w:t>9</w:t>
      </w:r>
      <w:r>
        <w:rPr>
          <w:rStyle w:val="7"/>
        </w:rPr>
        <w:fldChar w:fldCharType="end"/>
      </w:r>
      <w:r>
        <w:rPr>
          <w:rStyle w:val="7"/>
        </w:rPr>
        <w:fldChar w:fldCharType="end"/>
      </w:r>
    </w:p>
    <w:p w14:paraId="481C62EB">
      <w:pPr>
        <w:pStyle w:val="12"/>
        <w:tabs>
          <w:tab w:val="right" w:leader="dot" w:pos="8900"/>
        </w:tabs>
        <w:ind w:left="420" w:leftChars="0"/>
        <w:rPr>
          <w:sz w:val="28"/>
          <w:szCs w:val="28"/>
        </w:rPr>
      </w:pPr>
      <w:r>
        <w:fldChar w:fldCharType="begin"/>
      </w:r>
      <w:r>
        <w:instrText xml:space="preserve"> HYPERLINK "file:///D:\\财政\\绩效\\2021教体部门绩效自评\\教育部门整体支出2021年度绩效自评报告.doc" \l "_Toc10052" </w:instrText>
      </w:r>
      <w:r>
        <w:fldChar w:fldCharType="separate"/>
      </w:r>
      <w:r>
        <w:rPr>
          <w:rStyle w:val="7"/>
          <w:rFonts w:hint="eastAsia"/>
          <w:sz w:val="28"/>
          <w:szCs w:val="28"/>
        </w:rPr>
        <w:t>（二）改进的方向和具体措施</w:t>
      </w:r>
      <w:r>
        <w:rPr>
          <w:rStyle w:val="7"/>
          <w:sz w:val="28"/>
          <w:szCs w:val="28"/>
        </w:rPr>
        <w:t> </w:t>
      </w:r>
      <w:r>
        <w:rPr>
          <w:rStyle w:val="7"/>
          <w:rFonts w:hint="eastAsia" w:ascii="宋体" w:hAnsi="宋体" w:cs="仿宋"/>
          <w:bCs/>
          <w:sz w:val="28"/>
          <w:szCs w:val="28"/>
        </w:rPr>
        <w:t> </w:t>
      </w:r>
      <w:r>
        <w:rPr>
          <w:rStyle w:val="7"/>
          <w:sz w:val="28"/>
          <w:szCs w:val="28"/>
        </w:rPr>
        <w:tab/>
      </w:r>
      <w:r>
        <w:rPr>
          <w:rStyle w:val="7"/>
        </w:rPr>
        <w:fldChar w:fldCharType="begin"/>
      </w:r>
      <w:r>
        <w:rPr>
          <w:rStyle w:val="7"/>
          <w:sz w:val="28"/>
          <w:szCs w:val="28"/>
        </w:rPr>
        <w:instrText xml:space="preserve"> PAGEREF _Toc10052 \h </w:instrText>
      </w:r>
      <w:r>
        <w:rPr>
          <w:rStyle w:val="7"/>
        </w:rPr>
        <w:fldChar w:fldCharType="separate"/>
      </w:r>
      <w:r>
        <w:rPr>
          <w:rStyle w:val="7"/>
          <w:sz w:val="28"/>
          <w:szCs w:val="28"/>
        </w:rPr>
        <w:t>9</w:t>
      </w:r>
      <w:r>
        <w:rPr>
          <w:rStyle w:val="7"/>
        </w:rPr>
        <w:fldChar w:fldCharType="end"/>
      </w:r>
      <w:r>
        <w:rPr>
          <w:rStyle w:val="7"/>
        </w:rPr>
        <w:fldChar w:fldCharType="end"/>
      </w:r>
    </w:p>
    <w:p w14:paraId="040BA658">
      <w:pPr>
        <w:pStyle w:val="13"/>
        <w:tabs>
          <w:tab w:val="right" w:leader="dot" w:pos="8900"/>
        </w:tabs>
        <w:rPr>
          <w:b/>
          <w:bCs/>
          <w:sz w:val="28"/>
          <w:szCs w:val="28"/>
        </w:rPr>
      </w:pPr>
      <w:r>
        <w:fldChar w:fldCharType="begin"/>
      </w:r>
      <w:r>
        <w:instrText xml:space="preserve"> HYPERLINK "file:///D:\\财政\\绩效\\2021教体部门绩效自评\\教育部门整体支出2021年度绩效自评报告.doc" \l "_Toc14748" </w:instrText>
      </w:r>
      <w:r>
        <w:fldChar w:fldCharType="separate"/>
      </w:r>
      <w:r>
        <w:rPr>
          <w:rStyle w:val="7"/>
          <w:rFonts w:hint="eastAsia"/>
          <w:b/>
          <w:bCs/>
          <w:sz w:val="28"/>
          <w:szCs w:val="28"/>
        </w:rPr>
        <w:t>四、绩效自评结果拟应用和公开情况</w:t>
      </w:r>
      <w:r>
        <w:rPr>
          <w:rStyle w:val="7"/>
          <w:b/>
          <w:bCs/>
          <w:sz w:val="28"/>
          <w:szCs w:val="28"/>
        </w:rPr>
        <w:tab/>
      </w:r>
      <w:r>
        <w:rPr>
          <w:rStyle w:val="7"/>
        </w:rPr>
        <w:fldChar w:fldCharType="begin"/>
      </w:r>
      <w:r>
        <w:rPr>
          <w:rStyle w:val="7"/>
          <w:b/>
          <w:bCs/>
          <w:sz w:val="28"/>
          <w:szCs w:val="28"/>
        </w:rPr>
        <w:instrText xml:space="preserve"> PAGEREF _Toc14748 \h </w:instrText>
      </w:r>
      <w:r>
        <w:rPr>
          <w:rStyle w:val="7"/>
        </w:rPr>
        <w:fldChar w:fldCharType="separate"/>
      </w:r>
      <w:r>
        <w:rPr>
          <w:rStyle w:val="7"/>
          <w:b/>
          <w:bCs/>
          <w:sz w:val="28"/>
          <w:szCs w:val="28"/>
        </w:rPr>
        <w:t>10</w:t>
      </w:r>
      <w:r>
        <w:rPr>
          <w:rStyle w:val="7"/>
        </w:rPr>
        <w:fldChar w:fldCharType="end"/>
      </w:r>
      <w:r>
        <w:rPr>
          <w:rStyle w:val="7"/>
        </w:rPr>
        <w:fldChar w:fldCharType="end"/>
      </w:r>
    </w:p>
    <w:p w14:paraId="4DF930B2">
      <w:pPr>
        <w:pStyle w:val="13"/>
        <w:tabs>
          <w:tab w:val="right" w:leader="dot" w:pos="8900"/>
        </w:tabs>
        <w:rPr>
          <w:sz w:val="32"/>
          <w:szCs w:val="32"/>
        </w:rPr>
      </w:pPr>
      <w:r>
        <w:fldChar w:fldCharType="begin"/>
      </w:r>
      <w:r>
        <w:instrText xml:space="preserve"> HYPERLINK "file:///D:\\财政\\绩效\\2021教体部门绩效自评\\教育部门整体支出2021年度绩效自评报告.doc" \l "_Toc26990" </w:instrText>
      </w:r>
      <w:r>
        <w:fldChar w:fldCharType="separate"/>
      </w:r>
      <w:r>
        <w:rPr>
          <w:rStyle w:val="7"/>
          <w:rFonts w:hint="eastAsia" w:ascii="宋体" w:hAnsi="宋体" w:cs="宋体"/>
          <w:sz w:val="28"/>
          <w:szCs w:val="28"/>
        </w:rPr>
        <w:t>附件1：部门整体支出绩效自评表</w:t>
      </w:r>
      <w:r>
        <w:rPr>
          <w:rStyle w:val="7"/>
          <w:sz w:val="28"/>
          <w:szCs w:val="28"/>
        </w:rPr>
        <w:tab/>
      </w:r>
      <w:r>
        <w:rPr>
          <w:rStyle w:val="7"/>
        </w:rPr>
        <w:fldChar w:fldCharType="begin"/>
      </w:r>
      <w:r>
        <w:rPr>
          <w:rStyle w:val="7"/>
          <w:sz w:val="28"/>
          <w:szCs w:val="28"/>
        </w:rPr>
        <w:instrText xml:space="preserve"> PAGEREF _Toc26990 \h </w:instrText>
      </w:r>
      <w:r>
        <w:rPr>
          <w:rStyle w:val="7"/>
        </w:rPr>
        <w:fldChar w:fldCharType="separate"/>
      </w:r>
      <w:r>
        <w:rPr>
          <w:rStyle w:val="7"/>
          <w:sz w:val="28"/>
          <w:szCs w:val="28"/>
        </w:rPr>
        <w:t>10</w:t>
      </w:r>
      <w:r>
        <w:rPr>
          <w:rStyle w:val="7"/>
        </w:rPr>
        <w:fldChar w:fldCharType="end"/>
      </w:r>
      <w:r>
        <w:rPr>
          <w:rStyle w:val="7"/>
        </w:rPr>
        <w:fldChar w:fldCharType="end"/>
      </w:r>
    </w:p>
    <w:p w14:paraId="6BCDF560">
      <w:pPr>
        <w:widowControl/>
        <w:spacing w:line="600" w:lineRule="exact"/>
        <w:ind w:firstLine="105" w:firstLineChars="50"/>
        <w:jc w:val="center"/>
        <w:rPr>
          <w:rFonts w:hint="eastAsia" w:ascii="华文新魏" w:hAnsi="宋体" w:eastAsia="华文新魏"/>
          <w:spacing w:val="42"/>
          <w:sz w:val="52"/>
          <w:szCs w:val="52"/>
        </w:rPr>
      </w:pPr>
      <w:r>
        <w:fldChar w:fldCharType="end"/>
      </w:r>
    </w:p>
    <w:p w14:paraId="574B6679">
      <w:pPr>
        <w:widowControl/>
        <w:spacing w:line="600" w:lineRule="exact"/>
        <w:ind w:firstLine="302" w:firstLineChars="50"/>
        <w:jc w:val="center"/>
        <w:rPr>
          <w:rFonts w:hint="eastAsia" w:ascii="华文新魏" w:hAnsi="宋体" w:eastAsia="华文新魏"/>
          <w:spacing w:val="42"/>
          <w:sz w:val="52"/>
          <w:szCs w:val="52"/>
        </w:rPr>
      </w:pPr>
    </w:p>
    <w:bookmarkEnd w:id="0"/>
    <w:p w14:paraId="02A720E1">
      <w:pPr>
        <w:widowControl/>
        <w:spacing w:beforeAutospacing="1" w:afterAutospacing="1"/>
        <w:jc w:val="left"/>
        <w:rPr>
          <w:rFonts w:hint="eastAsia" w:ascii="宋体" w:hAnsi="宋体" w:cs="仿宋"/>
          <w:sz w:val="24"/>
          <w:szCs w:val="24"/>
        </w:rPr>
        <w:sectPr>
          <w:pgSz w:w="11906" w:h="16838"/>
          <w:pgMar w:top="1134" w:right="1304" w:bottom="1134" w:left="1418" w:header="851" w:footer="850" w:gutter="284"/>
          <w:pgNumType w:start="1"/>
          <w:cols w:space="720" w:num="1"/>
        </w:sectPr>
      </w:pPr>
    </w:p>
    <w:p w14:paraId="60A500F2">
      <w:pPr>
        <w:pStyle w:val="8"/>
        <w:rPr>
          <w:rFonts w:hint="eastAsia"/>
        </w:rPr>
      </w:pPr>
      <w:bookmarkStart w:id="1" w:name="_Toc32493"/>
      <w:bookmarkStart w:id="2" w:name="_Toc11575_WPSOffice_Level1"/>
      <w:bookmarkStart w:id="3" w:name="_Toc26363_WPSOffice_Level1"/>
      <w:r>
        <w:rPr>
          <w:rFonts w:hint="eastAsia"/>
        </w:rPr>
        <w:t>一、部门概况</w:t>
      </w:r>
      <w:bookmarkEnd w:id="1"/>
      <w:bookmarkEnd w:id="2"/>
      <w:bookmarkEnd w:id="3"/>
    </w:p>
    <w:p w14:paraId="35224060">
      <w:pPr>
        <w:pStyle w:val="10"/>
        <w:spacing w:before="468" w:after="468"/>
        <w:rPr>
          <w:rFonts w:hint="eastAsia"/>
        </w:rPr>
      </w:pPr>
      <w:bookmarkStart w:id="4" w:name="_Toc16567_WPSOffice_Level2"/>
      <w:bookmarkStart w:id="5" w:name="_Toc26439_WPSOffice_Level2"/>
      <w:bookmarkStart w:id="6" w:name="_Toc30480"/>
      <w:r>
        <w:rPr>
          <w:rFonts w:hint="eastAsia"/>
        </w:rPr>
        <w:t>（一）部门基本情况及职能</w:t>
      </w:r>
      <w:bookmarkEnd w:id="4"/>
      <w:bookmarkEnd w:id="5"/>
      <w:bookmarkEnd w:id="6"/>
    </w:p>
    <w:p w14:paraId="7E0C6209">
      <w:pPr>
        <w:ind w:firstLine="640" w:firstLineChars="200"/>
        <w:rPr>
          <w:rFonts w:hint="eastAsia" w:ascii="仿宋" w:hAnsi="仿宋" w:eastAsia="仿宋"/>
          <w:sz w:val="32"/>
          <w:szCs w:val="32"/>
        </w:rPr>
      </w:pPr>
      <w:bookmarkStart w:id="7" w:name="_Toc29752_WPSOffice_Level2"/>
      <w:bookmarkStart w:id="8" w:name="_Toc8156_WPSOffice_Level2"/>
      <w:r>
        <w:rPr>
          <w:rFonts w:hint="eastAsia" w:ascii="仿宋_GB2312" w:hAnsi="仿宋" w:eastAsia="仿宋_GB2312" w:cs="仿宋_GB2312"/>
          <w:sz w:val="32"/>
          <w:szCs w:val="32"/>
        </w:rPr>
        <w:t>纳入本套部门汇编范围的单位共40个，包括：</w:t>
      </w:r>
      <w:r>
        <w:rPr>
          <w:rFonts w:hint="eastAsia" w:ascii="仿宋" w:hAnsi="仿宋" w:eastAsia="仿宋"/>
          <w:sz w:val="32"/>
          <w:szCs w:val="32"/>
        </w:rPr>
        <w:t xml:space="preserve">380001-九江市柴桑区教育体育局 </w:t>
      </w:r>
    </w:p>
    <w:p w14:paraId="3C19F831">
      <w:pPr>
        <w:ind w:firstLine="640" w:firstLineChars="200"/>
        <w:rPr>
          <w:rFonts w:hint="eastAsia" w:ascii="仿宋" w:hAnsi="仿宋" w:eastAsia="仿宋"/>
          <w:sz w:val="32"/>
          <w:szCs w:val="32"/>
        </w:rPr>
      </w:pPr>
      <w:r>
        <w:rPr>
          <w:rFonts w:hint="eastAsia" w:ascii="仿宋" w:hAnsi="仿宋" w:eastAsia="仿宋"/>
          <w:sz w:val="32"/>
          <w:szCs w:val="32"/>
        </w:rPr>
        <w:t xml:space="preserve">380002-九江市柴桑区教育发展中心 </w:t>
      </w:r>
    </w:p>
    <w:p w14:paraId="4B5352A1">
      <w:pPr>
        <w:ind w:firstLine="640" w:firstLineChars="200"/>
        <w:rPr>
          <w:rFonts w:hint="eastAsia" w:ascii="仿宋" w:hAnsi="仿宋" w:eastAsia="仿宋"/>
          <w:sz w:val="32"/>
          <w:szCs w:val="32"/>
        </w:rPr>
      </w:pPr>
      <w:r>
        <w:rPr>
          <w:rFonts w:hint="eastAsia" w:ascii="仿宋" w:hAnsi="仿宋" w:eastAsia="仿宋"/>
          <w:sz w:val="32"/>
          <w:szCs w:val="32"/>
        </w:rPr>
        <w:t xml:space="preserve">380010-九江市柴桑区中心幼儿园 </w:t>
      </w:r>
    </w:p>
    <w:p w14:paraId="5695DABB">
      <w:pPr>
        <w:ind w:firstLine="640" w:firstLineChars="200"/>
        <w:rPr>
          <w:rFonts w:hint="eastAsia" w:ascii="仿宋" w:hAnsi="仿宋" w:eastAsia="仿宋"/>
          <w:sz w:val="32"/>
          <w:szCs w:val="32"/>
        </w:rPr>
      </w:pPr>
      <w:r>
        <w:rPr>
          <w:rFonts w:ascii="仿宋" w:hAnsi="仿宋" w:eastAsia="仿宋"/>
          <w:sz w:val="32"/>
          <w:szCs w:val="32"/>
        </w:rPr>
        <w:t>380011-</w:t>
      </w:r>
      <w:r>
        <w:rPr>
          <w:rFonts w:hint="eastAsia" w:ascii="仿宋" w:hAnsi="仿宋" w:eastAsia="仿宋"/>
          <w:sz w:val="32"/>
          <w:szCs w:val="32"/>
        </w:rPr>
        <w:t>九江市柴桑区第三幼儿园</w:t>
      </w:r>
    </w:p>
    <w:p w14:paraId="4DF51585">
      <w:pPr>
        <w:ind w:firstLine="640" w:firstLineChars="200"/>
        <w:rPr>
          <w:rFonts w:hint="eastAsia" w:ascii="仿宋" w:hAnsi="仿宋" w:eastAsia="仿宋"/>
          <w:sz w:val="32"/>
          <w:szCs w:val="32"/>
        </w:rPr>
      </w:pPr>
      <w:r>
        <w:rPr>
          <w:rFonts w:hint="eastAsia" w:ascii="仿宋" w:hAnsi="仿宋" w:eastAsia="仿宋"/>
          <w:sz w:val="32"/>
          <w:szCs w:val="32"/>
        </w:rPr>
        <w:t xml:space="preserve">380021-九江市柴桑区第一小学 </w:t>
      </w:r>
    </w:p>
    <w:p w14:paraId="4E476422">
      <w:pPr>
        <w:ind w:firstLine="640" w:firstLineChars="200"/>
        <w:rPr>
          <w:rFonts w:hint="eastAsia" w:ascii="仿宋" w:hAnsi="仿宋" w:eastAsia="仿宋"/>
          <w:sz w:val="32"/>
          <w:szCs w:val="32"/>
        </w:rPr>
      </w:pPr>
      <w:r>
        <w:rPr>
          <w:rFonts w:hint="eastAsia" w:ascii="仿宋" w:hAnsi="仿宋" w:eastAsia="仿宋"/>
          <w:sz w:val="32"/>
          <w:szCs w:val="32"/>
        </w:rPr>
        <w:t xml:space="preserve">380022-九江市柴桑区第二小学 </w:t>
      </w:r>
    </w:p>
    <w:p w14:paraId="23D95DDF">
      <w:pPr>
        <w:ind w:firstLine="640" w:firstLineChars="200"/>
        <w:rPr>
          <w:rFonts w:hint="eastAsia" w:ascii="仿宋" w:hAnsi="仿宋" w:eastAsia="仿宋"/>
          <w:sz w:val="32"/>
          <w:szCs w:val="32"/>
        </w:rPr>
      </w:pPr>
      <w:r>
        <w:rPr>
          <w:rFonts w:hint="eastAsia" w:ascii="仿宋" w:hAnsi="仿宋" w:eastAsia="仿宋"/>
          <w:sz w:val="32"/>
          <w:szCs w:val="32"/>
        </w:rPr>
        <w:t xml:space="preserve">380023-九江市柴桑区第三小学 </w:t>
      </w:r>
    </w:p>
    <w:p w14:paraId="64F2EE9B">
      <w:pPr>
        <w:ind w:firstLine="640" w:firstLineChars="200"/>
        <w:rPr>
          <w:rFonts w:hint="eastAsia" w:ascii="仿宋" w:hAnsi="仿宋" w:eastAsia="仿宋"/>
          <w:sz w:val="32"/>
          <w:szCs w:val="32"/>
        </w:rPr>
      </w:pPr>
      <w:r>
        <w:rPr>
          <w:rFonts w:hint="eastAsia" w:ascii="仿宋" w:hAnsi="仿宋" w:eastAsia="仿宋"/>
          <w:sz w:val="32"/>
          <w:szCs w:val="32"/>
        </w:rPr>
        <w:t xml:space="preserve">380024-九江市柴桑区第四小学 </w:t>
      </w:r>
    </w:p>
    <w:p w14:paraId="56B88BCC">
      <w:pPr>
        <w:ind w:firstLine="640" w:firstLineChars="200"/>
        <w:rPr>
          <w:rFonts w:hint="eastAsia" w:ascii="仿宋" w:hAnsi="仿宋" w:eastAsia="仿宋"/>
          <w:sz w:val="32"/>
          <w:szCs w:val="32"/>
        </w:rPr>
      </w:pPr>
      <w:r>
        <w:rPr>
          <w:rFonts w:hint="eastAsia" w:ascii="仿宋" w:hAnsi="仿宋" w:eastAsia="仿宋"/>
          <w:sz w:val="32"/>
          <w:szCs w:val="32"/>
        </w:rPr>
        <w:t xml:space="preserve">380025-九江市柴桑区第五小学 </w:t>
      </w:r>
    </w:p>
    <w:p w14:paraId="00D7E2A3">
      <w:pPr>
        <w:ind w:firstLine="640" w:firstLineChars="200"/>
        <w:rPr>
          <w:rFonts w:hint="eastAsia" w:ascii="仿宋" w:hAnsi="仿宋" w:eastAsia="仿宋"/>
          <w:sz w:val="32"/>
          <w:szCs w:val="32"/>
        </w:rPr>
      </w:pPr>
      <w:r>
        <w:rPr>
          <w:rFonts w:hint="eastAsia" w:ascii="仿宋" w:hAnsi="仿宋" w:eastAsia="仿宋"/>
          <w:sz w:val="32"/>
          <w:szCs w:val="32"/>
        </w:rPr>
        <w:t xml:space="preserve">380026-九江市柴桑区沙河开发区中心小学 </w:t>
      </w:r>
    </w:p>
    <w:p w14:paraId="751E2C4D">
      <w:pPr>
        <w:ind w:firstLine="640" w:firstLineChars="200"/>
        <w:rPr>
          <w:rFonts w:hint="eastAsia" w:ascii="仿宋" w:hAnsi="仿宋" w:eastAsia="仿宋"/>
          <w:sz w:val="32"/>
          <w:szCs w:val="32"/>
        </w:rPr>
      </w:pPr>
      <w:r>
        <w:rPr>
          <w:rFonts w:hint="eastAsia" w:ascii="仿宋" w:hAnsi="仿宋" w:eastAsia="仿宋"/>
          <w:sz w:val="32"/>
          <w:szCs w:val="32"/>
        </w:rPr>
        <w:t xml:space="preserve">380027-九江市柴桑区第七小学 </w:t>
      </w:r>
    </w:p>
    <w:p w14:paraId="219682CE">
      <w:pPr>
        <w:ind w:firstLine="640" w:firstLineChars="200"/>
        <w:rPr>
          <w:rFonts w:hint="eastAsia" w:ascii="仿宋" w:hAnsi="仿宋" w:eastAsia="仿宋"/>
          <w:sz w:val="32"/>
          <w:szCs w:val="32"/>
        </w:rPr>
      </w:pPr>
      <w:r>
        <w:rPr>
          <w:rFonts w:hint="eastAsia" w:ascii="仿宋" w:hAnsi="仿宋" w:eastAsia="仿宋"/>
          <w:sz w:val="32"/>
          <w:szCs w:val="32"/>
        </w:rPr>
        <w:t xml:space="preserve">380031-九江市柴桑区第一中学 </w:t>
      </w:r>
    </w:p>
    <w:p w14:paraId="2624EF61">
      <w:pPr>
        <w:ind w:firstLine="640" w:firstLineChars="200"/>
        <w:rPr>
          <w:rFonts w:hint="eastAsia" w:ascii="仿宋" w:hAnsi="仿宋" w:eastAsia="仿宋"/>
          <w:sz w:val="32"/>
          <w:szCs w:val="32"/>
        </w:rPr>
      </w:pPr>
      <w:r>
        <w:rPr>
          <w:rFonts w:hint="eastAsia" w:ascii="仿宋" w:hAnsi="仿宋" w:eastAsia="仿宋"/>
          <w:sz w:val="32"/>
          <w:szCs w:val="32"/>
        </w:rPr>
        <w:t xml:space="preserve">380032-九江市柴桑区第二中学 </w:t>
      </w:r>
    </w:p>
    <w:p w14:paraId="72002E35">
      <w:pPr>
        <w:ind w:firstLine="640" w:firstLineChars="200"/>
        <w:rPr>
          <w:rFonts w:hint="eastAsia" w:ascii="仿宋" w:hAnsi="仿宋" w:eastAsia="仿宋"/>
          <w:sz w:val="32"/>
          <w:szCs w:val="32"/>
        </w:rPr>
      </w:pPr>
      <w:r>
        <w:rPr>
          <w:rFonts w:hint="eastAsia" w:ascii="仿宋" w:hAnsi="仿宋" w:eastAsia="仿宋"/>
          <w:sz w:val="32"/>
          <w:szCs w:val="32"/>
        </w:rPr>
        <w:t xml:space="preserve">380033-九江市柴桑区第三中学 </w:t>
      </w:r>
    </w:p>
    <w:p w14:paraId="0BF99C85">
      <w:pPr>
        <w:ind w:firstLine="640" w:firstLineChars="200"/>
        <w:rPr>
          <w:rFonts w:hint="eastAsia" w:ascii="仿宋" w:hAnsi="仿宋" w:eastAsia="仿宋"/>
          <w:sz w:val="32"/>
          <w:szCs w:val="32"/>
        </w:rPr>
      </w:pPr>
      <w:r>
        <w:rPr>
          <w:rFonts w:hint="eastAsia" w:ascii="仿宋" w:hAnsi="仿宋" w:eastAsia="仿宋"/>
          <w:sz w:val="32"/>
          <w:szCs w:val="32"/>
        </w:rPr>
        <w:t xml:space="preserve">380034-九江市柴桑区第四中学 </w:t>
      </w:r>
    </w:p>
    <w:p w14:paraId="01F65823">
      <w:pPr>
        <w:ind w:firstLine="640" w:firstLineChars="200"/>
        <w:rPr>
          <w:rFonts w:hint="eastAsia" w:ascii="仿宋" w:hAnsi="仿宋" w:eastAsia="仿宋"/>
          <w:sz w:val="32"/>
          <w:szCs w:val="32"/>
        </w:rPr>
      </w:pPr>
      <w:r>
        <w:rPr>
          <w:rFonts w:hint="eastAsia" w:ascii="仿宋" w:hAnsi="仿宋" w:eastAsia="仿宋"/>
          <w:sz w:val="32"/>
          <w:szCs w:val="32"/>
        </w:rPr>
        <w:t xml:space="preserve">380035-九江市柴桑区第五中学 </w:t>
      </w:r>
    </w:p>
    <w:p w14:paraId="629FE492">
      <w:pPr>
        <w:ind w:firstLine="640" w:firstLineChars="200"/>
        <w:rPr>
          <w:rFonts w:hint="eastAsia" w:ascii="仿宋" w:hAnsi="仿宋" w:eastAsia="仿宋"/>
          <w:sz w:val="32"/>
          <w:szCs w:val="32"/>
        </w:rPr>
      </w:pPr>
      <w:r>
        <w:rPr>
          <w:rFonts w:hint="eastAsia" w:ascii="仿宋" w:hAnsi="仿宋" w:eastAsia="仿宋"/>
          <w:sz w:val="32"/>
          <w:szCs w:val="32"/>
        </w:rPr>
        <w:t xml:space="preserve">380040-九江市柴桑区江洲镇中心小学 </w:t>
      </w:r>
    </w:p>
    <w:p w14:paraId="2B10952D">
      <w:pPr>
        <w:ind w:firstLine="640" w:firstLineChars="200"/>
        <w:rPr>
          <w:rFonts w:hint="eastAsia" w:ascii="仿宋" w:hAnsi="仿宋" w:eastAsia="仿宋"/>
          <w:sz w:val="32"/>
          <w:szCs w:val="32"/>
        </w:rPr>
      </w:pPr>
      <w:r>
        <w:rPr>
          <w:rFonts w:hint="eastAsia" w:ascii="仿宋" w:hAnsi="仿宋" w:eastAsia="仿宋"/>
          <w:sz w:val="32"/>
          <w:szCs w:val="32"/>
        </w:rPr>
        <w:t xml:space="preserve">380041-九江市柴桑区城子镇中心小学 </w:t>
      </w:r>
    </w:p>
    <w:p w14:paraId="3637AB8D">
      <w:pPr>
        <w:ind w:firstLine="640" w:firstLineChars="200"/>
        <w:rPr>
          <w:rFonts w:hint="eastAsia" w:ascii="仿宋" w:hAnsi="仿宋" w:eastAsia="仿宋"/>
          <w:sz w:val="32"/>
          <w:szCs w:val="32"/>
        </w:rPr>
      </w:pPr>
      <w:r>
        <w:rPr>
          <w:rFonts w:hint="eastAsia" w:ascii="仿宋" w:hAnsi="仿宋" w:eastAsia="仿宋"/>
          <w:sz w:val="32"/>
          <w:szCs w:val="32"/>
        </w:rPr>
        <w:t xml:space="preserve">380042-九江市柴桑区港口街镇中心小学 </w:t>
      </w:r>
    </w:p>
    <w:p w14:paraId="10BD0FA6">
      <w:pPr>
        <w:ind w:firstLine="640" w:firstLineChars="200"/>
        <w:rPr>
          <w:rFonts w:hint="eastAsia" w:ascii="仿宋" w:hAnsi="仿宋" w:eastAsia="仿宋"/>
          <w:sz w:val="32"/>
          <w:szCs w:val="32"/>
        </w:rPr>
      </w:pPr>
      <w:r>
        <w:rPr>
          <w:rFonts w:hint="eastAsia" w:ascii="仿宋" w:hAnsi="仿宋" w:eastAsia="仿宋"/>
          <w:sz w:val="32"/>
          <w:szCs w:val="32"/>
        </w:rPr>
        <w:t xml:space="preserve">380043-九江市柴桑区狮子街道中心小学 </w:t>
      </w:r>
    </w:p>
    <w:p w14:paraId="400E1B76">
      <w:pPr>
        <w:ind w:firstLine="640" w:firstLineChars="200"/>
        <w:rPr>
          <w:rFonts w:hint="eastAsia" w:ascii="仿宋" w:hAnsi="仿宋" w:eastAsia="仿宋"/>
          <w:sz w:val="32"/>
          <w:szCs w:val="32"/>
        </w:rPr>
      </w:pPr>
      <w:r>
        <w:rPr>
          <w:rFonts w:hint="eastAsia" w:ascii="仿宋" w:hAnsi="仿宋" w:eastAsia="仿宋"/>
          <w:sz w:val="32"/>
          <w:szCs w:val="32"/>
        </w:rPr>
        <w:t xml:space="preserve">380044-九江市柴桑区新合镇中心小学 </w:t>
      </w:r>
    </w:p>
    <w:p w14:paraId="784054A2">
      <w:pPr>
        <w:ind w:firstLine="640" w:firstLineChars="200"/>
        <w:rPr>
          <w:rFonts w:hint="eastAsia" w:ascii="仿宋" w:hAnsi="仿宋" w:eastAsia="仿宋"/>
          <w:sz w:val="32"/>
          <w:szCs w:val="32"/>
        </w:rPr>
      </w:pPr>
      <w:r>
        <w:rPr>
          <w:rFonts w:hint="eastAsia" w:ascii="仿宋" w:hAnsi="仿宋" w:eastAsia="仿宋"/>
          <w:sz w:val="32"/>
          <w:szCs w:val="32"/>
        </w:rPr>
        <w:t xml:space="preserve">380045-九江市柴桑区新塘乡中心小学 </w:t>
      </w:r>
    </w:p>
    <w:p w14:paraId="56FBB1BA">
      <w:pPr>
        <w:ind w:firstLine="640" w:firstLineChars="200"/>
        <w:rPr>
          <w:rFonts w:hint="eastAsia" w:ascii="仿宋" w:hAnsi="仿宋" w:eastAsia="仿宋"/>
          <w:sz w:val="32"/>
          <w:szCs w:val="32"/>
        </w:rPr>
      </w:pPr>
      <w:r>
        <w:rPr>
          <w:rFonts w:hint="eastAsia" w:ascii="仿宋" w:hAnsi="仿宋" w:eastAsia="仿宋"/>
          <w:sz w:val="32"/>
          <w:szCs w:val="32"/>
        </w:rPr>
        <w:t xml:space="preserve">380046-九江市柴桑区涌泉乡中心小学 </w:t>
      </w:r>
    </w:p>
    <w:p w14:paraId="10DE158C">
      <w:pPr>
        <w:ind w:firstLine="640" w:firstLineChars="200"/>
        <w:rPr>
          <w:rFonts w:hint="eastAsia" w:ascii="仿宋" w:hAnsi="仿宋" w:eastAsia="仿宋"/>
          <w:sz w:val="32"/>
          <w:szCs w:val="32"/>
        </w:rPr>
      </w:pPr>
      <w:r>
        <w:rPr>
          <w:rFonts w:hint="eastAsia" w:ascii="仿宋" w:hAnsi="仿宋" w:eastAsia="仿宋"/>
          <w:sz w:val="32"/>
          <w:szCs w:val="32"/>
        </w:rPr>
        <w:t xml:space="preserve">380047-九江市柴桑区马回岭镇中心小学 </w:t>
      </w:r>
    </w:p>
    <w:p w14:paraId="32ED61B2">
      <w:pPr>
        <w:ind w:firstLine="640" w:firstLineChars="200"/>
        <w:rPr>
          <w:rFonts w:hint="eastAsia" w:ascii="仿宋" w:hAnsi="仿宋" w:eastAsia="仿宋"/>
          <w:sz w:val="32"/>
          <w:szCs w:val="32"/>
        </w:rPr>
      </w:pPr>
      <w:r>
        <w:rPr>
          <w:rFonts w:hint="eastAsia" w:ascii="仿宋" w:hAnsi="仿宋" w:eastAsia="仿宋"/>
          <w:sz w:val="32"/>
          <w:szCs w:val="32"/>
        </w:rPr>
        <w:t xml:space="preserve">380048-九江市柴桑区岷山乡中心小学 </w:t>
      </w:r>
    </w:p>
    <w:p w14:paraId="57C9A83A">
      <w:pPr>
        <w:ind w:firstLine="640" w:firstLineChars="200"/>
        <w:rPr>
          <w:rFonts w:hint="eastAsia" w:ascii="仿宋" w:hAnsi="仿宋" w:eastAsia="仿宋"/>
          <w:sz w:val="32"/>
          <w:szCs w:val="32"/>
        </w:rPr>
      </w:pPr>
      <w:r>
        <w:rPr>
          <w:rFonts w:hint="eastAsia" w:ascii="仿宋" w:hAnsi="仿宋" w:eastAsia="仿宋"/>
          <w:sz w:val="32"/>
          <w:szCs w:val="32"/>
        </w:rPr>
        <w:t xml:space="preserve">380049-九江市柴桑区赤湖学校 </w:t>
      </w:r>
    </w:p>
    <w:p w14:paraId="6E47AC9B">
      <w:pPr>
        <w:ind w:firstLine="640" w:firstLineChars="200"/>
        <w:rPr>
          <w:rFonts w:hint="eastAsia" w:ascii="仿宋" w:hAnsi="仿宋" w:eastAsia="仿宋"/>
          <w:sz w:val="32"/>
          <w:szCs w:val="32"/>
        </w:rPr>
      </w:pPr>
      <w:r>
        <w:rPr>
          <w:rFonts w:hint="eastAsia" w:ascii="仿宋" w:hAnsi="仿宋" w:eastAsia="仿宋"/>
          <w:sz w:val="32"/>
          <w:szCs w:val="32"/>
        </w:rPr>
        <w:t xml:space="preserve">380050-九江市柴桑区新洲学校 </w:t>
      </w:r>
    </w:p>
    <w:p w14:paraId="4EB5B9F5">
      <w:pPr>
        <w:ind w:firstLine="640" w:firstLineChars="200"/>
        <w:rPr>
          <w:rFonts w:hint="eastAsia" w:ascii="仿宋" w:hAnsi="仿宋" w:eastAsia="仿宋"/>
          <w:sz w:val="32"/>
          <w:szCs w:val="32"/>
        </w:rPr>
      </w:pPr>
      <w:r>
        <w:rPr>
          <w:rFonts w:hint="eastAsia" w:ascii="仿宋" w:hAnsi="仿宋" w:eastAsia="仿宋"/>
          <w:sz w:val="32"/>
          <w:szCs w:val="32"/>
        </w:rPr>
        <w:t xml:space="preserve">380051-九江市柴桑区港东小学 </w:t>
      </w:r>
    </w:p>
    <w:p w14:paraId="2CABCB64">
      <w:pPr>
        <w:ind w:firstLine="640" w:firstLineChars="200"/>
        <w:rPr>
          <w:rFonts w:hint="eastAsia" w:ascii="仿宋" w:hAnsi="仿宋" w:eastAsia="仿宋"/>
          <w:sz w:val="32"/>
          <w:szCs w:val="32"/>
        </w:rPr>
      </w:pPr>
      <w:r>
        <w:rPr>
          <w:rFonts w:hint="eastAsia" w:ascii="仿宋" w:hAnsi="仿宋" w:eastAsia="仿宋"/>
          <w:sz w:val="32"/>
          <w:szCs w:val="32"/>
        </w:rPr>
        <w:t xml:space="preserve">380052-九江市柴桑区江洲中学 </w:t>
      </w:r>
    </w:p>
    <w:p w14:paraId="55A67792">
      <w:pPr>
        <w:ind w:firstLine="640" w:firstLineChars="200"/>
        <w:rPr>
          <w:rFonts w:hint="eastAsia" w:ascii="仿宋" w:hAnsi="仿宋" w:eastAsia="仿宋"/>
          <w:sz w:val="32"/>
          <w:szCs w:val="32"/>
        </w:rPr>
      </w:pPr>
      <w:r>
        <w:rPr>
          <w:rFonts w:hint="eastAsia" w:ascii="仿宋" w:hAnsi="仿宋" w:eastAsia="仿宋"/>
          <w:sz w:val="32"/>
          <w:szCs w:val="32"/>
        </w:rPr>
        <w:t xml:space="preserve">380053-九江市柴桑区城子镇中学 </w:t>
      </w:r>
    </w:p>
    <w:p w14:paraId="6E45F760">
      <w:pPr>
        <w:ind w:firstLine="640" w:firstLineChars="200"/>
        <w:rPr>
          <w:rFonts w:hint="eastAsia" w:ascii="仿宋" w:hAnsi="仿宋" w:eastAsia="仿宋"/>
          <w:sz w:val="32"/>
          <w:szCs w:val="32"/>
        </w:rPr>
      </w:pPr>
      <w:r>
        <w:rPr>
          <w:rFonts w:hint="eastAsia" w:ascii="仿宋" w:hAnsi="仿宋" w:eastAsia="仿宋"/>
          <w:sz w:val="32"/>
          <w:szCs w:val="32"/>
        </w:rPr>
        <w:t xml:space="preserve">380054-九江市柴桑区港口中学 </w:t>
      </w:r>
    </w:p>
    <w:p w14:paraId="0D3007D4">
      <w:pPr>
        <w:ind w:firstLine="640" w:firstLineChars="200"/>
        <w:rPr>
          <w:rFonts w:hint="eastAsia" w:ascii="仿宋" w:hAnsi="仿宋" w:eastAsia="仿宋"/>
          <w:sz w:val="32"/>
          <w:szCs w:val="32"/>
        </w:rPr>
      </w:pPr>
      <w:r>
        <w:rPr>
          <w:rFonts w:hint="eastAsia" w:ascii="仿宋" w:hAnsi="仿宋" w:eastAsia="仿宋"/>
          <w:sz w:val="32"/>
          <w:szCs w:val="32"/>
        </w:rPr>
        <w:t xml:space="preserve">380055-九江市柴桑区港口初级中学 </w:t>
      </w:r>
    </w:p>
    <w:p w14:paraId="06A8FD80">
      <w:pPr>
        <w:ind w:firstLine="640" w:firstLineChars="200"/>
        <w:rPr>
          <w:rFonts w:hint="eastAsia" w:ascii="仿宋" w:hAnsi="仿宋" w:eastAsia="仿宋"/>
          <w:sz w:val="32"/>
          <w:szCs w:val="32"/>
        </w:rPr>
      </w:pPr>
      <w:r>
        <w:rPr>
          <w:rFonts w:hint="eastAsia" w:ascii="仿宋" w:hAnsi="仿宋" w:eastAsia="仿宋"/>
          <w:sz w:val="32"/>
          <w:szCs w:val="32"/>
        </w:rPr>
        <w:t xml:space="preserve">380056-九江市柴桑区新合中学 </w:t>
      </w:r>
    </w:p>
    <w:p w14:paraId="1C11D4CB">
      <w:pPr>
        <w:ind w:firstLine="640" w:firstLineChars="200"/>
        <w:rPr>
          <w:rFonts w:hint="eastAsia" w:ascii="仿宋" w:hAnsi="仿宋" w:eastAsia="仿宋"/>
          <w:sz w:val="32"/>
          <w:szCs w:val="32"/>
        </w:rPr>
      </w:pPr>
      <w:r>
        <w:rPr>
          <w:rFonts w:hint="eastAsia" w:ascii="仿宋" w:hAnsi="仿宋" w:eastAsia="仿宋"/>
          <w:sz w:val="32"/>
          <w:szCs w:val="32"/>
        </w:rPr>
        <w:t xml:space="preserve">380057-九江市柴桑区新塘初级中学 </w:t>
      </w:r>
    </w:p>
    <w:p w14:paraId="731D398C">
      <w:pPr>
        <w:ind w:firstLine="640" w:firstLineChars="200"/>
        <w:rPr>
          <w:rFonts w:hint="eastAsia" w:ascii="仿宋" w:hAnsi="仿宋" w:eastAsia="仿宋"/>
          <w:sz w:val="32"/>
          <w:szCs w:val="32"/>
        </w:rPr>
      </w:pPr>
      <w:r>
        <w:rPr>
          <w:rFonts w:hint="eastAsia" w:ascii="仿宋" w:hAnsi="仿宋" w:eastAsia="仿宋"/>
          <w:sz w:val="32"/>
          <w:szCs w:val="32"/>
        </w:rPr>
        <w:t xml:space="preserve">380058-九江市柴桑区涌泉中学 </w:t>
      </w:r>
    </w:p>
    <w:p w14:paraId="4335ACD7">
      <w:pPr>
        <w:ind w:firstLine="640" w:firstLineChars="200"/>
        <w:rPr>
          <w:rFonts w:hint="eastAsia" w:ascii="仿宋" w:hAnsi="仿宋" w:eastAsia="仿宋"/>
          <w:sz w:val="32"/>
          <w:szCs w:val="32"/>
        </w:rPr>
      </w:pPr>
      <w:r>
        <w:rPr>
          <w:rFonts w:hint="eastAsia" w:ascii="仿宋" w:hAnsi="仿宋" w:eastAsia="仿宋"/>
          <w:sz w:val="32"/>
          <w:szCs w:val="32"/>
        </w:rPr>
        <w:t xml:space="preserve">380059-九江市柴桑区马回岭中学 </w:t>
      </w:r>
    </w:p>
    <w:p w14:paraId="7D348D0B">
      <w:pPr>
        <w:ind w:firstLine="640" w:firstLineChars="200"/>
        <w:rPr>
          <w:rFonts w:hint="eastAsia" w:ascii="仿宋" w:hAnsi="仿宋" w:eastAsia="仿宋"/>
          <w:sz w:val="32"/>
          <w:szCs w:val="32"/>
        </w:rPr>
      </w:pPr>
      <w:r>
        <w:rPr>
          <w:rFonts w:hint="eastAsia" w:ascii="仿宋" w:hAnsi="仿宋" w:eastAsia="仿宋"/>
          <w:sz w:val="32"/>
          <w:szCs w:val="32"/>
        </w:rPr>
        <w:t xml:space="preserve">380060-九江市柴桑区岷山学校 </w:t>
      </w:r>
    </w:p>
    <w:p w14:paraId="6413D023">
      <w:pPr>
        <w:ind w:firstLine="640" w:firstLineChars="200"/>
        <w:rPr>
          <w:rFonts w:hint="eastAsia" w:ascii="仿宋" w:hAnsi="仿宋" w:eastAsia="仿宋"/>
          <w:sz w:val="32"/>
          <w:szCs w:val="32"/>
        </w:rPr>
      </w:pPr>
      <w:r>
        <w:rPr>
          <w:rFonts w:hint="eastAsia" w:ascii="仿宋" w:hAnsi="仿宋" w:eastAsia="仿宋"/>
          <w:sz w:val="32"/>
          <w:szCs w:val="32"/>
        </w:rPr>
        <w:t xml:space="preserve">380061-九江市柴桑区黄老门中学 </w:t>
      </w:r>
    </w:p>
    <w:p w14:paraId="6724B357">
      <w:pPr>
        <w:ind w:firstLine="640" w:firstLineChars="200"/>
        <w:rPr>
          <w:rFonts w:hint="eastAsia" w:ascii="仿宋" w:hAnsi="仿宋" w:eastAsia="仿宋"/>
          <w:sz w:val="32"/>
          <w:szCs w:val="32"/>
        </w:rPr>
      </w:pPr>
      <w:r>
        <w:rPr>
          <w:rFonts w:hint="eastAsia" w:ascii="仿宋" w:hAnsi="仿宋" w:eastAsia="仿宋"/>
          <w:sz w:val="32"/>
          <w:szCs w:val="32"/>
        </w:rPr>
        <w:t xml:space="preserve">380072-九江市柴桑区特殊教育学校 </w:t>
      </w:r>
    </w:p>
    <w:p w14:paraId="06010EA4">
      <w:pPr>
        <w:ind w:firstLine="640" w:firstLineChars="200"/>
        <w:rPr>
          <w:rFonts w:hint="eastAsia" w:ascii="仿宋" w:hAnsi="仿宋" w:eastAsia="仿宋"/>
          <w:sz w:val="32"/>
          <w:szCs w:val="32"/>
        </w:rPr>
      </w:pPr>
      <w:r>
        <w:rPr>
          <w:rFonts w:hint="eastAsia" w:ascii="仿宋" w:hAnsi="仿宋" w:eastAsia="仿宋"/>
          <w:sz w:val="32"/>
          <w:szCs w:val="32"/>
        </w:rPr>
        <w:t>380074-九江市柴桑区中等职业技术学校。</w:t>
      </w:r>
    </w:p>
    <w:p w14:paraId="719B4A9E">
      <w:pPr>
        <w:pStyle w:val="3"/>
        <w:ind w:firstLine="640"/>
        <w:rPr>
          <w:rFonts w:hint="eastAsia"/>
        </w:rPr>
      </w:pPr>
      <w:r>
        <w:rPr>
          <w:rFonts w:hint="eastAsia" w:ascii="仿宋" w:hAnsi="仿宋" w:eastAsia="仿宋"/>
          <w:sz w:val="32"/>
          <w:szCs w:val="32"/>
          <w:highlight w:val="yellow"/>
        </w:rPr>
        <w:t>（人事股）</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ascii="仿宋" w:hAnsi="仿宋" w:eastAsia="仿宋" w:cs="仿宋"/>
          <w:spacing w:val="-1"/>
          <w:w w:val="98"/>
          <w:sz w:val="32"/>
          <w:szCs w:val="32"/>
        </w:rPr>
        <w:t>2652</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ascii="仿宋" w:hAnsi="仿宋" w:eastAsia="仿宋" w:cs="Times New Roman"/>
          <w:sz w:val="32"/>
          <w:szCs w:val="32"/>
        </w:rPr>
        <w:t>1</w:t>
      </w:r>
      <w:r>
        <w:rPr>
          <w:rFonts w:ascii="仿宋" w:hAnsi="仿宋" w:eastAsia="仿宋" w:cs="仿宋"/>
          <w:spacing w:val="-1"/>
          <w:sz w:val="32"/>
          <w:szCs w:val="32"/>
        </w:rPr>
        <w:t>2</w:t>
      </w:r>
      <w:r>
        <w:rPr>
          <w:rFonts w:ascii="仿宋" w:hAnsi="仿宋" w:eastAsia="仿宋"/>
          <w:sz w:val="32"/>
          <w:szCs w:val="32"/>
        </w:rPr>
        <w:t>人,全部补助事业编制人数</w:t>
      </w:r>
      <w:r>
        <w:rPr>
          <w:rFonts w:ascii="仿宋" w:hAnsi="仿宋" w:eastAsia="仿宋" w:cs="仿宋"/>
          <w:spacing w:val="-1"/>
          <w:w w:val="99"/>
          <w:sz w:val="32"/>
          <w:szCs w:val="32"/>
        </w:rPr>
        <w:t>2640</w:t>
      </w:r>
      <w:r>
        <w:rPr>
          <w:rFonts w:ascii="仿宋" w:hAnsi="仿宋" w:eastAsia="仿宋"/>
          <w:sz w:val="32"/>
          <w:szCs w:val="32"/>
        </w:rPr>
        <w:t>人,</w:t>
      </w:r>
      <w:r>
        <w:rPr>
          <w:rFonts w:hint="eastAsia" w:ascii="仿宋" w:hAnsi="仿宋" w:eastAsia="仿宋"/>
          <w:sz w:val="32"/>
          <w:szCs w:val="32"/>
        </w:rPr>
        <w:t>部分补助事业编制人数</w:t>
      </w:r>
      <w:r>
        <w:rPr>
          <w:rFonts w:ascii="仿宋" w:hAnsi="仿宋" w:eastAsia="仿宋" w:cs="Times New Roman"/>
          <w:sz w:val="32"/>
          <w:szCs w:val="32"/>
        </w:rPr>
        <w:t>0</w:t>
      </w:r>
      <w:r>
        <w:rPr>
          <w:rFonts w:hint="eastAsia" w:ascii="仿宋" w:hAnsi="仿宋" w:eastAsia="仿宋"/>
          <w:sz w:val="32"/>
          <w:szCs w:val="32"/>
        </w:rPr>
        <w:t>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ascii="仿宋" w:hAnsi="仿宋" w:eastAsia="仿宋" w:cs="仿宋"/>
          <w:spacing w:val="-1"/>
          <w:w w:val="99"/>
          <w:sz w:val="32"/>
          <w:szCs w:val="32"/>
        </w:rPr>
        <w:t>2494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ascii="仿宋" w:hAnsi="仿宋" w:eastAsia="仿宋" w:cs="仿宋"/>
          <w:spacing w:val="-1"/>
          <w:w w:val="99"/>
          <w:sz w:val="32"/>
          <w:szCs w:val="32"/>
        </w:rPr>
        <w:t>2494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ascii="仿宋" w:hAnsi="仿宋" w:eastAsia="仿宋" w:cs="Times New Roman"/>
          <w:sz w:val="32"/>
          <w:szCs w:val="32"/>
        </w:rPr>
        <w:t>11</w:t>
      </w:r>
      <w:r>
        <w:rPr>
          <w:rFonts w:ascii="仿宋" w:hAnsi="仿宋" w:eastAsia="仿宋"/>
          <w:sz w:val="32"/>
          <w:szCs w:val="32"/>
        </w:rPr>
        <w:t>人,</w:t>
      </w:r>
      <w:r>
        <w:rPr>
          <w:rFonts w:hint="eastAsia" w:ascii="仿宋" w:hAnsi="仿宋" w:eastAsia="仿宋"/>
          <w:sz w:val="32"/>
          <w:szCs w:val="32"/>
        </w:rPr>
        <w:t>全部补助事业在职人数</w:t>
      </w:r>
      <w:r>
        <w:rPr>
          <w:rFonts w:ascii="仿宋" w:hAnsi="仿宋" w:eastAsia="仿宋" w:cs="仿宋"/>
          <w:sz w:val="32"/>
          <w:szCs w:val="32"/>
        </w:rPr>
        <w:t>2483</w:t>
      </w:r>
      <w:r>
        <w:rPr>
          <w:rFonts w:hint="eastAsia" w:ascii="仿宋" w:hAnsi="仿宋" w:eastAsia="仿宋" w:cs="Times New Roman"/>
          <w:sz w:val="32"/>
          <w:szCs w:val="32"/>
        </w:rPr>
        <w:t>人，部分</w:t>
      </w:r>
      <w:r>
        <w:rPr>
          <w:rFonts w:ascii="仿宋" w:hAnsi="仿宋" w:eastAsia="仿宋"/>
          <w:sz w:val="32"/>
          <w:szCs w:val="32"/>
        </w:rPr>
        <w:t>部补助事业在职人数</w:t>
      </w:r>
      <w:r>
        <w:rPr>
          <w:rFonts w:ascii="仿宋" w:hAnsi="仿宋" w:eastAsia="仿宋" w:cs="Times New Roman"/>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cs="Times New Roman"/>
          <w:sz w:val="32"/>
          <w:szCs w:val="32"/>
        </w:rPr>
        <w:t>1</w:t>
      </w:r>
      <w:r>
        <w:rPr>
          <w:rFonts w:ascii="仿宋" w:hAnsi="仿宋" w:eastAsia="仿宋"/>
          <w:sz w:val="32"/>
          <w:szCs w:val="32"/>
        </w:rPr>
        <w:t>人,退休人数小计</w:t>
      </w:r>
      <w:r>
        <w:rPr>
          <w:rFonts w:hint="eastAsia" w:ascii="仿宋" w:hAnsi="仿宋" w:eastAsia="仿宋"/>
          <w:sz w:val="32"/>
          <w:szCs w:val="32"/>
        </w:rPr>
        <w:t>0</w:t>
      </w:r>
      <w:r>
        <w:rPr>
          <w:rFonts w:ascii="仿宋" w:hAnsi="仿宋" w:eastAsia="仿宋"/>
          <w:sz w:val="32"/>
          <w:szCs w:val="32"/>
        </w:rPr>
        <w:t>人,退职人员</w:t>
      </w:r>
      <w:r>
        <w:rPr>
          <w:rFonts w:ascii="仿宋" w:hAnsi="仿宋" w:eastAsia="仿宋" w:cs="Times New Roman"/>
          <w:sz w:val="32"/>
          <w:szCs w:val="32"/>
        </w:rPr>
        <w:t>0</w:t>
      </w:r>
      <w:r>
        <w:rPr>
          <w:rFonts w:ascii="仿宋" w:hAnsi="仿宋" w:eastAsia="仿宋"/>
          <w:sz w:val="32"/>
          <w:szCs w:val="32"/>
        </w:rPr>
        <w:t>人,遗属人数</w:t>
      </w:r>
      <w:r>
        <w:rPr>
          <w:rFonts w:hint="eastAsia" w:ascii="仿宋" w:hAnsi="仿宋" w:eastAsia="仿宋" w:cs="Times New Roman"/>
          <w:sz w:val="32"/>
          <w:szCs w:val="32"/>
        </w:rPr>
        <w:t>0</w:t>
      </w:r>
      <w:r>
        <w:rPr>
          <w:rFonts w:ascii="仿宋" w:hAnsi="仿宋" w:eastAsia="仿宋"/>
          <w:sz w:val="32"/>
          <w:szCs w:val="32"/>
        </w:rPr>
        <w:t>人。</w:t>
      </w:r>
      <w:r>
        <w:fldChar w:fldCharType="end"/>
      </w:r>
    </w:p>
    <w:p w14:paraId="6D8A9392">
      <w:pPr>
        <w:pStyle w:val="10"/>
        <w:spacing w:before="468" w:after="468" w:line="240" w:lineRule="auto"/>
        <w:ind w:firstLine="560" w:firstLineChars="200"/>
        <w:rPr>
          <w:rFonts w:hint="eastAsia"/>
        </w:rPr>
      </w:pPr>
      <w:bookmarkStart w:id="9" w:name="_Toc3136"/>
      <w:r>
        <w:rPr>
          <w:rFonts w:hint="eastAsia"/>
        </w:rPr>
        <w:t>部门主要职责</w:t>
      </w:r>
    </w:p>
    <w:p w14:paraId="784C31C3">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1、全面贯彻党的教育方针、政策和国家教育法律、法规；坚持育人为本，德育为先，实施素质教育；研究全区教育改革和发展战略，制定全区教育工作方针、政策、规定、制度并监督执行；综合指导，协调和管理全区教育工作。</w:t>
      </w:r>
    </w:p>
    <w:p w14:paraId="1E1DEB12">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2、编制全区教育事业发展规划，指导并督促教育规划、计划的实施；深化教学内容方式和质量评价制度改革，做好全区教育教学研究、教学质量管理及信息统计、分析等工作。</w:t>
      </w:r>
    </w:p>
    <w:p w14:paraId="7CCFD44C">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3、综合管理全区基础教育、职业教育、学前教育、成人教育、特殊教育和社会力量办学、语言文字工作；负责协调全区教育督导与评估。</w:t>
      </w:r>
    </w:p>
    <w:p w14:paraId="4C1061BE">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4、统筹规划和协调指导全区教育体制改革和办学体制改革，依法逐步建立起适应全区经济、社会发展的现代教育体系和运行机制。</w:t>
      </w:r>
    </w:p>
    <w:p w14:paraId="2B8292DC">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5、依法完善中小学教师和校长的管理体制，负责全区各级各类学校（幼儿园）教师资格认定、教师系列的专业技术职务评审以及教育系统的表彰奖励工作；加强教师队伍建设，组织指导全区教师和教育管理人员的继续教育工作，重点提高农村教师素质；会同有关部门提出学校教职工编制方案，核定学校教职工编制；指导并协调全区各类学校人事和分配制度改革；统筹规划全区教师队伍建设和管理工作，会同相关部门组织实施新教师招录工作。</w:t>
      </w:r>
    </w:p>
    <w:p w14:paraId="4B48DDC9">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6、优化教育结构，深化义务教育经费保障机制改革，重视学前教育，关心特殊教育，促进义务教育均衡发展，普及提升高中教育，大力发展职业教育，实现教育公平。切实减轻中小学生课业负担，注重学生全面发展。</w:t>
      </w:r>
    </w:p>
    <w:p w14:paraId="45713605">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7、统筹管理本部门教育经费，会同有关部门制订筹措教育经费、教育拨款、教育资助、教育基建投资政策、规划；安排使用好校舍建设和危房改造资金，改善学校办学条件；因地制宜调整教育网点，整合教育资源，发展现代中小学远程教育，提高教育现代化水平。</w:t>
      </w:r>
    </w:p>
    <w:p w14:paraId="23323B07">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8、深化考试招生机制改革，归口管理全区学历教育及中小学招生考试工作，高等教育自学考试工作，扫除青壮年文盲工作；指导全区各级各类学校的思想政治工作、德育工作、体育工作等、美育工作、心（生）理教育工作及国防教育、健康教育等工作，落实《国家学生体质健康标准》，全面提高学生综合素质。</w:t>
      </w:r>
    </w:p>
    <w:p w14:paraId="590F53E2">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9、大力发展职业教育，制定职业学校的指导计划，并指导实施。</w:t>
      </w:r>
    </w:p>
    <w:p w14:paraId="3C11E4DC">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10、维护学校的治安、安全和正常的教育秩序。</w:t>
      </w:r>
    </w:p>
    <w:p w14:paraId="1585AB02">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11、贯彻落实国家贫困生助学政策和民生工程，健全学生资助制度，接受社会捐赠，开展好各种形式的助学活动，保障经济困难学生、进城务工人员子女平等接受义务教育。</w:t>
      </w:r>
    </w:p>
    <w:p w14:paraId="43FE3275">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12、承办区人民政府交办的其他工作。</w:t>
      </w:r>
    </w:p>
    <w:p w14:paraId="09E29E54">
      <w:pPr>
        <w:pStyle w:val="10"/>
        <w:spacing w:before="468" w:after="468"/>
        <w:rPr>
          <w:rFonts w:hint="eastAsia"/>
          <w:b/>
          <w:sz w:val="24"/>
        </w:rPr>
      </w:pPr>
      <w:r>
        <w:rPr>
          <w:rFonts w:hint="eastAsia"/>
        </w:rPr>
        <w:t>（二）</w:t>
      </w:r>
      <w:bookmarkEnd w:id="7"/>
      <w:bookmarkEnd w:id="8"/>
      <w:r>
        <w:rPr>
          <w:rFonts w:hint="eastAsia"/>
        </w:rPr>
        <w:t>履职总体目标、工作任务</w:t>
      </w:r>
      <w:bookmarkEnd w:id="9"/>
      <w:bookmarkStart w:id="10" w:name="_Toc20313_WPSOffice_Level2"/>
    </w:p>
    <w:p w14:paraId="55E0BE9A">
      <w:pPr>
        <w:pStyle w:val="3"/>
        <w:ind w:firstLine="640"/>
        <w:rPr>
          <w:rFonts w:hint="eastAsia" w:ascii="仿宋_GB2312" w:hAnsi="仿宋" w:eastAsia="仿宋_GB2312" w:cs="仿宋_GB2312"/>
          <w:sz w:val="32"/>
          <w:szCs w:val="32"/>
        </w:rPr>
      </w:pPr>
      <w:bookmarkStart w:id="11" w:name="_Toc18004"/>
      <w:r>
        <w:rPr>
          <w:rFonts w:hint="eastAsia" w:ascii="仿宋_GB2312" w:hAnsi="仿宋" w:eastAsia="仿宋_GB2312" w:cs="仿宋_GB2312"/>
          <w:sz w:val="32"/>
          <w:szCs w:val="32"/>
        </w:rPr>
        <w:t>2025年，我局认真贯彻落实党的十九大精神、习近平新时代中国特色社会主义思想和国家、省市教育大会精神，紧紧围绕全区“全力决战工业，倾力改善民生，着力创建‘三城’，建设强盛新区”经济社会发展总体思路，按照政府工作报告重点工作任务安排，以“保安全、抓教育、强师资、惠民生、促均衡、推广群众体育健身”为工作目标，努力奋进，真抓实干，整个教育、体育事业工作取得了良好的工作成效。</w:t>
      </w:r>
    </w:p>
    <w:p w14:paraId="29FCFBBA">
      <w:pPr>
        <w:pStyle w:val="10"/>
        <w:spacing w:before="468" w:after="468"/>
        <w:rPr>
          <w:rFonts w:hint="eastAsia"/>
        </w:rPr>
      </w:pPr>
      <w:r>
        <w:rPr>
          <w:rFonts w:hint="eastAsia"/>
        </w:rPr>
        <w:t>（三）年度整体支出绩效目标</w:t>
      </w:r>
      <w:bookmarkEnd w:id="11"/>
      <w:r>
        <w:rPr>
          <w:rFonts w:hint="eastAsia"/>
        </w:rPr>
        <w:tab/>
      </w:r>
      <w:bookmarkStart w:id="12" w:name="_Toc5087"/>
    </w:p>
    <w:p w14:paraId="6951E9FB">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highlight w:val="yellow"/>
        </w:rPr>
        <w:t>（财务股）</w:t>
      </w:r>
      <w:r>
        <w:rPr>
          <w:rFonts w:hint="eastAsia" w:ascii="仿宋_GB2312" w:hAnsi="仿宋" w:eastAsia="仿宋_GB2312" w:cs="仿宋_GB2312"/>
          <w:sz w:val="32"/>
          <w:szCs w:val="32"/>
        </w:rPr>
        <w:t>柴桑区教体局2025年度财政拨款收入合计</w:t>
      </w:r>
      <w:r>
        <w:rPr>
          <w:rFonts w:ascii="仿宋" w:hAnsi="仿宋" w:eastAsia="仿宋" w:cs="仿宋"/>
          <w:color w:val="000000"/>
          <w:sz w:val="32"/>
          <w:szCs w:val="32"/>
        </w:rPr>
        <w:t>46</w:t>
      </w:r>
      <w:r>
        <w:rPr>
          <w:rFonts w:hint="eastAsia" w:ascii="仿宋" w:hAnsi="仿宋" w:eastAsia="仿宋" w:cs="仿宋"/>
          <w:color w:val="000000"/>
          <w:sz w:val="32"/>
          <w:szCs w:val="32"/>
        </w:rPr>
        <w:t>,</w:t>
      </w:r>
      <w:r>
        <w:rPr>
          <w:rFonts w:ascii="仿宋" w:hAnsi="仿宋" w:eastAsia="仿宋" w:cs="仿宋"/>
          <w:color w:val="000000"/>
          <w:sz w:val="32"/>
          <w:szCs w:val="32"/>
        </w:rPr>
        <w:t>607.37</w:t>
      </w:r>
      <w:r>
        <w:rPr>
          <w:rFonts w:hint="eastAsia" w:ascii="仿宋_GB2312" w:hAnsi="仿宋" w:eastAsia="仿宋_GB2312" w:cs="仿宋_GB2312"/>
          <w:sz w:val="32"/>
          <w:szCs w:val="32"/>
        </w:rPr>
        <w:t>万元，财政拨款支出合计</w:t>
      </w:r>
      <w:r>
        <w:rPr>
          <w:rFonts w:ascii="仿宋" w:hAnsi="仿宋" w:eastAsia="仿宋" w:cs="仿宋"/>
          <w:color w:val="000000"/>
          <w:sz w:val="32"/>
          <w:szCs w:val="32"/>
        </w:rPr>
        <w:t>46</w:t>
      </w:r>
      <w:r>
        <w:rPr>
          <w:rFonts w:hint="eastAsia" w:ascii="仿宋" w:hAnsi="仿宋" w:eastAsia="仿宋" w:cs="仿宋"/>
          <w:color w:val="000000"/>
          <w:sz w:val="32"/>
          <w:szCs w:val="32"/>
        </w:rPr>
        <w:t>,</w:t>
      </w:r>
      <w:r>
        <w:rPr>
          <w:rFonts w:ascii="仿宋" w:hAnsi="仿宋" w:eastAsia="仿宋" w:cs="仿宋"/>
          <w:color w:val="000000"/>
          <w:sz w:val="32"/>
          <w:szCs w:val="32"/>
        </w:rPr>
        <w:t>607.37</w:t>
      </w:r>
      <w:r>
        <w:rPr>
          <w:rFonts w:hint="eastAsia" w:ascii="仿宋_GB2312" w:hAnsi="仿宋" w:eastAsia="仿宋_GB2312" w:cs="仿宋_GB2312"/>
          <w:sz w:val="32"/>
          <w:szCs w:val="32"/>
        </w:rPr>
        <w:t>万元，整体收支趋于稳定，项目建设严格执行相关要求，实现了良好的经济效益和社会效益，促进了全区教育事业的稳定发展。</w:t>
      </w:r>
    </w:p>
    <w:p w14:paraId="068A331B">
      <w:pPr>
        <w:pStyle w:val="10"/>
        <w:spacing w:before="468" w:after="468"/>
        <w:rPr>
          <w:rFonts w:hint="eastAsia"/>
        </w:rPr>
      </w:pPr>
      <w:r>
        <w:rPr>
          <w:rFonts w:hint="eastAsia"/>
        </w:rPr>
        <w:t>（四）部门预算绩效管理开展情况</w:t>
      </w:r>
      <w:bookmarkEnd w:id="12"/>
    </w:p>
    <w:p w14:paraId="7ED73C04">
      <w:pPr>
        <w:pStyle w:val="3"/>
        <w:ind w:firstLine="640"/>
        <w:rPr>
          <w:rFonts w:hint="eastAsia" w:ascii="仿宋_GB2312" w:hAnsi="仿宋" w:eastAsia="仿宋_GB2312" w:cs="仿宋_GB2312"/>
          <w:sz w:val="32"/>
          <w:szCs w:val="32"/>
        </w:rPr>
      </w:pPr>
      <w:bookmarkStart w:id="13" w:name="_Toc15828"/>
      <w:r>
        <w:rPr>
          <w:rFonts w:hint="eastAsia" w:ascii="仿宋_GB2312" w:hAnsi="仿宋" w:eastAsia="仿宋_GB2312" w:cs="仿宋_GB2312"/>
          <w:sz w:val="32"/>
          <w:szCs w:val="32"/>
        </w:rPr>
        <w:t>1、预决算信息公开</w:t>
      </w:r>
      <w:bookmarkEnd w:id="13"/>
    </w:p>
    <w:p w14:paraId="222661E9">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单位根据政府信息公开有关规定，在柴桑区政务公开网站上对2025年部门预算、三公经费、采购预算等进行了公开。基础数据资料完整、真实。</w:t>
      </w:r>
    </w:p>
    <w:p w14:paraId="3586F63F">
      <w:pPr>
        <w:pStyle w:val="3"/>
        <w:ind w:firstLine="640"/>
        <w:rPr>
          <w:rFonts w:hint="eastAsia" w:ascii="仿宋_GB2312" w:hAnsi="仿宋" w:eastAsia="仿宋_GB2312" w:cs="仿宋_GB2312"/>
          <w:sz w:val="32"/>
          <w:szCs w:val="32"/>
        </w:rPr>
      </w:pPr>
      <w:bookmarkStart w:id="14" w:name="_Toc13926"/>
      <w:r>
        <w:rPr>
          <w:rFonts w:hint="eastAsia" w:ascii="仿宋_GB2312" w:hAnsi="仿宋" w:eastAsia="仿宋_GB2312" w:cs="仿宋_GB2312"/>
          <w:sz w:val="32"/>
          <w:szCs w:val="32"/>
        </w:rPr>
        <w:t>2、人员控制</w:t>
      </w:r>
      <w:bookmarkEnd w:id="14"/>
    </w:p>
    <w:p w14:paraId="15A1971F">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highlight w:val="yellow"/>
        </w:rPr>
        <w:t>（人事股）</w:t>
      </w:r>
      <w:r>
        <w:rPr>
          <w:rFonts w:hint="eastAsia" w:ascii="仿宋_GB2312" w:hAnsi="仿宋" w:eastAsia="仿宋_GB2312" w:cs="仿宋_GB2312"/>
          <w:sz w:val="32"/>
          <w:szCs w:val="32"/>
        </w:rPr>
        <w:t>部门财政供养人员控制率=（本年实有在职人数</w:t>
      </w:r>
      <w:r>
        <w:rPr>
          <w:rFonts w:ascii="仿宋" w:hAnsi="仿宋" w:eastAsia="仿宋" w:cs="仿宋"/>
          <w:spacing w:val="-1"/>
          <w:w w:val="99"/>
          <w:sz w:val="32"/>
          <w:szCs w:val="32"/>
        </w:rPr>
        <w:t>2494</w:t>
      </w:r>
      <w:r>
        <w:rPr>
          <w:rFonts w:hint="eastAsia" w:ascii="仿宋_GB2312" w:hAnsi="仿宋" w:eastAsia="仿宋_GB2312" w:cs="仿宋_GB2312"/>
          <w:sz w:val="32"/>
          <w:szCs w:val="32"/>
        </w:rPr>
        <w:t>人/编制数</w:t>
      </w:r>
      <w:r>
        <w:rPr>
          <w:rFonts w:ascii="仿宋" w:hAnsi="仿宋" w:eastAsia="仿宋" w:cs="仿宋"/>
          <w:spacing w:val="-1"/>
          <w:w w:val="98"/>
          <w:sz w:val="32"/>
          <w:szCs w:val="32"/>
        </w:rPr>
        <w:t>2652</w:t>
      </w:r>
      <w:r>
        <w:rPr>
          <w:rFonts w:hint="eastAsia" w:ascii="仿宋_GB2312" w:hAnsi="仿宋" w:eastAsia="仿宋_GB2312" w:cs="仿宋_GB2312"/>
          <w:sz w:val="32"/>
          <w:szCs w:val="32"/>
        </w:rPr>
        <w:t>人）*100%=94.04%。</w:t>
      </w:r>
    </w:p>
    <w:p w14:paraId="732F37A2">
      <w:pPr>
        <w:pStyle w:val="3"/>
        <w:ind w:firstLine="640"/>
        <w:rPr>
          <w:rFonts w:hint="eastAsia" w:ascii="仿宋_GB2312" w:hAnsi="仿宋" w:eastAsia="仿宋_GB2312" w:cs="仿宋_GB2312"/>
          <w:sz w:val="32"/>
          <w:szCs w:val="32"/>
        </w:rPr>
      </w:pPr>
      <w:bookmarkStart w:id="15" w:name="_Toc7892"/>
      <w:r>
        <w:rPr>
          <w:rFonts w:hint="eastAsia" w:ascii="仿宋_GB2312" w:hAnsi="仿宋" w:eastAsia="仿宋_GB2312" w:cs="仿宋_GB2312"/>
          <w:sz w:val="32"/>
          <w:szCs w:val="32"/>
        </w:rPr>
        <w:t>3、资金使用合规性</w:t>
      </w:r>
      <w:bookmarkEnd w:id="15"/>
    </w:p>
    <w:p w14:paraId="7576249B">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本单位严格执行财经法规和区级各项财务管理规定，资金支付程序和手续合规，无截留、挤占、挪用、虚列支出等情况。</w:t>
      </w:r>
    </w:p>
    <w:p w14:paraId="506737BB">
      <w:pPr>
        <w:pStyle w:val="3"/>
        <w:ind w:firstLine="640"/>
        <w:rPr>
          <w:rFonts w:hint="eastAsia" w:ascii="仿宋_GB2312" w:hAnsi="仿宋" w:eastAsia="仿宋_GB2312" w:cs="仿宋_GB2312"/>
          <w:sz w:val="32"/>
          <w:szCs w:val="32"/>
        </w:rPr>
      </w:pPr>
      <w:bookmarkStart w:id="16" w:name="_Toc3789"/>
      <w:r>
        <w:rPr>
          <w:rFonts w:hint="eastAsia" w:ascii="仿宋_GB2312" w:hAnsi="仿宋" w:eastAsia="仿宋_GB2312" w:cs="仿宋_GB2312"/>
          <w:sz w:val="32"/>
          <w:szCs w:val="32"/>
        </w:rPr>
        <w:t>4、资产管理制度健全性、管理安全性</w:t>
      </w:r>
      <w:bookmarkEnd w:id="16"/>
    </w:p>
    <w:p w14:paraId="22D1F0A7">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单位严格执行国有资产管理规定，增加、处置资产上报国资部门审批，手续合规。国有资产出租收入及时缴入财政专户。</w:t>
      </w:r>
    </w:p>
    <w:p w14:paraId="6B0A09D6">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5、固定资产利用率 </w:t>
      </w:r>
    </w:p>
    <w:p w14:paraId="7B284868">
      <w:pPr>
        <w:pStyle w:val="3"/>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本部门固定资产利用率达99%。 </w:t>
      </w:r>
    </w:p>
    <w:p w14:paraId="536EACC0">
      <w:pPr>
        <w:pStyle w:val="10"/>
        <w:spacing w:before="468" w:after="468"/>
        <w:rPr>
          <w:rFonts w:hint="eastAsia"/>
        </w:rPr>
      </w:pPr>
      <w:bookmarkStart w:id="17" w:name="_Toc21016"/>
      <w:r>
        <w:rPr>
          <w:rFonts w:hint="eastAsia"/>
        </w:rPr>
        <w:t>（五）部门预算及执行情况</w:t>
      </w:r>
      <w:bookmarkEnd w:id="17"/>
      <w:r>
        <w:rPr>
          <w:rFonts w:hint="eastAsia"/>
        </w:rPr>
        <w:t>（2025年决算数）</w:t>
      </w:r>
    </w:p>
    <w:p w14:paraId="57E61C0A">
      <w:pPr>
        <w:spacing w:line="360" w:lineRule="auto"/>
        <w:ind w:firstLine="640" w:firstLineChars="200"/>
        <w:jc w:val="left"/>
        <w:rPr>
          <w:rFonts w:hint="eastAsia" w:ascii="仿宋_GB2312" w:hAnsi="仿宋" w:eastAsia="仿宋_GB2312" w:cs="仿宋_GB2312"/>
          <w:sz w:val="32"/>
          <w:szCs w:val="32"/>
        </w:rPr>
      </w:pPr>
      <w:r>
        <w:rPr>
          <w:rFonts w:hint="eastAsia" w:ascii="仿宋_GB2312" w:hAnsi="仿宋" w:eastAsia="仿宋_GB2312" w:cs="仿宋_GB2312"/>
          <w:sz w:val="32"/>
          <w:szCs w:val="32"/>
        </w:rPr>
        <w:t>1、2025年度部门整体收入和支出情况</w:t>
      </w:r>
    </w:p>
    <w:p w14:paraId="31CE80C1">
      <w:pPr>
        <w:wordWrap w:val="0"/>
        <w:spacing w:before="209" w:after="208"/>
        <w:ind w:left="729"/>
        <w:rPr>
          <w:rFonts w:hint="eastAsia" w:ascii="仿宋_GB2312" w:hAnsi="仿宋" w:eastAsia="仿宋_GB2312" w:cs="仿宋_GB2312"/>
          <w:sz w:val="32"/>
          <w:szCs w:val="32"/>
        </w:rPr>
      </w:pPr>
      <w:r>
        <w:rPr>
          <w:rFonts w:hint="eastAsia" w:ascii="仿宋_GB2312" w:hAnsi="仿宋" w:eastAsia="仿宋_GB2312" w:cs="仿宋_GB2312"/>
          <w:sz w:val="32"/>
          <w:szCs w:val="32"/>
        </w:rPr>
        <w:t>2025年度本部门预算：本年收入合计</w:t>
      </w:r>
      <w:r>
        <w:rPr>
          <w:rFonts w:ascii="仿宋" w:hAnsi="仿宋" w:eastAsia="仿宋" w:cs="仿宋"/>
          <w:color w:val="000000"/>
          <w:sz w:val="32"/>
          <w:szCs w:val="32"/>
        </w:rPr>
        <w:t>60</w:t>
      </w:r>
      <w:r>
        <w:rPr>
          <w:rFonts w:hint="eastAsia" w:ascii="仿宋" w:hAnsi="仿宋" w:eastAsia="仿宋" w:cs="仿宋"/>
          <w:color w:val="000000"/>
          <w:sz w:val="32"/>
          <w:szCs w:val="32"/>
        </w:rPr>
        <w:t>,</w:t>
      </w:r>
      <w:r>
        <w:rPr>
          <w:rFonts w:ascii="仿宋" w:hAnsi="仿宋" w:eastAsia="仿宋" w:cs="仿宋"/>
          <w:color w:val="000000"/>
          <w:sz w:val="32"/>
          <w:szCs w:val="32"/>
        </w:rPr>
        <w:t>269.68</w:t>
      </w:r>
      <w:r>
        <w:rPr>
          <w:rFonts w:hint="eastAsia" w:ascii="仿宋_GB2312" w:hAnsi="仿宋" w:eastAsia="仿宋_GB2312" w:cs="仿宋_GB2312"/>
          <w:sz w:val="32"/>
          <w:szCs w:val="32"/>
        </w:rPr>
        <w:t>万元。其中</w:t>
      </w:r>
      <w:r>
        <w:rPr>
          <w:rFonts w:ascii="仿宋" w:hAnsi="仿宋" w:eastAsia="仿宋" w:cs="仿宋"/>
          <w:color w:val="000000"/>
          <w:sz w:val="32"/>
          <w:szCs w:val="32"/>
        </w:rPr>
        <w:t>财政拨款收入</w:t>
      </w:r>
      <w:r>
        <w:rPr>
          <w:rFonts w:ascii="仿宋" w:hAnsi="仿宋" w:eastAsia="仿宋" w:cs="仿宋"/>
          <w:color w:val="000000"/>
          <w:spacing w:val="1"/>
          <w:w w:val="72"/>
          <w:sz w:val="32"/>
          <w:szCs w:val="32"/>
        </w:rPr>
        <w:t xml:space="preserve"> </w:t>
      </w:r>
      <w:r>
        <w:rPr>
          <w:rFonts w:ascii="仿宋" w:hAnsi="仿宋" w:eastAsia="仿宋" w:cs="仿宋"/>
          <w:color w:val="000000"/>
          <w:sz w:val="32"/>
          <w:szCs w:val="32"/>
        </w:rPr>
        <w:t>46</w:t>
      </w:r>
      <w:r>
        <w:rPr>
          <w:rFonts w:hint="eastAsia" w:ascii="仿宋" w:hAnsi="仿宋" w:eastAsia="仿宋" w:cs="仿宋"/>
          <w:color w:val="000000"/>
          <w:sz w:val="32"/>
          <w:szCs w:val="32"/>
        </w:rPr>
        <w:t>,</w:t>
      </w:r>
      <w:r>
        <w:rPr>
          <w:rFonts w:ascii="仿宋" w:hAnsi="仿宋" w:eastAsia="仿宋" w:cs="仿宋"/>
          <w:color w:val="000000"/>
          <w:sz w:val="32"/>
          <w:szCs w:val="32"/>
        </w:rPr>
        <w:t>607.37</w:t>
      </w:r>
      <w:r>
        <w:rPr>
          <w:rFonts w:ascii="仿宋" w:hAnsi="仿宋" w:eastAsia="仿宋" w:cs="仿宋"/>
          <w:color w:val="000000"/>
          <w:spacing w:val="1"/>
          <w:w w:val="72"/>
          <w:sz w:val="32"/>
          <w:szCs w:val="32"/>
        </w:rPr>
        <w:t xml:space="preserve"> </w:t>
      </w:r>
      <w:r>
        <w:rPr>
          <w:rFonts w:ascii="仿宋" w:hAnsi="仿宋" w:eastAsia="仿宋" w:cs="仿宋"/>
          <w:color w:val="000000"/>
          <w:sz w:val="32"/>
          <w:szCs w:val="32"/>
        </w:rPr>
        <w:t>万元</w:t>
      </w:r>
      <w:r>
        <w:rPr>
          <w:rFonts w:hint="eastAsia" w:ascii="仿宋_GB2312" w:hAnsi="仿宋" w:eastAsia="仿宋_GB2312" w:cs="仿宋_GB2312"/>
          <w:sz w:val="32"/>
          <w:szCs w:val="32"/>
        </w:rPr>
        <w:t>，</w:t>
      </w:r>
      <w:r>
        <w:rPr>
          <w:rFonts w:ascii="仿宋" w:hAnsi="仿宋" w:eastAsia="仿宋" w:cs="仿宋"/>
          <w:color w:val="000000"/>
          <w:sz w:val="32"/>
          <w:szCs w:val="32"/>
        </w:rPr>
        <w:t>教育收费资金收入</w:t>
      </w:r>
      <w:r>
        <w:rPr>
          <w:rFonts w:ascii="仿宋" w:hAnsi="仿宋" w:eastAsia="仿宋" w:cs="仿宋"/>
          <w:color w:val="000000"/>
          <w:w w:val="72"/>
          <w:sz w:val="32"/>
          <w:szCs w:val="32"/>
        </w:rPr>
        <w:t xml:space="preserve"> </w:t>
      </w:r>
      <w:r>
        <w:rPr>
          <w:rFonts w:ascii="仿宋" w:hAnsi="仿宋" w:eastAsia="仿宋" w:cs="仿宋"/>
          <w:color w:val="000000"/>
          <w:sz w:val="32"/>
          <w:szCs w:val="32"/>
        </w:rPr>
        <w:t>1</w:t>
      </w:r>
      <w:r>
        <w:rPr>
          <w:rFonts w:hint="eastAsia" w:ascii="仿宋" w:hAnsi="仿宋" w:eastAsia="仿宋" w:cs="仿宋"/>
          <w:color w:val="000000"/>
          <w:sz w:val="32"/>
          <w:szCs w:val="32"/>
        </w:rPr>
        <w:t>,</w:t>
      </w:r>
      <w:r>
        <w:rPr>
          <w:rFonts w:ascii="仿宋" w:hAnsi="仿宋" w:eastAsia="仿宋" w:cs="仿宋"/>
          <w:color w:val="000000"/>
          <w:sz w:val="32"/>
          <w:szCs w:val="32"/>
        </w:rPr>
        <w:t>186</w:t>
      </w:r>
      <w:r>
        <w:rPr>
          <w:rFonts w:ascii="仿宋" w:hAnsi="仿宋" w:eastAsia="仿宋" w:cs="仿宋"/>
          <w:color w:val="000000"/>
          <w:w w:val="72"/>
          <w:sz w:val="32"/>
          <w:szCs w:val="32"/>
        </w:rPr>
        <w:t xml:space="preserve"> </w:t>
      </w:r>
      <w:r>
        <w:rPr>
          <w:rFonts w:ascii="仿宋" w:hAnsi="仿宋" w:eastAsia="仿宋" w:cs="仿宋"/>
          <w:color w:val="000000"/>
          <w:sz w:val="32"/>
          <w:szCs w:val="32"/>
        </w:rPr>
        <w:t>万</w:t>
      </w:r>
      <w:r>
        <w:rPr>
          <w:rFonts w:ascii="仿宋" w:hAnsi="仿宋" w:eastAsia="仿宋" w:cs="仿宋"/>
          <w:color w:val="000000"/>
          <w:spacing w:val="-3"/>
          <w:w w:val="99"/>
          <w:sz w:val="32"/>
          <w:szCs w:val="32"/>
        </w:rPr>
        <w:t>元</w:t>
      </w:r>
      <w:r>
        <w:rPr>
          <w:rFonts w:hint="eastAsia" w:ascii="仿宋_GB2312" w:hAnsi="仿宋" w:eastAsia="仿宋_GB2312" w:cs="仿宋_GB2312"/>
          <w:sz w:val="32"/>
          <w:szCs w:val="32"/>
        </w:rPr>
        <w:t>，</w:t>
      </w:r>
      <w:r>
        <w:rPr>
          <w:rFonts w:ascii="仿宋" w:hAnsi="仿宋" w:eastAsia="仿宋" w:cs="仿宋"/>
          <w:color w:val="000000"/>
          <w:w w:val="92"/>
          <w:sz w:val="32"/>
          <w:szCs w:val="32"/>
        </w:rPr>
        <w:t>其他收入</w:t>
      </w:r>
      <w:r>
        <w:rPr>
          <w:rFonts w:ascii="仿宋" w:hAnsi="仿宋" w:eastAsia="仿宋" w:cs="仿宋"/>
          <w:color w:val="000000"/>
          <w:w w:val="70"/>
          <w:sz w:val="32"/>
          <w:szCs w:val="32"/>
        </w:rPr>
        <w:t xml:space="preserve"> </w:t>
      </w:r>
      <w:r>
        <w:rPr>
          <w:rFonts w:ascii="仿宋" w:hAnsi="仿宋" w:eastAsia="仿宋" w:cs="仿宋"/>
          <w:color w:val="000000"/>
          <w:w w:val="92"/>
          <w:sz w:val="32"/>
          <w:szCs w:val="32"/>
        </w:rPr>
        <w:t>12</w:t>
      </w:r>
      <w:r>
        <w:rPr>
          <w:rFonts w:hint="eastAsia" w:ascii="仿宋" w:hAnsi="仿宋" w:eastAsia="仿宋" w:cs="仿宋"/>
          <w:color w:val="000000"/>
          <w:w w:val="92"/>
          <w:sz w:val="32"/>
          <w:szCs w:val="32"/>
        </w:rPr>
        <w:t>,</w:t>
      </w:r>
      <w:r>
        <w:rPr>
          <w:rFonts w:ascii="仿宋" w:hAnsi="仿宋" w:eastAsia="仿宋" w:cs="仿宋"/>
          <w:color w:val="000000"/>
          <w:w w:val="92"/>
          <w:sz w:val="32"/>
          <w:szCs w:val="32"/>
        </w:rPr>
        <w:t>476.31</w:t>
      </w:r>
      <w:r>
        <w:rPr>
          <w:rFonts w:ascii="仿宋" w:hAnsi="仿宋" w:eastAsia="仿宋" w:cs="仿宋"/>
          <w:color w:val="000000"/>
          <w:sz w:val="32"/>
          <w:szCs w:val="32"/>
        </w:rPr>
        <w:t>万元</w:t>
      </w:r>
      <w:r>
        <w:rPr>
          <w:rFonts w:hint="eastAsia" w:ascii="仿宋_GB2312" w:hAnsi="仿宋" w:eastAsia="仿宋_GB2312" w:cs="仿宋_GB2312"/>
          <w:sz w:val="32"/>
          <w:szCs w:val="32"/>
        </w:rPr>
        <w:t>。</w:t>
      </w:r>
    </w:p>
    <w:p w14:paraId="5A2E2CC6">
      <w:pPr>
        <w:wordWrap w:val="0"/>
        <w:spacing w:before="209" w:after="208"/>
        <w:ind w:left="729"/>
        <w:jc w:val="left"/>
        <w:rPr>
          <w:rFonts w:hint="eastAsia" w:ascii="仿宋_GB2312" w:hAnsi="仿宋" w:eastAsia="仿宋_GB2312" w:cs="仿宋_GB2312"/>
          <w:sz w:val="32"/>
          <w:szCs w:val="32"/>
        </w:rPr>
      </w:pPr>
      <w:r>
        <w:rPr>
          <w:rFonts w:hint="eastAsia" w:ascii="仿宋_GB2312" w:hAnsi="仿宋" w:eastAsia="仿宋_GB2312" w:cs="仿宋_GB2312"/>
          <w:sz w:val="32"/>
          <w:szCs w:val="32"/>
        </w:rPr>
        <w:t>2025年度本部门决算：本年支出合计</w:t>
      </w:r>
      <w:r>
        <w:rPr>
          <w:rFonts w:ascii="仿宋" w:hAnsi="仿宋" w:eastAsia="仿宋" w:cs="仿宋"/>
          <w:color w:val="000000"/>
          <w:sz w:val="32"/>
          <w:szCs w:val="32"/>
        </w:rPr>
        <w:t>60</w:t>
      </w:r>
      <w:r>
        <w:rPr>
          <w:rFonts w:hint="eastAsia" w:ascii="仿宋" w:hAnsi="仿宋" w:eastAsia="仿宋" w:cs="仿宋"/>
          <w:color w:val="000000"/>
          <w:sz w:val="32"/>
          <w:szCs w:val="32"/>
        </w:rPr>
        <w:t>,</w:t>
      </w:r>
      <w:r>
        <w:rPr>
          <w:rFonts w:ascii="仿宋" w:hAnsi="仿宋" w:eastAsia="仿宋" w:cs="仿宋"/>
          <w:color w:val="000000"/>
          <w:sz w:val="32"/>
          <w:szCs w:val="32"/>
        </w:rPr>
        <w:t>269.68</w:t>
      </w:r>
      <w:r>
        <w:rPr>
          <w:rFonts w:hint="eastAsia" w:ascii="仿宋_GB2312" w:hAnsi="仿宋" w:eastAsia="仿宋_GB2312" w:cs="仿宋_GB2312"/>
          <w:sz w:val="32"/>
          <w:szCs w:val="32"/>
        </w:rPr>
        <w:t>万元。按功能科目分类：一般公共服务支出0.00万元，</w:t>
      </w:r>
      <w:r>
        <w:rPr>
          <w:rFonts w:ascii="仿宋" w:hAnsi="仿宋" w:eastAsia="仿宋" w:cs="仿宋"/>
          <w:color w:val="000000"/>
          <w:spacing w:val="-6"/>
          <w:sz w:val="32"/>
          <w:szCs w:val="32"/>
        </w:rPr>
        <w:t>教育支出</w:t>
      </w:r>
      <w:r>
        <w:rPr>
          <w:rFonts w:ascii="仿宋" w:hAnsi="仿宋" w:eastAsia="仿宋" w:cs="仿宋"/>
          <w:color w:val="000000"/>
          <w:spacing w:val="1"/>
          <w:w w:val="70"/>
          <w:sz w:val="32"/>
          <w:szCs w:val="32"/>
        </w:rPr>
        <w:t xml:space="preserve"> </w:t>
      </w:r>
      <w:r>
        <w:rPr>
          <w:rFonts w:ascii="仿宋" w:hAnsi="仿宋" w:eastAsia="仿宋" w:cs="仿宋"/>
          <w:color w:val="000000"/>
          <w:spacing w:val="-3"/>
          <w:sz w:val="32"/>
          <w:szCs w:val="32"/>
        </w:rPr>
        <w:t>55</w:t>
      </w:r>
      <w:r>
        <w:rPr>
          <w:rFonts w:hint="eastAsia" w:ascii="仿宋" w:hAnsi="仿宋" w:eastAsia="仿宋" w:cs="仿宋"/>
          <w:color w:val="000000"/>
          <w:spacing w:val="-3"/>
          <w:sz w:val="32"/>
          <w:szCs w:val="32"/>
        </w:rPr>
        <w:t>,</w:t>
      </w:r>
      <w:r>
        <w:rPr>
          <w:rFonts w:ascii="仿宋" w:hAnsi="仿宋" w:eastAsia="仿宋" w:cs="仿宋"/>
          <w:color w:val="000000"/>
          <w:spacing w:val="-3"/>
          <w:sz w:val="32"/>
          <w:szCs w:val="32"/>
        </w:rPr>
        <w:t>892.2</w:t>
      </w:r>
      <w:r>
        <w:rPr>
          <w:rFonts w:ascii="仿宋" w:hAnsi="仿宋" w:eastAsia="仿宋" w:cs="仿宋"/>
          <w:color w:val="000000"/>
          <w:spacing w:val="1"/>
          <w:w w:val="70"/>
          <w:sz w:val="32"/>
          <w:szCs w:val="32"/>
        </w:rPr>
        <w:t xml:space="preserve"> </w:t>
      </w:r>
      <w:r>
        <w:rPr>
          <w:rFonts w:ascii="仿宋" w:hAnsi="仿宋" w:eastAsia="仿宋" w:cs="仿宋"/>
          <w:color w:val="000000"/>
          <w:spacing w:val="-6"/>
          <w:sz w:val="32"/>
          <w:szCs w:val="32"/>
        </w:rPr>
        <w:t>万元</w:t>
      </w:r>
      <w:r>
        <w:rPr>
          <w:rFonts w:hint="eastAsia" w:ascii="仿宋_GB2312" w:hAnsi="仿宋" w:eastAsia="仿宋_GB2312" w:cs="仿宋_GB2312"/>
          <w:sz w:val="32"/>
          <w:szCs w:val="32"/>
        </w:rPr>
        <w:t>，</w:t>
      </w:r>
      <w:r>
        <w:rPr>
          <w:rFonts w:ascii="仿宋" w:hAnsi="仿宋" w:eastAsia="仿宋" w:cs="仿宋"/>
          <w:color w:val="000000"/>
          <w:sz w:val="32"/>
          <w:szCs w:val="32"/>
        </w:rPr>
        <w:t>社会保障和就业</w:t>
      </w:r>
      <w:r>
        <w:rPr>
          <w:rFonts w:ascii="仿宋" w:hAnsi="仿宋" w:eastAsia="仿宋" w:cs="仿宋"/>
          <w:color w:val="000000"/>
          <w:spacing w:val="-3"/>
          <w:w w:val="99"/>
          <w:sz w:val="32"/>
          <w:szCs w:val="32"/>
        </w:rPr>
        <w:t>支出</w:t>
      </w:r>
      <w:r>
        <w:rPr>
          <w:rFonts w:ascii="仿宋" w:hAnsi="仿宋" w:eastAsia="仿宋" w:cs="仿宋"/>
          <w:color w:val="000000"/>
          <w:spacing w:val="1"/>
          <w:w w:val="70"/>
          <w:sz w:val="32"/>
          <w:szCs w:val="32"/>
        </w:rPr>
        <w:t xml:space="preserve"> </w:t>
      </w:r>
      <w:r>
        <w:rPr>
          <w:rFonts w:ascii="仿宋" w:hAnsi="仿宋" w:eastAsia="仿宋" w:cs="仿宋"/>
          <w:color w:val="000000"/>
          <w:spacing w:val="-1"/>
          <w:w w:val="99"/>
          <w:sz w:val="32"/>
          <w:szCs w:val="32"/>
        </w:rPr>
        <w:t>4</w:t>
      </w:r>
      <w:r>
        <w:rPr>
          <w:rFonts w:hint="eastAsia" w:ascii="仿宋" w:hAnsi="仿宋" w:eastAsia="仿宋" w:cs="仿宋"/>
          <w:color w:val="000000"/>
          <w:spacing w:val="-1"/>
          <w:w w:val="99"/>
          <w:sz w:val="32"/>
          <w:szCs w:val="32"/>
        </w:rPr>
        <w:t>,</w:t>
      </w:r>
      <w:r>
        <w:rPr>
          <w:rFonts w:ascii="仿宋" w:hAnsi="仿宋" w:eastAsia="仿宋" w:cs="仿宋"/>
          <w:color w:val="000000"/>
          <w:spacing w:val="-1"/>
          <w:w w:val="99"/>
          <w:sz w:val="32"/>
          <w:szCs w:val="32"/>
        </w:rPr>
        <w:t>377.48</w:t>
      </w:r>
      <w:r>
        <w:rPr>
          <w:rFonts w:ascii="仿宋" w:hAnsi="仿宋" w:eastAsia="仿宋" w:cs="仿宋"/>
          <w:color w:val="000000"/>
          <w:spacing w:val="1"/>
          <w:w w:val="70"/>
          <w:sz w:val="32"/>
          <w:szCs w:val="32"/>
        </w:rPr>
        <w:t xml:space="preserve"> </w:t>
      </w:r>
      <w:r>
        <w:rPr>
          <w:rFonts w:ascii="仿宋" w:hAnsi="仿宋" w:eastAsia="仿宋" w:cs="仿宋"/>
          <w:color w:val="000000"/>
          <w:spacing w:val="-3"/>
          <w:w w:val="99"/>
          <w:sz w:val="32"/>
          <w:szCs w:val="32"/>
        </w:rPr>
        <w:t>万元</w:t>
      </w:r>
      <w:r>
        <w:rPr>
          <w:rFonts w:hint="eastAsia" w:ascii="仿宋_GB2312" w:hAnsi="仿宋" w:eastAsia="仿宋_GB2312" w:cs="仿宋_GB2312"/>
          <w:sz w:val="32"/>
          <w:szCs w:val="32"/>
        </w:rPr>
        <w:t>，其他支出0.00万元。按经济科目分类：</w:t>
      </w:r>
      <w:r>
        <w:rPr>
          <w:rFonts w:ascii="仿宋" w:hAnsi="仿宋" w:eastAsia="仿宋" w:cs="仿宋"/>
          <w:spacing w:val="7"/>
          <w:sz w:val="32"/>
          <w:szCs w:val="32"/>
        </w:rPr>
        <w:t>工资</w:t>
      </w:r>
      <w:r>
        <w:rPr>
          <w:rFonts w:ascii="仿宋" w:hAnsi="仿宋" w:eastAsia="仿宋" w:cs="仿宋"/>
          <w:spacing w:val="6"/>
          <w:sz w:val="32"/>
          <w:szCs w:val="32"/>
        </w:rPr>
        <w:t>福利支出</w:t>
      </w:r>
      <w:r>
        <w:rPr>
          <w:rFonts w:ascii="仿宋" w:hAnsi="仿宋" w:eastAsia="仿宋" w:cs="仿宋"/>
          <w:color w:val="000000"/>
          <w:w w:val="70"/>
          <w:sz w:val="32"/>
          <w:szCs w:val="32"/>
        </w:rPr>
        <w:t xml:space="preserve"> </w:t>
      </w:r>
      <w:r>
        <w:rPr>
          <w:rFonts w:ascii="仿宋" w:hAnsi="仿宋" w:eastAsia="仿宋" w:cs="仿宋"/>
          <w:color w:val="000000"/>
          <w:spacing w:val="-1"/>
          <w:sz w:val="32"/>
          <w:szCs w:val="32"/>
        </w:rPr>
        <w:t>43</w:t>
      </w:r>
      <w:r>
        <w:rPr>
          <w:rFonts w:hint="eastAsia" w:ascii="仿宋" w:hAnsi="仿宋" w:eastAsia="仿宋" w:cs="仿宋"/>
          <w:color w:val="000000"/>
          <w:spacing w:val="-1"/>
          <w:sz w:val="32"/>
          <w:szCs w:val="32"/>
        </w:rPr>
        <w:t>,</w:t>
      </w:r>
      <w:r>
        <w:rPr>
          <w:rFonts w:ascii="仿宋" w:hAnsi="仿宋" w:eastAsia="仿宋" w:cs="仿宋"/>
          <w:color w:val="000000"/>
          <w:spacing w:val="-1"/>
          <w:sz w:val="32"/>
          <w:szCs w:val="32"/>
        </w:rPr>
        <w:t>272.82</w:t>
      </w:r>
      <w:r>
        <w:rPr>
          <w:rFonts w:ascii="仿宋" w:hAnsi="仿宋" w:eastAsia="仿宋" w:cs="仿宋"/>
          <w:color w:val="000000"/>
          <w:w w:val="70"/>
          <w:sz w:val="32"/>
          <w:szCs w:val="32"/>
        </w:rPr>
        <w:t xml:space="preserve"> </w:t>
      </w:r>
      <w:r>
        <w:rPr>
          <w:rFonts w:ascii="仿宋" w:hAnsi="仿宋" w:eastAsia="仿宋" w:cs="仿宋"/>
          <w:spacing w:val="2"/>
          <w:w w:val="99"/>
          <w:sz w:val="32"/>
          <w:szCs w:val="32"/>
        </w:rPr>
        <w:t>万</w:t>
      </w:r>
      <w:r>
        <w:rPr>
          <w:rFonts w:ascii="仿宋" w:hAnsi="仿宋" w:eastAsia="仿宋" w:cs="仿宋"/>
          <w:spacing w:val="14"/>
          <w:sz w:val="32"/>
          <w:szCs w:val="32"/>
        </w:rPr>
        <w:t>元</w:t>
      </w:r>
      <w:r>
        <w:rPr>
          <w:rFonts w:hint="eastAsia" w:ascii="仿宋_GB2312" w:hAnsi="仿宋" w:eastAsia="仿宋_GB2312" w:cs="仿宋_GB2312"/>
          <w:sz w:val="32"/>
          <w:szCs w:val="32"/>
        </w:rPr>
        <w:t>，</w:t>
      </w:r>
      <w:r>
        <w:rPr>
          <w:rFonts w:ascii="仿宋" w:hAnsi="仿宋" w:eastAsia="仿宋" w:cs="仿宋"/>
          <w:spacing w:val="13"/>
          <w:sz w:val="32"/>
          <w:szCs w:val="32"/>
        </w:rPr>
        <w:t>商品和服</w:t>
      </w:r>
      <w:r>
        <w:rPr>
          <w:rFonts w:ascii="仿宋" w:hAnsi="仿宋" w:eastAsia="仿宋" w:cs="仿宋"/>
          <w:spacing w:val="12"/>
          <w:sz w:val="32"/>
          <w:szCs w:val="32"/>
        </w:rPr>
        <w:t>务支出</w:t>
      </w:r>
      <w:r>
        <w:rPr>
          <w:rFonts w:ascii="仿宋" w:hAnsi="仿宋" w:eastAsia="仿宋" w:cs="仿宋"/>
          <w:color w:val="000000"/>
          <w:sz w:val="32"/>
          <w:szCs w:val="32"/>
        </w:rPr>
        <w:t>15</w:t>
      </w:r>
      <w:r>
        <w:rPr>
          <w:rFonts w:hint="eastAsia" w:ascii="仿宋" w:hAnsi="仿宋" w:eastAsia="仿宋" w:cs="仿宋"/>
          <w:color w:val="000000"/>
          <w:sz w:val="32"/>
          <w:szCs w:val="32"/>
        </w:rPr>
        <w:t>,</w:t>
      </w:r>
      <w:r>
        <w:rPr>
          <w:rFonts w:ascii="仿宋" w:hAnsi="仿宋" w:eastAsia="仿宋" w:cs="仿宋"/>
          <w:color w:val="000000"/>
          <w:sz w:val="32"/>
          <w:szCs w:val="32"/>
        </w:rPr>
        <w:t>898.11</w:t>
      </w:r>
      <w:r>
        <w:rPr>
          <w:rFonts w:ascii="仿宋" w:hAnsi="仿宋" w:eastAsia="仿宋" w:cs="仿宋"/>
          <w:spacing w:val="15"/>
          <w:sz w:val="32"/>
          <w:szCs w:val="32"/>
        </w:rPr>
        <w:t>万</w:t>
      </w:r>
      <w:r>
        <w:rPr>
          <w:rFonts w:ascii="仿宋" w:hAnsi="仿宋" w:eastAsia="仿宋" w:cs="仿宋"/>
          <w:spacing w:val="14"/>
          <w:sz w:val="32"/>
          <w:szCs w:val="32"/>
        </w:rPr>
        <w:t>元</w:t>
      </w:r>
      <w:r>
        <w:rPr>
          <w:rFonts w:hint="eastAsia" w:ascii="仿宋_GB2312" w:hAnsi="仿宋" w:eastAsia="仿宋_GB2312" w:cs="仿宋_GB2312"/>
          <w:sz w:val="32"/>
          <w:szCs w:val="32"/>
        </w:rPr>
        <w:t>，对个人和家庭的补助</w:t>
      </w:r>
      <w:r>
        <w:rPr>
          <w:rFonts w:ascii="仿宋" w:hAnsi="仿宋" w:eastAsia="仿宋" w:cs="仿宋"/>
          <w:color w:val="000000"/>
          <w:sz w:val="32"/>
          <w:szCs w:val="32"/>
        </w:rPr>
        <w:t>584.56</w:t>
      </w:r>
      <w:r>
        <w:rPr>
          <w:rFonts w:ascii="仿宋" w:hAnsi="仿宋" w:eastAsia="仿宋" w:cs="仿宋"/>
          <w:color w:val="000000"/>
          <w:spacing w:val="1"/>
          <w:w w:val="72"/>
          <w:sz w:val="32"/>
          <w:szCs w:val="32"/>
        </w:rPr>
        <w:t xml:space="preserve"> </w:t>
      </w:r>
      <w:r>
        <w:rPr>
          <w:rFonts w:ascii="仿宋" w:hAnsi="仿宋" w:eastAsia="仿宋" w:cs="仿宋"/>
          <w:spacing w:val="2"/>
          <w:w w:val="99"/>
          <w:sz w:val="32"/>
          <w:szCs w:val="32"/>
        </w:rPr>
        <w:t>万</w:t>
      </w:r>
      <w:r>
        <w:rPr>
          <w:rFonts w:ascii="仿宋" w:hAnsi="仿宋" w:eastAsia="仿宋" w:cs="仿宋"/>
          <w:spacing w:val="1"/>
          <w:w w:val="99"/>
          <w:sz w:val="32"/>
          <w:szCs w:val="32"/>
        </w:rPr>
        <w:t>元</w:t>
      </w:r>
      <w:r>
        <w:rPr>
          <w:rFonts w:hint="eastAsia" w:ascii="仿宋_GB2312" w:hAnsi="仿宋" w:eastAsia="仿宋_GB2312" w:cs="仿宋_GB2312"/>
          <w:sz w:val="32"/>
          <w:szCs w:val="32"/>
        </w:rPr>
        <w:t>，</w:t>
      </w:r>
      <w:r>
        <w:rPr>
          <w:rFonts w:ascii="仿宋" w:hAnsi="仿宋" w:eastAsia="仿宋" w:cs="仿宋"/>
          <w:sz w:val="32"/>
          <w:szCs w:val="32"/>
        </w:rPr>
        <w:t>资本性支出</w:t>
      </w:r>
      <w:r>
        <w:rPr>
          <w:rFonts w:ascii="仿宋" w:hAnsi="仿宋" w:eastAsia="仿宋" w:cs="仿宋"/>
          <w:color w:val="000000"/>
          <w:spacing w:val="-4"/>
          <w:w w:val="99"/>
          <w:sz w:val="32"/>
          <w:szCs w:val="32"/>
        </w:rPr>
        <w:t>395.</w:t>
      </w:r>
      <w:r>
        <w:rPr>
          <w:rFonts w:hint="eastAsia" w:ascii="仿宋" w:hAnsi="仿宋" w:eastAsia="仿宋" w:cs="仿宋"/>
          <w:color w:val="000000"/>
          <w:spacing w:val="-4"/>
          <w:w w:val="99"/>
          <w:sz w:val="32"/>
          <w:szCs w:val="32"/>
        </w:rPr>
        <w:t>20</w:t>
      </w:r>
      <w:r>
        <w:rPr>
          <w:rFonts w:ascii="仿宋" w:hAnsi="仿宋" w:eastAsia="仿宋" w:cs="仿宋"/>
          <w:w w:val="99"/>
          <w:sz w:val="32"/>
          <w:szCs w:val="32"/>
        </w:rPr>
        <w:t>万元</w:t>
      </w:r>
      <w:r>
        <w:rPr>
          <w:rFonts w:hint="eastAsia" w:ascii="仿宋_GB2312" w:hAnsi="仿宋" w:eastAsia="仿宋_GB2312" w:cs="仿宋_GB2312"/>
          <w:sz w:val="32"/>
          <w:szCs w:val="32"/>
        </w:rPr>
        <w:t>，资本性</w:t>
      </w:r>
      <w:r>
        <w:rPr>
          <w:rFonts w:ascii="仿宋" w:hAnsi="仿宋" w:eastAsia="仿宋" w:cs="仿宋"/>
          <w:w w:val="95"/>
          <w:sz w:val="32"/>
          <w:szCs w:val="32"/>
        </w:rPr>
        <w:t>（基本建设）</w:t>
      </w:r>
      <w:r>
        <w:rPr>
          <w:rFonts w:hint="eastAsia" w:ascii="仿宋" w:hAnsi="仿宋" w:eastAsia="仿宋" w:cs="仿宋"/>
          <w:color w:val="000000"/>
          <w:sz w:val="32"/>
          <w:szCs w:val="32"/>
          <w:shd w:val="clear" w:color="auto" w:fill="FFFFFF"/>
        </w:rPr>
        <w:t>0.00</w:t>
      </w:r>
      <w:r>
        <w:rPr>
          <w:rFonts w:ascii="仿宋" w:hAnsi="仿宋" w:eastAsia="仿宋" w:cs="仿宋"/>
          <w:spacing w:val="7"/>
          <w:sz w:val="32"/>
          <w:szCs w:val="32"/>
        </w:rPr>
        <w:t>万</w:t>
      </w:r>
      <w:r>
        <w:rPr>
          <w:rFonts w:ascii="仿宋" w:hAnsi="仿宋" w:eastAsia="仿宋" w:cs="仿宋"/>
          <w:spacing w:val="6"/>
          <w:sz w:val="32"/>
          <w:szCs w:val="32"/>
        </w:rPr>
        <w:t>元</w:t>
      </w:r>
      <w:r>
        <w:rPr>
          <w:rFonts w:hint="eastAsia" w:ascii="仿宋_GB2312" w:hAnsi="仿宋" w:eastAsia="仿宋_GB2312" w:cs="仿宋_GB2312"/>
          <w:sz w:val="32"/>
          <w:szCs w:val="32"/>
        </w:rPr>
        <w:t>。</w:t>
      </w:r>
    </w:p>
    <w:p w14:paraId="38789EC4">
      <w:pPr>
        <w:spacing w:line="360" w:lineRule="auto"/>
        <w:ind w:firstLine="640" w:firstLineChars="200"/>
        <w:jc w:val="left"/>
        <w:rPr>
          <w:rFonts w:hint="eastAsia" w:ascii="仿宋_GB2312" w:hAnsi="仿宋" w:eastAsia="仿宋_GB2312" w:cs="仿宋_GB2312"/>
          <w:sz w:val="32"/>
          <w:szCs w:val="32"/>
        </w:rPr>
      </w:pPr>
      <w:bookmarkStart w:id="18" w:name="_Toc17289"/>
      <w:r>
        <w:rPr>
          <w:rFonts w:hint="eastAsia" w:ascii="仿宋_GB2312" w:hAnsi="仿宋" w:eastAsia="仿宋_GB2312" w:cs="仿宋_GB2312"/>
          <w:sz w:val="32"/>
          <w:szCs w:val="32"/>
        </w:rPr>
        <w:t>2、2025年公用经费和三公经费情况</w:t>
      </w:r>
      <w:bookmarkEnd w:id="18"/>
    </w:p>
    <w:p w14:paraId="066FA231">
      <w:pPr>
        <w:spacing w:line="360" w:lineRule="auto"/>
        <w:ind w:firstLine="640" w:firstLineChars="200"/>
        <w:jc w:val="left"/>
        <w:rPr>
          <w:rFonts w:hint="eastAsia" w:ascii="仿宋_GB2312" w:hAnsi="仿宋" w:eastAsia="仿宋_GB2312" w:cs="仿宋_GB2312"/>
          <w:sz w:val="32"/>
          <w:szCs w:val="32"/>
        </w:rPr>
      </w:pPr>
      <w:r>
        <w:rPr>
          <w:rFonts w:hint="eastAsia" w:ascii="仿宋_GB2312" w:hAnsi="仿宋" w:eastAsia="仿宋_GB2312" w:cs="仿宋_GB2312"/>
          <w:sz w:val="32"/>
          <w:szCs w:val="32"/>
        </w:rPr>
        <w:t>2025年度公用经费支出：</w:t>
      </w:r>
      <w:r>
        <w:rPr>
          <w:rFonts w:hint="eastAsia" w:ascii="仿宋" w:hAnsi="仿宋" w:eastAsia="仿宋" w:cs="仿宋"/>
          <w:color w:val="000000" w:themeColor="text1"/>
          <w:sz w:val="32"/>
          <w:szCs w:val="32"/>
          <w:shd w:val="clear" w:color="auto" w:fill="FFFFFF"/>
          <w14:textFill>
            <w14:solidFill>
              <w14:schemeClr w14:val="tx1"/>
            </w14:solidFill>
          </w14:textFill>
        </w:rPr>
        <w:t>5057.67</w:t>
      </w:r>
      <w:r>
        <w:rPr>
          <w:rFonts w:hint="eastAsia" w:ascii="仿宋_GB2312" w:hAnsi="仿宋" w:eastAsia="仿宋_GB2312" w:cs="仿宋_GB2312"/>
          <w:color w:val="000000" w:themeColor="text1"/>
          <w:sz w:val="32"/>
          <w:szCs w:val="32"/>
          <w14:textFill>
            <w14:solidFill>
              <w14:schemeClr w14:val="tx1"/>
            </w14:solidFill>
          </w14:textFill>
        </w:rPr>
        <w:t>万元，较上一年度减少了5.12%，符合教育投入增长的比例</w:t>
      </w:r>
      <w:r>
        <w:rPr>
          <w:rFonts w:hint="eastAsia" w:ascii="仿宋_GB2312" w:hAnsi="仿宋" w:eastAsia="仿宋_GB2312" w:cs="仿宋_GB2312"/>
          <w:sz w:val="32"/>
          <w:szCs w:val="32"/>
        </w:rPr>
        <w:t>。其中，三公经费年初预算数</w:t>
      </w:r>
      <w:r>
        <w:rPr>
          <w:rFonts w:hint="eastAsia" w:ascii="仿宋" w:hAnsi="仿宋" w:eastAsia="仿宋" w:cs="仿宋"/>
          <w:color w:val="000100"/>
          <w:sz w:val="32"/>
          <w:szCs w:val="32"/>
          <w:shd w:val="clear" w:color="auto" w:fill="FFFFFF"/>
        </w:rPr>
        <w:t>23.76</w:t>
      </w:r>
      <w:r>
        <w:rPr>
          <w:rFonts w:hint="eastAsia" w:ascii="仿宋_GB2312" w:hAnsi="仿宋" w:eastAsia="仿宋_GB2312" w:cs="仿宋_GB2312"/>
          <w:sz w:val="32"/>
          <w:szCs w:val="32"/>
        </w:rPr>
        <w:t>万元，决算数</w:t>
      </w:r>
      <w:r>
        <w:rPr>
          <w:rFonts w:ascii="仿宋" w:hAnsi="仿宋" w:eastAsia="仿宋" w:cs="仿宋"/>
          <w:color w:val="000000"/>
          <w:spacing w:val="-4"/>
          <w:w w:val="98"/>
          <w:sz w:val="32"/>
          <w:szCs w:val="32"/>
        </w:rPr>
        <w:t>23.22</w:t>
      </w:r>
      <w:r>
        <w:rPr>
          <w:rFonts w:ascii="仿宋" w:hAnsi="仿宋" w:eastAsia="仿宋" w:cs="仿宋"/>
          <w:color w:val="000000"/>
          <w:w w:val="70"/>
          <w:sz w:val="32"/>
          <w:szCs w:val="32"/>
        </w:rPr>
        <w:t xml:space="preserve"> </w:t>
      </w:r>
      <w:r>
        <w:rPr>
          <w:rFonts w:hint="eastAsia" w:ascii="仿宋_GB2312" w:hAnsi="仿宋" w:eastAsia="仿宋_GB2312" w:cs="仿宋_GB2312"/>
          <w:sz w:val="32"/>
          <w:szCs w:val="32"/>
        </w:rPr>
        <w:t>万元，较年初预算减少了54%，符合上级关于压缩公务接待费用的文件精神。</w:t>
      </w:r>
      <w:bookmarkEnd w:id="10"/>
      <w:bookmarkStart w:id="19" w:name="_Toc10853_WPSOffice_Level2"/>
    </w:p>
    <w:bookmarkEnd w:id="19"/>
    <w:p w14:paraId="03ADF53E">
      <w:pPr>
        <w:pStyle w:val="8"/>
        <w:rPr>
          <w:rFonts w:hint="eastAsia"/>
        </w:rPr>
      </w:pPr>
      <w:bookmarkStart w:id="20" w:name="_Toc26829_WPSOffice_Level1"/>
      <w:bookmarkStart w:id="21" w:name="_Toc17789_WPSOffice_Level1"/>
      <w:bookmarkStart w:id="22" w:name="_Toc5836"/>
      <w:r>
        <w:rPr>
          <w:rFonts w:hint="eastAsia"/>
        </w:rPr>
        <w:t>二、</w:t>
      </w:r>
      <w:bookmarkEnd w:id="20"/>
      <w:bookmarkEnd w:id="21"/>
      <w:r>
        <w:rPr>
          <w:rFonts w:hint="eastAsia"/>
        </w:rPr>
        <w:t>部门整体支出绩效实现情况</w:t>
      </w:r>
      <w:bookmarkEnd w:id="22"/>
    </w:p>
    <w:p w14:paraId="6C3EFD13">
      <w:pPr>
        <w:pStyle w:val="10"/>
        <w:numPr>
          <w:ilvl w:val="0"/>
          <w:numId w:val="1"/>
        </w:numPr>
        <w:spacing w:before="468" w:after="468"/>
        <w:rPr>
          <w:rFonts w:hint="eastAsia"/>
        </w:rPr>
      </w:pPr>
      <w:bookmarkStart w:id="23" w:name="_Toc10640"/>
      <w:r>
        <w:rPr>
          <w:rFonts w:hint="eastAsia"/>
        </w:rPr>
        <w:t>履职完成情况</w:t>
      </w:r>
      <w:bookmarkEnd w:id="23"/>
    </w:p>
    <w:p w14:paraId="07F1D6F4">
      <w:pPr>
        <w:spacing w:line="600" w:lineRule="exact"/>
        <w:ind w:firstLine="660"/>
        <w:jc w:val="left"/>
        <w:rPr>
          <w:rFonts w:ascii="仿宋_GB2312" w:eastAsia="仿宋_GB2312"/>
          <w:sz w:val="32"/>
          <w:szCs w:val="32"/>
        </w:rPr>
      </w:pPr>
      <w:bookmarkStart w:id="24" w:name="_Toc18810"/>
      <w:r>
        <w:rPr>
          <w:rFonts w:hint="eastAsia" w:ascii="仿宋_GB2312" w:hAnsi="宋体" w:eastAsia="仿宋_GB2312" w:cs="仿宋"/>
          <w:sz w:val="32"/>
          <w:szCs w:val="32"/>
          <w:highlight w:val="yellow"/>
        </w:rPr>
        <w:t>（党建办）</w:t>
      </w:r>
      <w:r>
        <w:rPr>
          <w:rFonts w:hint="eastAsia" w:ascii="仿宋_GB2312" w:hAnsi="宋体" w:eastAsia="仿宋_GB2312" w:cs="仿宋"/>
          <w:sz w:val="32"/>
          <w:szCs w:val="32"/>
        </w:rPr>
        <w:t>1、党建工作。</w:t>
      </w:r>
      <w:r>
        <w:rPr>
          <w:rFonts w:hint="eastAsia" w:ascii="仿宋_GB2312" w:eastAsia="仿宋_GB2312"/>
          <w:sz w:val="32"/>
          <w:szCs w:val="32"/>
        </w:rPr>
        <w:t>进一步强化工作举措，创新工作方法，将党建工作放在重要位置。组织机关干部填写监察对象信息表，落实领导干部开展党风廉政建设“两个责任”谈心谈话工作要求，按季度约谈提醒党员干部，着力加强党风廉政建设，促进工作作风进一步转变。注重政治学习，经常组织党员干部开展政治学习活动，通过学习增强“四个意识”，增强组织观念，提高党性修养，做到了政令畅通，令行禁止，自觉与党中央保持高度一致。严格落实“三会一课” “党员活动日”、组织生活会等基本组织生活制度。通过“五星创评”“包村结队帮扶”“志原服务”等活动开展，丰富党建工作内容，凝聚干事创业良好风气。全年党员干部集中学习325次，党史学习272次。</w:t>
      </w:r>
    </w:p>
    <w:p w14:paraId="63D00FFA">
      <w:pPr>
        <w:pStyle w:val="10"/>
        <w:spacing w:before="468" w:after="468"/>
        <w:ind w:firstLine="640" w:firstLineChars="200"/>
        <w:rPr>
          <w:rFonts w:hint="eastAsia" w:ascii="仿宋_GB2312" w:eastAsia="仿宋_GB2312"/>
          <w:sz w:val="32"/>
          <w:szCs w:val="32"/>
        </w:rPr>
      </w:pPr>
      <w:r>
        <w:rPr>
          <w:rFonts w:hint="eastAsia" w:ascii="仿宋_GB2312" w:eastAsia="仿宋_GB2312"/>
          <w:sz w:val="32"/>
          <w:szCs w:val="32"/>
          <w:highlight w:val="yellow"/>
        </w:rPr>
        <w:t>（人事股）</w:t>
      </w:r>
      <w:r>
        <w:rPr>
          <w:rFonts w:hint="eastAsia" w:ascii="仿宋_GB2312" w:eastAsia="仿宋_GB2312"/>
          <w:sz w:val="32"/>
          <w:szCs w:val="32"/>
        </w:rPr>
        <w:t>2、师资队伍建设。</w:t>
      </w:r>
      <w:r>
        <w:rPr>
          <w:rFonts w:hint="eastAsia" w:ascii="仿宋" w:hAnsi="仿宋" w:eastAsia="仿宋" w:cs="宋体"/>
          <w:b/>
          <w:kern w:val="0"/>
          <w:sz w:val="32"/>
          <w:szCs w:val="32"/>
        </w:rPr>
        <w:t>一是加大教师补充力度。</w:t>
      </w:r>
      <w:r>
        <w:rPr>
          <w:rFonts w:hint="eastAsia" w:ascii="仿宋" w:hAnsi="仿宋" w:eastAsia="仿宋" w:cs="宋体"/>
          <w:kern w:val="0"/>
          <w:sz w:val="32"/>
          <w:szCs w:val="32"/>
        </w:rPr>
        <w:t>做好第一批特岗教师服务期满考核工作，对考核合格的特岗教师定岗定编。做好定向师范生毕业分配、三支一扶人员安置、公费师范生就业工作，创新教师补充途径，推进师资队伍建设。</w:t>
      </w:r>
      <w:r>
        <w:rPr>
          <w:rFonts w:hint="eastAsia" w:ascii="仿宋" w:hAnsi="仿宋" w:eastAsia="仿宋" w:cs="宋体"/>
          <w:b/>
          <w:kern w:val="0"/>
          <w:sz w:val="32"/>
          <w:szCs w:val="32"/>
        </w:rPr>
        <w:t>二是加强师德师风建设。</w:t>
      </w:r>
      <w:r>
        <w:rPr>
          <w:rFonts w:hint="eastAsia" w:ascii="仿宋_GB2312" w:eastAsia="仿宋_GB2312" w:cs="仿宋_GB2312"/>
          <w:color w:val="000000"/>
          <w:sz w:val="32"/>
          <w:szCs w:val="32"/>
        </w:rPr>
        <w:t>强化思想政治素质和师德师风建设，加强思政课教师队伍建设。将师德师风列为教师评价第一标准，把师德表现作为教师定期注册、业绩考核、职称评聘、岗位聘用、评优奖励的首要要求。发挥师德标兵评选引领作用，教师节表彰师德师风先进个人55名；全年查处教师“三违”行为21人次，严查师德失范典型问题，全面提升师德师风建设水平。</w:t>
      </w:r>
      <w:r>
        <w:rPr>
          <w:rFonts w:hint="eastAsia" w:ascii="仿宋_GB2312" w:eastAsia="仿宋_GB2312" w:cs="仿宋_GB2312"/>
          <w:b/>
          <w:color w:val="000000"/>
          <w:sz w:val="32"/>
          <w:szCs w:val="32"/>
        </w:rPr>
        <w:t>三是提升教师能力水平。</w:t>
      </w:r>
      <w:r>
        <w:rPr>
          <w:rFonts w:hint="eastAsia" w:ascii="仿宋_GB2312" w:eastAsia="仿宋_GB2312" w:cs="仿宋_GB2312"/>
          <w:color w:val="000000"/>
          <w:sz w:val="32"/>
          <w:szCs w:val="32"/>
        </w:rPr>
        <w:t>实施“国培计划”、全员远程培训、信息技术应用能力提升培训、校长（园长）培训、班主任培训、骨干教师培训、紧缺学科培训、培训者培训、校本培训等多种培训，为教师的专业成长和业务能力提升搭建平台。组织135名义务教育学校校长、教师开展交流轮岗，丰富校长、教师教学阅历，开拓视野，提升能力水平。组织全区中小学分管思想政治教育副校长52余人赴浙江杭州研学培训，开拓办学视野，加强思想政治教育。</w:t>
      </w:r>
      <w:r>
        <w:rPr>
          <w:rFonts w:hint="eastAsia" w:ascii="仿宋_GB2312" w:eastAsia="仿宋_GB2312"/>
          <w:sz w:val="32"/>
          <w:szCs w:val="32"/>
        </w:rPr>
        <w:t>全年教师（包括校长）培训3533人次。</w:t>
      </w:r>
    </w:p>
    <w:p w14:paraId="4001D2A5">
      <w:pPr>
        <w:pStyle w:val="10"/>
        <w:spacing w:before="468" w:after="468"/>
        <w:ind w:firstLine="640" w:firstLineChars="200"/>
        <w:rPr>
          <w:rFonts w:hint="eastAsia" w:ascii="仿宋_GB2312" w:eastAsia="仿宋_GB2312"/>
          <w:sz w:val="32"/>
          <w:szCs w:val="32"/>
        </w:rPr>
      </w:pPr>
      <w:r>
        <w:rPr>
          <w:rFonts w:hint="eastAsia" w:ascii="仿宋_GB2312" w:eastAsia="仿宋_GB2312"/>
          <w:sz w:val="32"/>
          <w:szCs w:val="32"/>
          <w:highlight w:val="yellow"/>
        </w:rPr>
        <w:t>（财务股）</w:t>
      </w:r>
      <w:r>
        <w:rPr>
          <w:rFonts w:hint="eastAsia" w:ascii="仿宋_GB2312" w:eastAsia="仿宋_GB2312"/>
          <w:sz w:val="32"/>
          <w:szCs w:val="32"/>
        </w:rPr>
        <w:t>3、办学条件改善。</w:t>
      </w:r>
      <w:r>
        <w:rPr>
          <w:rFonts w:hint="eastAsia" w:ascii="仿宋" w:hAnsi="仿宋" w:eastAsia="仿宋" w:cs="宋体"/>
          <w:b/>
          <w:kern w:val="0"/>
          <w:sz w:val="32"/>
          <w:szCs w:val="32"/>
        </w:rPr>
        <w:t>一是</w:t>
      </w:r>
      <w:r>
        <w:rPr>
          <w:rFonts w:hint="eastAsia" w:ascii="仿宋" w:hAnsi="仿宋" w:eastAsia="仿宋" w:cs="宋体"/>
          <w:kern w:val="0"/>
          <w:sz w:val="32"/>
          <w:szCs w:val="32"/>
        </w:rPr>
        <w:t>落实教育惠民实事。在城区，投入资金3.2亿元，完成柴桑区中职学校、柴桑区第五小学、第七小学建设并投入使用，改扩建区一中、三中，顺利推进柴桑区第二、三幼儿园项目，启动高铁新区学校建设，。</w:t>
      </w:r>
      <w:r>
        <w:rPr>
          <w:rFonts w:hint="eastAsia" w:ascii="仿宋" w:hAnsi="仿宋" w:eastAsia="仿宋" w:cs="宋体"/>
          <w:b/>
          <w:kern w:val="0"/>
          <w:sz w:val="32"/>
          <w:szCs w:val="32"/>
        </w:rPr>
        <w:t>二是</w:t>
      </w:r>
      <w:r>
        <w:rPr>
          <w:rFonts w:hint="eastAsia" w:ascii="仿宋" w:hAnsi="仿宋" w:eastAsia="仿宋" w:cs="宋体"/>
          <w:kern w:val="0"/>
          <w:sz w:val="32"/>
          <w:szCs w:val="32"/>
        </w:rPr>
        <w:t>提升学校办学条件。认真做好上级专项资金规划，切实改善全区学校办学条件，启动实施马回岭中学学生宿舍重建项目、柴桑区六小多功能教室改造项目、马回岭中心小学厕所改扩建项目、岷山中心小学维修改造项目等一批建设项目。完成了农村学校人脸识别和一键报警设备安装工作，完成了区一小课桌椅采购、农村学校护眼灯采购等采购项目。</w:t>
      </w:r>
      <w:r>
        <w:rPr>
          <w:rFonts w:hint="eastAsia" w:ascii="仿宋" w:hAnsi="仿宋" w:eastAsia="仿宋" w:cs="宋体"/>
          <w:b/>
          <w:kern w:val="0"/>
          <w:sz w:val="32"/>
          <w:szCs w:val="32"/>
        </w:rPr>
        <w:t>三是</w:t>
      </w:r>
      <w:r>
        <w:rPr>
          <w:rFonts w:hint="eastAsia" w:ascii="仿宋" w:hAnsi="仿宋" w:eastAsia="仿宋" w:cs="宋体"/>
          <w:kern w:val="0"/>
          <w:sz w:val="32"/>
          <w:szCs w:val="32"/>
        </w:rPr>
        <w:t>提升教育装备水平。投入资金950余万元，继续推进区域教育城域网建设，提升教育信息化装备水平。启动“专递课堂”项目计划，按计划在乡镇中心小学建设专递课堂，通过在线教育方式，解决村小教学点音、体、美等学科教学问题。</w:t>
      </w:r>
    </w:p>
    <w:p w14:paraId="20FAE234">
      <w:pPr>
        <w:pStyle w:val="10"/>
        <w:spacing w:before="468" w:after="468"/>
        <w:ind w:firstLine="640" w:firstLineChars="200"/>
        <w:rPr>
          <w:rFonts w:hint="eastAsia" w:ascii="仿宋_GB2312" w:eastAsia="仿宋_GB2312"/>
          <w:sz w:val="32"/>
          <w:szCs w:val="32"/>
        </w:rPr>
      </w:pPr>
      <w:r>
        <w:rPr>
          <w:rFonts w:hint="eastAsia" w:ascii="仿宋_GB2312" w:eastAsia="仿宋_GB2312"/>
          <w:sz w:val="32"/>
          <w:szCs w:val="32"/>
          <w:highlight w:val="yellow"/>
        </w:rPr>
        <w:t>（教育股、双减办、考试中心）</w:t>
      </w:r>
      <w:r>
        <w:rPr>
          <w:rFonts w:hint="eastAsia" w:ascii="仿宋_GB2312" w:eastAsia="仿宋_GB2312"/>
          <w:sz w:val="32"/>
          <w:szCs w:val="32"/>
        </w:rPr>
        <w:t>4、教育教学管理。</w:t>
      </w:r>
      <w:r>
        <w:rPr>
          <w:rFonts w:hint="eastAsia" w:ascii="仿宋_GB2312" w:eastAsia="仿宋_GB2312"/>
          <w:b/>
          <w:color w:val="000000"/>
          <w:sz w:val="32"/>
          <w:szCs w:val="32"/>
        </w:rPr>
        <w:t>一是推进“双减”政策落实。</w:t>
      </w:r>
      <w:r>
        <w:rPr>
          <w:rFonts w:hint="eastAsia" w:ascii="仿宋_GB2312" w:eastAsia="仿宋_GB2312"/>
          <w:sz w:val="32"/>
          <w:szCs w:val="32"/>
        </w:rPr>
        <w:t>认真落实国家、省、市关于“双减”文件及会议精神，将“双减”工作作为重要政治任务抓早抓好，推动“双减”政策落实。自启动“双减”工作以来，区委区政府高度重视，党政主要领导下沉基层，到基层学校、校外培训机构督查督导工作进展情况。制定出台工作方案，建立部门联席会议制度，成立联合督查工作组，全面构建监管体系。“双管”齐下，集中治理，在义务教育学校加强“五项管理”，全覆盖开展课后托管服务，开展假期托管服务试点，减轻学生课业负担，开辟“第二课堂”，通过广泛开展文体活动，丰富青少年学生校园文艺生活，保障青少年学生健康成长。</w:t>
      </w:r>
      <w:r>
        <w:rPr>
          <w:rFonts w:hint="eastAsia" w:ascii="仿宋_GB2312" w:eastAsia="仿宋_GB2312"/>
          <w:b/>
          <w:color w:val="000000"/>
          <w:sz w:val="32"/>
          <w:szCs w:val="32"/>
        </w:rPr>
        <w:t>二是做好控辍保学工作。</w:t>
      </w:r>
      <w:r>
        <w:rPr>
          <w:rFonts w:hint="eastAsia" w:ascii="仿宋" w:hAnsi="仿宋" w:eastAsia="仿宋" w:cs="宋体"/>
          <w:kern w:val="0"/>
          <w:sz w:val="32"/>
          <w:szCs w:val="32"/>
        </w:rPr>
        <w:t>全面核查失学辍学儿童少年情况,全力做好劝返复学工作,补建无学籍在校学生学籍,不让一名贫困家庭义务教育阶段适龄儿童少年失学辍学,确保实现控辍目标。针对残疾儿童开展调查摸底，全面了解其接受教育情况，采取特校就读、随班就读、送教上门等方式，使特殊儿童群体教育全覆盖。</w:t>
      </w:r>
      <w:r>
        <w:rPr>
          <w:rFonts w:hint="eastAsia" w:ascii="仿宋_GB2312" w:eastAsia="仿宋_GB2312"/>
          <w:b/>
          <w:color w:val="000000"/>
          <w:sz w:val="32"/>
          <w:szCs w:val="32"/>
        </w:rPr>
        <w:t>三是重视督导推动。</w:t>
      </w:r>
      <w:r>
        <w:rPr>
          <w:rFonts w:hint="eastAsia" w:ascii="仿宋" w:hAnsi="仿宋" w:eastAsia="仿宋" w:cs="宋体"/>
          <w:kern w:val="0"/>
          <w:sz w:val="32"/>
          <w:szCs w:val="32"/>
        </w:rPr>
        <w:t>组织开展对乡镇和区直部门履行教育职责考评，做好党政干部履行教育职责及教育高质量考评等工作，开展教育“五项管理”专项督导。</w:t>
      </w:r>
      <w:r>
        <w:rPr>
          <w:rFonts w:hint="eastAsia" w:ascii="仿宋_GB2312" w:eastAsia="仿宋_GB2312"/>
          <w:b/>
          <w:color w:val="000000"/>
          <w:sz w:val="32"/>
          <w:szCs w:val="32"/>
        </w:rPr>
        <w:t>四是做好高、中考组考工作。</w:t>
      </w:r>
      <w:r>
        <w:rPr>
          <w:rFonts w:hint="eastAsia" w:ascii="仿宋" w:hAnsi="仿宋" w:eastAsia="仿宋" w:cs="宋体"/>
          <w:kern w:val="0"/>
          <w:sz w:val="32"/>
          <w:szCs w:val="32"/>
        </w:rPr>
        <w:t>在省、市统一组织部署下，严格按照相关工作程序。</w:t>
      </w:r>
    </w:p>
    <w:p w14:paraId="53C4ABB2">
      <w:pPr>
        <w:pStyle w:val="10"/>
        <w:spacing w:before="468" w:after="468"/>
        <w:ind w:firstLine="640" w:firstLineChars="200"/>
        <w:rPr>
          <w:rFonts w:hint="eastAsia" w:ascii="仿宋_GB2312" w:eastAsia="仿宋_GB2312"/>
          <w:sz w:val="32"/>
          <w:szCs w:val="32"/>
        </w:rPr>
      </w:pPr>
      <w:r>
        <w:rPr>
          <w:rFonts w:hint="eastAsia" w:ascii="仿宋_GB2312" w:eastAsia="仿宋_GB2312"/>
          <w:sz w:val="32"/>
          <w:szCs w:val="32"/>
          <w:highlight w:val="yellow"/>
        </w:rPr>
        <w:t>（财务股、体育股）</w:t>
      </w:r>
      <w:r>
        <w:rPr>
          <w:rFonts w:hint="eastAsia" w:ascii="仿宋_GB2312" w:eastAsia="仿宋_GB2312"/>
          <w:sz w:val="32"/>
          <w:szCs w:val="32"/>
        </w:rPr>
        <w:t>5、民生工程推进。</w:t>
      </w:r>
      <w:r>
        <w:rPr>
          <w:rFonts w:hint="eastAsia" w:ascii="仿宋_GB2312" w:hAnsi="仿宋_GB2312" w:eastAsia="仿宋_GB2312" w:cs="仿宋_GB2312"/>
          <w:b/>
          <w:sz w:val="32"/>
          <w:szCs w:val="32"/>
        </w:rPr>
        <w:t>一是做好教育扶贫工作。</w:t>
      </w:r>
      <w:r>
        <w:rPr>
          <w:rFonts w:hint="eastAsia" w:ascii="仿宋_GB2312" w:hAnsi="等线" w:eastAsia="仿宋_GB2312" w:cs="Times New Roman"/>
          <w:sz w:val="32"/>
          <w:szCs w:val="32"/>
        </w:rPr>
        <w:t>做好精准扶贫档案收集、整理及归档工作，做好学生资助政策宣传，精准</w:t>
      </w:r>
      <w:r>
        <w:rPr>
          <w:rFonts w:hint="eastAsia" w:ascii="仿宋" w:hAnsi="仿宋" w:eastAsia="仿宋" w:cs="宋体"/>
          <w:kern w:val="0"/>
          <w:sz w:val="32"/>
          <w:szCs w:val="32"/>
        </w:rPr>
        <w:t>落实国家学生资助政策，全年共发放各类助学金525万元，惠及全区8435名家庭贫困学生。</w:t>
      </w:r>
      <w:r>
        <w:rPr>
          <w:rFonts w:hint="eastAsia" w:ascii="仿宋_GB2312" w:eastAsia="仿宋_GB2312"/>
          <w:b/>
          <w:color w:val="000000"/>
          <w:sz w:val="32"/>
          <w:szCs w:val="32"/>
        </w:rPr>
        <w:t>二是做好群众体育工作。</w:t>
      </w:r>
      <w:r>
        <w:rPr>
          <w:rFonts w:hint="eastAsia" w:ascii="仿宋" w:hAnsi="仿宋" w:eastAsia="仿宋" w:cs="宋体"/>
          <w:kern w:val="0"/>
          <w:sz w:val="32"/>
          <w:szCs w:val="32"/>
        </w:rPr>
        <w:t>开展2025年度体育场地统计调查工作，将新增运动场地统计数据上报。投入资395余万元对柴桑区体育中心运动场进行维修改造，进一步提升公共体育设施服务功能。全区设立35个体育彩票销售网点，全年完成销售任务3000余万元。</w:t>
      </w:r>
    </w:p>
    <w:p w14:paraId="3AFBBE74">
      <w:pPr>
        <w:spacing w:line="600" w:lineRule="exact"/>
        <w:ind w:firstLine="640" w:firstLineChars="200"/>
        <w:rPr>
          <w:rFonts w:hint="eastAsia" w:ascii="仿宋" w:hAnsi="仿宋" w:eastAsia="仿宋" w:cs="宋体"/>
          <w:color w:val="FF0000"/>
          <w:kern w:val="0"/>
          <w:sz w:val="32"/>
          <w:szCs w:val="32"/>
        </w:rPr>
      </w:pPr>
      <w:r>
        <w:rPr>
          <w:rFonts w:hint="eastAsia" w:ascii="仿宋_GB2312" w:eastAsia="仿宋_GB2312"/>
          <w:sz w:val="32"/>
          <w:szCs w:val="32"/>
          <w:highlight w:val="yellow"/>
        </w:rPr>
        <w:t>（校安办）</w:t>
      </w:r>
      <w:r>
        <w:rPr>
          <w:rFonts w:hint="eastAsia" w:ascii="仿宋_GB2312" w:eastAsia="仿宋_GB2312"/>
          <w:sz w:val="32"/>
          <w:szCs w:val="32"/>
        </w:rPr>
        <w:t>6、学校安全保障。</w:t>
      </w:r>
      <w:r>
        <w:rPr>
          <w:rFonts w:hint="eastAsia" w:ascii="仿宋_GB2312" w:eastAsia="仿宋_GB2312"/>
          <w:b/>
          <w:sz w:val="32"/>
          <w:szCs w:val="32"/>
        </w:rPr>
        <w:t>一是做好安全管理工作。</w:t>
      </w:r>
      <w:r>
        <w:rPr>
          <w:rFonts w:hint="eastAsia" w:ascii="仿宋_GB2312" w:eastAsia="仿宋_GB2312"/>
          <w:sz w:val="32"/>
          <w:szCs w:val="32"/>
        </w:rPr>
        <w:t>把学校安全作为教育教学的首要问题来抓，大力实施学校安全保障工程。强化了“五个到位”，即思想认识到位、管理措施到位、宣传教育到位、隐患排查到位、整改落实到位。以防溺水、校园欺凌、交通、饮食，“拒绝毒品，珍爱生命”为重点，将学生安全教育贯穿教学工作始终。强化制度建设，加大资金投入，全面保障学生和学校安全，全年全区未发生</w:t>
      </w:r>
      <w:bookmarkStart w:id="33" w:name="_GoBack"/>
      <w:bookmarkEnd w:id="33"/>
      <w:r>
        <w:rPr>
          <w:rFonts w:hint="eastAsia" w:ascii="仿宋_GB2312" w:eastAsia="仿宋_GB2312"/>
          <w:sz w:val="32"/>
          <w:szCs w:val="32"/>
        </w:rPr>
        <w:t>重大校园安全责任事故。</w:t>
      </w:r>
      <w:r>
        <w:rPr>
          <w:rFonts w:hint="eastAsia" w:ascii="仿宋_GB2312" w:eastAsia="仿宋_GB2312"/>
          <w:b/>
          <w:color w:val="FF0000"/>
          <w:sz w:val="32"/>
          <w:szCs w:val="32"/>
        </w:rPr>
        <w:t>二是做好疫情防控工作。</w:t>
      </w:r>
      <w:r>
        <w:rPr>
          <w:rFonts w:hint="eastAsia" w:ascii="仿宋" w:hAnsi="仿宋" w:eastAsia="仿宋" w:cs="宋体"/>
          <w:color w:val="FF0000"/>
          <w:kern w:val="0"/>
          <w:sz w:val="32"/>
          <w:szCs w:val="32"/>
        </w:rPr>
        <w:t>严格落实上级党委政府关于疫情防控工作精神，针对全区中小学、幼儿园4万余名学生实行每日健康打卡，监测身体健康状况。加强组织领导，统筹防控物资，加密核查验收，组织全区师生接种“新冠”疫苗和核酸检验，全力做好全区中小学、幼儿园、校外培训机构疫情防控工作。针对高考、中考、学考等出现人员聚集情况，切实做好工作方案，严格按程序做好疫情防控工作，确保平安高考、平安中考、平安学考。</w:t>
      </w:r>
    </w:p>
    <w:p w14:paraId="237DB783">
      <w:pPr>
        <w:pStyle w:val="10"/>
        <w:spacing w:before="468" w:after="468"/>
        <w:ind w:firstLine="560" w:firstLineChars="200"/>
        <w:rPr>
          <w:rFonts w:hint="eastAsia"/>
          <w:b/>
          <w:sz w:val="24"/>
        </w:rPr>
      </w:pPr>
      <w:r>
        <w:rPr>
          <w:rFonts w:hint="eastAsia"/>
        </w:rPr>
        <w:t>（二）履职效果情况</w:t>
      </w:r>
      <w:bookmarkEnd w:id="24"/>
    </w:p>
    <w:p w14:paraId="28F5F4EF">
      <w:pPr>
        <w:spacing w:line="600" w:lineRule="exact"/>
        <w:ind w:firstLine="660"/>
        <w:jc w:val="left"/>
        <w:rPr>
          <w:rFonts w:hint="eastAsia" w:ascii="仿宋_GB2312" w:hAnsi="仿宋" w:eastAsia="仿宋_GB2312" w:cs="宋体"/>
          <w:kern w:val="0"/>
          <w:sz w:val="32"/>
          <w:szCs w:val="32"/>
        </w:rPr>
      </w:pPr>
      <w:r>
        <w:rPr>
          <w:rFonts w:hint="eastAsia" w:ascii="仿宋_GB2312" w:eastAsia="仿宋_GB2312"/>
          <w:sz w:val="32"/>
          <w:szCs w:val="32"/>
          <w:highlight w:val="yellow"/>
        </w:rPr>
        <w:t>（办公室）</w:t>
      </w:r>
      <w:r>
        <w:rPr>
          <w:rFonts w:hint="eastAsia" w:ascii="仿宋_GB2312" w:eastAsia="仿宋_GB2312"/>
          <w:sz w:val="32"/>
          <w:szCs w:val="32"/>
        </w:rPr>
        <w:t>区教育体育局</w:t>
      </w:r>
      <w:r>
        <w:rPr>
          <w:rFonts w:hint="eastAsia" w:ascii="仿宋_GB2312" w:hAnsi="宋体" w:eastAsia="仿宋_GB2312" w:cs="仿宋"/>
          <w:sz w:val="32"/>
          <w:szCs w:val="32"/>
        </w:rPr>
        <w:t>在区委、区政府的正确领导下，坚持以习近平新时代中国特色社会主义思想为指导，认真贯彻党的十九大和十九届二中、三中、四中、五中全会精神和省、市、区的重大决策部署，</w:t>
      </w:r>
      <w:bookmarkStart w:id="25" w:name="_Toc22386"/>
      <w:r>
        <w:rPr>
          <w:rFonts w:hint="eastAsia" w:ascii="仿宋_GB2312" w:hAnsi="仿宋" w:eastAsia="仿宋_GB2312" w:cs="宋体"/>
          <w:kern w:val="0"/>
          <w:sz w:val="32"/>
          <w:szCs w:val="32"/>
        </w:rPr>
        <w:t>紧紧围绕全区“全力决战工业，倾力改善民生，着力创建‘三城’，建设强盛新区”经济社会发展总体思路，努力奋进，真抓实干，整个教育、体育事业工作取得了良好的工作成效。进一步缩小城乡之间、区域之间、校际之间的差距，义务教育均衡发展向着更高水平推进，加强素质教育，加强了教育信息化建设，提高教育的现代化水平，教育建设方案等保障了工作平稳进行，效果明显。预决算信息及时公开，提高了部门公信力，对群众、师生满意度提高的作用明显。</w:t>
      </w:r>
    </w:p>
    <w:p w14:paraId="7EC22E37">
      <w:pPr>
        <w:pStyle w:val="10"/>
        <w:spacing w:before="468" w:after="468"/>
        <w:ind w:firstLine="560" w:firstLineChars="200"/>
        <w:rPr>
          <w:rFonts w:hint="eastAsia"/>
        </w:rPr>
      </w:pPr>
      <w:r>
        <w:rPr>
          <w:rFonts w:hint="eastAsia"/>
        </w:rPr>
        <w:t>三、部门整体支出绩效中存在问题及改进措施</w:t>
      </w:r>
      <w:bookmarkEnd w:id="25"/>
    </w:p>
    <w:p w14:paraId="7A73F96D">
      <w:pPr>
        <w:spacing w:line="600" w:lineRule="exact"/>
        <w:ind w:firstLine="660"/>
        <w:jc w:val="left"/>
        <w:rPr>
          <w:rFonts w:hint="eastAsia" w:ascii="仿宋_GB2312" w:hAnsi="仿宋" w:eastAsia="仿宋_GB2312" w:cs="宋体"/>
          <w:kern w:val="0"/>
          <w:sz w:val="32"/>
          <w:szCs w:val="32"/>
        </w:rPr>
      </w:pPr>
      <w:bookmarkStart w:id="26" w:name="_Toc16557"/>
      <w:r>
        <w:rPr>
          <w:rFonts w:hint="eastAsia"/>
        </w:rPr>
        <w:t>（</w:t>
      </w:r>
      <w:r>
        <w:rPr>
          <w:rFonts w:hint="eastAsia" w:ascii="仿宋_GB2312" w:hAnsi="仿宋" w:eastAsia="仿宋_GB2312" w:cs="宋体"/>
          <w:kern w:val="0"/>
          <w:sz w:val="32"/>
          <w:szCs w:val="32"/>
        </w:rPr>
        <w:t>一）主要问题及原因分析</w:t>
      </w:r>
      <w:bookmarkEnd w:id="26"/>
    </w:p>
    <w:p w14:paraId="4E34B7C5">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预算编制前根据年度内单位可预见的工作任务，确定了单位年度预算目标，对于跨年度目标的预算绩效编制有所欠缺，包括其中的跨年度资金支付情况导致的资金结余率超过编制的年度目标值。公用经费使用方面，进一步提高资金使用控制率，特别是提高对于义务教育阶段资金使用进度的把握能力。</w:t>
      </w:r>
    </w:p>
    <w:p w14:paraId="577ACD11">
      <w:pPr>
        <w:spacing w:line="600" w:lineRule="exact"/>
        <w:ind w:firstLine="660"/>
        <w:jc w:val="left"/>
        <w:rPr>
          <w:rFonts w:hint="eastAsia" w:ascii="仿宋_GB2312" w:hAnsi="仿宋" w:eastAsia="仿宋_GB2312" w:cs="宋体"/>
          <w:kern w:val="0"/>
          <w:sz w:val="32"/>
          <w:szCs w:val="32"/>
        </w:rPr>
      </w:pPr>
      <w:bookmarkStart w:id="27" w:name="_Toc10052"/>
      <w:r>
        <w:rPr>
          <w:rFonts w:hint="eastAsia" w:ascii="仿宋_GB2312" w:hAnsi="仿宋" w:eastAsia="仿宋_GB2312" w:cs="宋体"/>
          <w:kern w:val="0"/>
          <w:sz w:val="32"/>
          <w:szCs w:val="32"/>
        </w:rPr>
        <w:t>（二）改进的方向和具体措施</w:t>
      </w:r>
      <w:r>
        <w:rPr>
          <w:rFonts w:ascii="Calibri" w:hAnsi="Calibri" w:eastAsia="仿宋_GB2312" w:cs="Calibri"/>
          <w:kern w:val="0"/>
          <w:sz w:val="32"/>
          <w:szCs w:val="32"/>
        </w:rPr>
        <w:t>  </w:t>
      </w:r>
      <w:bookmarkEnd w:id="27"/>
    </w:p>
    <w:p w14:paraId="1D19F07A">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1、加强学习，提高思想认识。组织单位财务人员认真学习《预算法》等相关法规、制度，提高单位领导对全面预算管理的重视程度，增强财务人员的预算意识。</w:t>
      </w:r>
      <w:r>
        <w:rPr>
          <w:rFonts w:ascii="Calibri" w:hAnsi="Calibri" w:eastAsia="仿宋_GB2312" w:cs="Calibri"/>
          <w:kern w:val="0"/>
          <w:sz w:val="32"/>
          <w:szCs w:val="32"/>
        </w:rPr>
        <w:t>   </w:t>
      </w:r>
    </w:p>
    <w:p w14:paraId="072B2FFF">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2、严格管理，控制公用经费支出。认真贯彻落实中央八项规定和省委、市委九项规定，切实加强“三公”经费和会议费、培训费管理，严格按照规定开支有关经费，确保单位“三公”经费只减不增。</w:t>
      </w:r>
      <w:r>
        <w:rPr>
          <w:rFonts w:ascii="Calibri" w:hAnsi="Calibri" w:eastAsia="仿宋_GB2312" w:cs="Calibri"/>
          <w:kern w:val="0"/>
          <w:sz w:val="32"/>
          <w:szCs w:val="32"/>
        </w:rPr>
        <w:t>   </w:t>
      </w:r>
    </w:p>
    <w:p w14:paraId="1EDCFB8B">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3、加强预算绩效管理的编制的学习，不断提高预算绩效目标编制的科学性，合理性，使预算绩效目标管理工作更好为开展教育体育事业服务。</w:t>
      </w:r>
    </w:p>
    <w:p w14:paraId="1EAAB5ED">
      <w:pPr>
        <w:jc w:val="left"/>
        <w:rPr>
          <w:rFonts w:hint="eastAsia" w:ascii="宋体" w:hAnsi="宋体" w:cs="宋体"/>
          <w:sz w:val="24"/>
          <w:szCs w:val="24"/>
        </w:rPr>
      </w:pPr>
      <w:bookmarkStart w:id="28" w:name="_Toc27266_WPSOffice_Level1"/>
    </w:p>
    <w:p w14:paraId="161201F1">
      <w:pPr>
        <w:pStyle w:val="8"/>
        <w:spacing w:before="468" w:beforeLines="150" w:after="468" w:afterLines="150"/>
        <w:rPr>
          <w:rFonts w:hint="eastAsia"/>
        </w:rPr>
      </w:pPr>
      <w:bookmarkStart w:id="29" w:name="_Toc14748"/>
      <w:r>
        <w:rPr>
          <w:rFonts w:hint="eastAsia"/>
        </w:rPr>
        <w:t>四、</w:t>
      </w:r>
      <w:bookmarkEnd w:id="28"/>
      <w:r>
        <w:rPr>
          <w:rFonts w:hint="eastAsia"/>
        </w:rPr>
        <w:t>绩效自评结果拟应用和公开情况</w:t>
      </w:r>
      <w:bookmarkEnd w:id="29"/>
    </w:p>
    <w:p w14:paraId="4BE140E8">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按照相关文件要求，经整理分析、计算，结合单位工作成果，对部门整体支出绩效评价指标体系评分表中的各项指标进行了客观评价。经评价打分，综合得分95分。（详见附件1）</w:t>
      </w:r>
    </w:p>
    <w:p w14:paraId="1B83F3A1">
      <w:pPr>
        <w:spacing w:line="600" w:lineRule="exact"/>
        <w:ind w:firstLine="66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在此次评价中，部门整体绩效自评价情况较好，资金使用和效果达到了预期的经济和社会效益。将通过单位门户网站公开绩效自评报告。  </w:t>
      </w:r>
    </w:p>
    <w:p w14:paraId="302617D1">
      <w:pPr>
        <w:spacing w:line="600" w:lineRule="exact"/>
        <w:ind w:firstLine="660"/>
        <w:jc w:val="left"/>
        <w:rPr>
          <w:rFonts w:hint="eastAsia" w:ascii="仿宋_GB2312" w:hAnsi="仿宋" w:eastAsia="仿宋_GB2312" w:cs="宋体"/>
          <w:kern w:val="0"/>
          <w:sz w:val="32"/>
          <w:szCs w:val="32"/>
        </w:rPr>
      </w:pPr>
    </w:p>
    <w:p w14:paraId="406C8CD6">
      <w:pPr>
        <w:spacing w:line="600" w:lineRule="exact"/>
        <w:ind w:firstLine="660"/>
        <w:jc w:val="left"/>
        <w:rPr>
          <w:rFonts w:hint="eastAsia" w:ascii="仿宋_GB2312" w:hAnsi="仿宋" w:eastAsia="仿宋_GB2312" w:cs="宋体"/>
          <w:kern w:val="0"/>
          <w:sz w:val="32"/>
          <w:szCs w:val="32"/>
        </w:rPr>
      </w:pPr>
    </w:p>
    <w:p w14:paraId="1F63B467">
      <w:pPr>
        <w:spacing w:line="600" w:lineRule="exact"/>
        <w:ind w:firstLine="660"/>
        <w:jc w:val="left"/>
        <w:rPr>
          <w:rFonts w:hint="eastAsia" w:ascii="仿宋_GB2312" w:hAnsi="仿宋" w:eastAsia="仿宋_GB2312" w:cs="宋体"/>
          <w:kern w:val="0"/>
          <w:sz w:val="32"/>
          <w:szCs w:val="32"/>
        </w:rPr>
      </w:pPr>
      <w:bookmarkStart w:id="30" w:name="_Toc28356_WPSOffice_Level1"/>
      <w:bookmarkStart w:id="31" w:name="_Toc1324_WPSOffice_Level1"/>
    </w:p>
    <w:p w14:paraId="4F0C91E8">
      <w:pPr>
        <w:spacing w:line="600" w:lineRule="exact"/>
        <w:ind w:firstLine="660"/>
        <w:jc w:val="left"/>
        <w:rPr>
          <w:rFonts w:hint="eastAsia" w:ascii="仿宋_GB2312" w:hAnsi="仿宋" w:eastAsia="仿宋_GB2312" w:cs="宋体"/>
          <w:kern w:val="0"/>
          <w:sz w:val="32"/>
          <w:szCs w:val="32"/>
        </w:rPr>
      </w:pPr>
      <w:bookmarkStart w:id="32" w:name="_Toc26990"/>
      <w:r>
        <w:rPr>
          <w:rFonts w:hint="eastAsia" w:ascii="仿宋_GB2312" w:hAnsi="仿宋" w:eastAsia="仿宋_GB2312" w:cs="宋体"/>
          <w:kern w:val="0"/>
          <w:sz w:val="32"/>
          <w:szCs w:val="32"/>
        </w:rPr>
        <w:t>附件1：</w:t>
      </w:r>
      <w:bookmarkEnd w:id="30"/>
      <w:bookmarkEnd w:id="31"/>
      <w:r>
        <w:rPr>
          <w:rFonts w:hint="eastAsia" w:ascii="仿宋_GB2312" w:hAnsi="仿宋" w:eastAsia="仿宋_GB2312" w:cs="宋体"/>
          <w:kern w:val="0"/>
          <w:sz w:val="32"/>
          <w:szCs w:val="32"/>
        </w:rPr>
        <w:t>部门整体支出绩效自评表</w:t>
      </w:r>
      <w:bookmarkEnd w:id="32"/>
    </w:p>
    <w:p w14:paraId="30465DDB">
      <w:pPr>
        <w:spacing w:line="600" w:lineRule="exact"/>
        <w:ind w:firstLine="660"/>
        <w:jc w:val="left"/>
        <w:rPr>
          <w:rFonts w:hint="eastAsia" w:ascii="仿宋_GB2312" w:hAnsi="仿宋" w:eastAsia="仿宋_GB2312" w:cs="宋体"/>
          <w:kern w:val="0"/>
          <w:sz w:val="32"/>
          <w:szCs w:val="32"/>
        </w:rPr>
      </w:pPr>
    </w:p>
    <w:p w14:paraId="168B559B">
      <w:pPr>
        <w:spacing w:line="600" w:lineRule="exact"/>
        <w:ind w:firstLine="660"/>
        <w:jc w:val="righ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2026年3月21日</w:t>
      </w:r>
    </w:p>
    <w:p w14:paraId="7A5FD3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9D7E77"/>
    <w:multiLevelType w:val="multilevel"/>
    <w:tmpl w:val="619D7E77"/>
    <w:lvl w:ilvl="0" w:tentative="0">
      <w:start w:val="1"/>
      <w:numFmt w:val="japaneseCounting"/>
      <w:lvlText w:val="（%1）"/>
      <w:lvlJc w:val="left"/>
      <w:pPr>
        <w:ind w:left="885" w:hanging="885"/>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ZmRmMTcyYjVhOTljM2Q2NzcwYTk4ZGY2ODYyNWUifQ=="/>
  </w:docVars>
  <w:rsids>
    <w:rsidRoot w:val="00B77EDB"/>
    <w:rsid w:val="000A6D46"/>
    <w:rsid w:val="000B64BF"/>
    <w:rsid w:val="0011709C"/>
    <w:rsid w:val="00175C43"/>
    <w:rsid w:val="00233A7F"/>
    <w:rsid w:val="002C6C0D"/>
    <w:rsid w:val="00340532"/>
    <w:rsid w:val="003E1F75"/>
    <w:rsid w:val="00524C5F"/>
    <w:rsid w:val="005A0115"/>
    <w:rsid w:val="009266B7"/>
    <w:rsid w:val="00AB7942"/>
    <w:rsid w:val="00B77EDB"/>
    <w:rsid w:val="00D90ACA"/>
    <w:rsid w:val="00DF72B1"/>
    <w:rsid w:val="00DF74EA"/>
    <w:rsid w:val="00F92831"/>
    <w:rsid w:val="00FD10CE"/>
    <w:rsid w:val="015D1393"/>
    <w:rsid w:val="0A1E3055"/>
    <w:rsid w:val="0B61769D"/>
    <w:rsid w:val="0C2F18B1"/>
    <w:rsid w:val="0C9413AC"/>
    <w:rsid w:val="1340403C"/>
    <w:rsid w:val="148D32B1"/>
    <w:rsid w:val="160A26DF"/>
    <w:rsid w:val="17914E66"/>
    <w:rsid w:val="1C6B037B"/>
    <w:rsid w:val="1DA13929"/>
    <w:rsid w:val="1F070103"/>
    <w:rsid w:val="23641680"/>
    <w:rsid w:val="24886E01"/>
    <w:rsid w:val="2BDF21EC"/>
    <w:rsid w:val="30CB2D3F"/>
    <w:rsid w:val="31C77192"/>
    <w:rsid w:val="365E28A7"/>
    <w:rsid w:val="3699568D"/>
    <w:rsid w:val="374455F9"/>
    <w:rsid w:val="3C0B4937"/>
    <w:rsid w:val="3C5A766D"/>
    <w:rsid w:val="3E7C38CA"/>
    <w:rsid w:val="3FD13C3B"/>
    <w:rsid w:val="40A11D0E"/>
    <w:rsid w:val="44A45929"/>
    <w:rsid w:val="47AD0F98"/>
    <w:rsid w:val="47B71E17"/>
    <w:rsid w:val="47E56984"/>
    <w:rsid w:val="4A6F69D9"/>
    <w:rsid w:val="4AF313B8"/>
    <w:rsid w:val="4D72223B"/>
    <w:rsid w:val="4FF37764"/>
    <w:rsid w:val="50487AB0"/>
    <w:rsid w:val="55C23E61"/>
    <w:rsid w:val="56352885"/>
    <w:rsid w:val="57160908"/>
    <w:rsid w:val="57A10134"/>
    <w:rsid w:val="59C83A10"/>
    <w:rsid w:val="59FB3DE5"/>
    <w:rsid w:val="5E565A8E"/>
    <w:rsid w:val="619D5782"/>
    <w:rsid w:val="61EC5132"/>
    <w:rsid w:val="63A67BCF"/>
    <w:rsid w:val="696E6382"/>
    <w:rsid w:val="6AE85CC0"/>
    <w:rsid w:val="6D0B4253"/>
    <w:rsid w:val="6D392803"/>
    <w:rsid w:val="6F1C0822"/>
    <w:rsid w:val="72FD2525"/>
    <w:rsid w:val="75DA6B4D"/>
    <w:rsid w:val="7793469B"/>
    <w:rsid w:val="78342545"/>
    <w:rsid w:val="7A150154"/>
    <w:rsid w:val="7AFB37ED"/>
    <w:rsid w:val="7DAC56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15"/>
    <w:semiHidden/>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
    <w:name w:val="Title"/>
    <w:basedOn w:val="1"/>
    <w:next w:val="1"/>
    <w:link w:val="14"/>
    <w:qFormat/>
    <w:uiPriority w:val="10"/>
    <w:pPr>
      <w:spacing w:before="240" w:after="60"/>
      <w:jc w:val="center"/>
      <w:outlineLvl w:val="0"/>
    </w:pPr>
    <w:rPr>
      <w:rFonts w:asciiTheme="majorHAnsi" w:hAnsiTheme="majorHAnsi" w:eastAsiaTheme="majorEastAsia" w:cstheme="majorBidi"/>
      <w:b/>
      <w:bCs/>
      <w:sz w:val="32"/>
      <w:szCs w:val="32"/>
    </w:rPr>
  </w:style>
  <w:style w:type="character" w:styleId="7">
    <w:name w:val="Hyperlink"/>
    <w:basedOn w:val="6"/>
    <w:semiHidden/>
    <w:unhideWhenUsed/>
    <w:qFormat/>
    <w:uiPriority w:val="99"/>
    <w:rPr>
      <w:color w:val="0000FF"/>
      <w:u w:val="single"/>
    </w:rPr>
  </w:style>
  <w:style w:type="paragraph" w:customStyle="1" w:styleId="8">
    <w:name w:val="一级标题"/>
    <w:basedOn w:val="4"/>
    <w:next w:val="1"/>
    <w:qFormat/>
    <w:uiPriority w:val="0"/>
    <w:pPr>
      <w:jc w:val="left"/>
    </w:pPr>
    <w:rPr>
      <w:rFonts w:ascii="宋体" w:hAnsi="宋体" w:eastAsia="黑体" w:cs="宋体"/>
      <w:bCs w:val="0"/>
      <w:szCs w:val="24"/>
    </w:rPr>
  </w:style>
  <w:style w:type="character" w:customStyle="1" w:styleId="9">
    <w:name w:val="二级标题 Char"/>
    <w:link w:val="10"/>
    <w:qFormat/>
    <w:locked/>
    <w:uiPriority w:val="0"/>
    <w:rPr>
      <w:rFonts w:ascii="宋体" w:hAnsi="宋体" w:eastAsia="黑体" w:cs="仿宋"/>
      <w:sz w:val="28"/>
      <w:szCs w:val="24"/>
    </w:rPr>
  </w:style>
  <w:style w:type="paragraph" w:customStyle="1" w:styleId="10">
    <w:name w:val="二级标题"/>
    <w:basedOn w:val="4"/>
    <w:next w:val="1"/>
    <w:link w:val="9"/>
    <w:qFormat/>
    <w:uiPriority w:val="0"/>
    <w:pPr>
      <w:spacing w:beforeLines="150" w:afterLines="150" w:line="520" w:lineRule="exact"/>
      <w:jc w:val="left"/>
      <w:outlineLvl w:val="1"/>
    </w:pPr>
    <w:rPr>
      <w:rFonts w:ascii="宋体" w:hAnsi="宋体" w:eastAsia="黑体" w:cs="仿宋"/>
      <w:b w:val="0"/>
      <w:bCs w:val="0"/>
      <w:sz w:val="28"/>
      <w:szCs w:val="24"/>
    </w:rPr>
  </w:style>
  <w:style w:type="paragraph" w:customStyle="1" w:styleId="1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
    <w:name w:val="WPSOffice手动目录 1"/>
    <w:qFormat/>
    <w:uiPriority w:val="0"/>
    <w:rPr>
      <w:rFonts w:ascii="Times New Roman" w:hAnsi="Times New Roman" w:eastAsia="宋体" w:cs="Times New Roman"/>
      <w:lang w:val="en-US" w:eastAsia="zh-CN" w:bidi="ar-SA"/>
    </w:rPr>
  </w:style>
  <w:style w:type="character" w:customStyle="1" w:styleId="14">
    <w:name w:val="标题 字符"/>
    <w:basedOn w:val="6"/>
    <w:link w:val="4"/>
    <w:qFormat/>
    <w:uiPriority w:val="10"/>
    <w:rPr>
      <w:rFonts w:asciiTheme="majorHAnsi" w:hAnsiTheme="majorHAnsi" w:eastAsiaTheme="majorEastAsia" w:cstheme="majorBidi"/>
      <w:b/>
      <w:bCs/>
      <w:sz w:val="32"/>
      <w:szCs w:val="32"/>
    </w:rPr>
  </w:style>
  <w:style w:type="character" w:customStyle="1" w:styleId="15">
    <w:name w:val="页眉 字符"/>
    <w:basedOn w:val="6"/>
    <w:link w:val="2"/>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1495</Words>
  <Characters>8525</Characters>
  <Lines>71</Lines>
  <Paragraphs>19</Paragraphs>
  <TotalTime>454</TotalTime>
  <ScaleCrop>false</ScaleCrop>
  <LinksUpToDate>false</LinksUpToDate>
  <CharactersWithSpaces>10001</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2024-04-09T12:17:00Z</dcterms:created>
  <dc:creator>厚诚 王</dc:creator>
  <cp:lastModifiedBy>PC</cp:lastModifiedBy>
  <dcterms:modified xsi:type="dcterms:W3CDTF">2026-03-16T16:22:56Z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D3B1E04B481CDB5DE0BDB7690C6D4568_43</vt:lpwstr>
  </property>
</Properties>
</file>