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98" w:rsidRDefault="00A30B98">
      <w:pPr>
        <w:pStyle w:val="a3"/>
        <w:spacing w:before="1" w:line="360" w:lineRule="auto"/>
        <w:rPr>
          <w:rFonts w:ascii="Times New Roman"/>
          <w:sz w:val="16"/>
        </w:rPr>
      </w:pPr>
    </w:p>
    <w:p w:rsidR="00A30B98" w:rsidRDefault="00A30B98">
      <w:pPr>
        <w:spacing w:line="360" w:lineRule="auto"/>
        <w:rPr>
          <w:rFonts w:ascii="仿宋" w:eastAsia="仿宋" w:hAnsi="仿宋"/>
          <w:w w:val="105"/>
          <w:sz w:val="32"/>
          <w:szCs w:val="32"/>
          <w:lang w:eastAsia="zh-CN"/>
        </w:rPr>
      </w:pPr>
      <w:bookmarkStart w:id="0" w:name="财监2021-2"/>
      <w:bookmarkStart w:id="1" w:name="_bookmark0"/>
      <w:bookmarkEnd w:id="0"/>
      <w:bookmarkEnd w:id="1"/>
      <w:r w:rsidRPr="00A30B98">
        <w:rPr>
          <w:rFonts w:ascii="仿宋" w:eastAsia="仿宋" w:hAnsi="仿宋"/>
          <w:w w:val="105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5.85pt;margin-top:58.95pt;width:7.05pt;height:7.05pt;z-index:251659264;mso-position-horizontal-relative:page;mso-position-vertical-relative:page" filled="f" stroked="f">
            <v:textbox style="layout-flow:vertical-ideographic" inset="0,0,0,0">
              <w:txbxContent>
                <w:p w:rsidR="00A30B98" w:rsidRDefault="00547F67">
                  <w:pPr>
                    <w:spacing w:line="180" w:lineRule="auto"/>
                    <w:ind w:left="20"/>
                    <w:rPr>
                      <w:sz w:val="10"/>
                    </w:rPr>
                  </w:pPr>
                  <w:r>
                    <w:rPr>
                      <w:w w:val="99"/>
                      <w:sz w:val="10"/>
                    </w:rPr>
                    <w:t>了</w:t>
                  </w:r>
                </w:p>
              </w:txbxContent>
            </v:textbox>
            <w10:wrap anchorx="page" anchory="page"/>
          </v:shape>
        </w:pict>
      </w:r>
      <w:r w:rsidRPr="00A30B98">
        <w:rPr>
          <w:rFonts w:ascii="仿宋" w:eastAsia="仿宋" w:hAnsi="仿宋"/>
          <w:w w:val="105"/>
          <w:sz w:val="32"/>
          <w:szCs w:val="32"/>
        </w:rPr>
        <w:pict>
          <v:shape id="_x0000_s1033" type="#_x0000_t202" style="position:absolute;margin-left:62.9pt;margin-top:61.55pt;width:6.7pt;height:6.9pt;z-index:251660288;mso-position-horizontal-relative:page;mso-position-vertical-relative:page" filled="f" stroked="f">
            <v:textbox style="layout-flow:vertical-ideographic" inset="0,0,0,0">
              <w:txbxContent>
                <w:p w:rsidR="00A30B98" w:rsidRDefault="00547F67">
                  <w:pPr>
                    <w:spacing w:line="204" w:lineRule="auto"/>
                    <w:ind w:left="20"/>
                    <w:rPr>
                      <w:sz w:val="8"/>
                    </w:rPr>
                  </w:pPr>
                  <w:r>
                    <w:rPr>
                      <w:spacing w:val="-64"/>
                      <w:w w:val="99"/>
                      <w:sz w:val="8"/>
                    </w:rPr>
                    <w:t>．</w:t>
                  </w:r>
                  <w:r>
                    <w:rPr>
                      <w:w w:val="99"/>
                      <w:position w:val="1"/>
                      <w:sz w:val="8"/>
                    </w:rPr>
                    <w:t>今</w:t>
                  </w:r>
                </w:p>
              </w:txbxContent>
            </v:textbox>
            <w10:wrap anchorx="page" anchory="page"/>
          </v:shape>
        </w:pict>
      </w:r>
      <w:r w:rsidR="00547F67">
        <w:rPr>
          <w:rFonts w:ascii="仿宋" w:eastAsia="仿宋" w:hAnsi="仿宋"/>
          <w:w w:val="105"/>
          <w:sz w:val="32"/>
          <w:szCs w:val="32"/>
          <w:lang w:eastAsia="zh-CN"/>
        </w:rPr>
        <w:t>附件</w:t>
      </w:r>
      <w:r w:rsidR="00B42873">
        <w:rPr>
          <w:rFonts w:ascii="仿宋" w:eastAsia="仿宋" w:hAnsi="仿宋" w:hint="eastAsia"/>
          <w:w w:val="105"/>
          <w:sz w:val="32"/>
          <w:szCs w:val="32"/>
          <w:lang w:eastAsia="zh-CN"/>
        </w:rPr>
        <w:t>4</w:t>
      </w:r>
    </w:p>
    <w:p w:rsidR="00A30B98" w:rsidRDefault="00A30B98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:rsidR="00A30B98" w:rsidRDefault="00547F67">
      <w:pPr>
        <w:pStyle w:val="Heading1"/>
        <w:spacing w:before="65" w:line="360" w:lineRule="auto"/>
        <w:ind w:left="917" w:right="234"/>
        <w:jc w:val="center"/>
        <w:rPr>
          <w:rFonts w:ascii="方正小标宋简体" w:eastAsia="方正小标宋简体"/>
          <w:spacing w:val="7"/>
          <w:w w:val="105"/>
          <w:sz w:val="32"/>
          <w:szCs w:val="32"/>
          <w:lang w:eastAsia="zh-CN"/>
        </w:rPr>
      </w:pPr>
      <w:r>
        <w:rPr>
          <w:rFonts w:ascii="方正小标宋简体" w:eastAsia="方正小标宋简体" w:hint="eastAsia"/>
          <w:w w:val="105"/>
          <w:sz w:val="32"/>
          <w:szCs w:val="32"/>
          <w:lang w:eastAsia="zh-CN"/>
        </w:rPr>
        <w:t>柴桑区市场监管部门</w:t>
      </w:r>
      <w:r>
        <w:rPr>
          <w:rFonts w:ascii="方正小标宋简体" w:eastAsia="方正小标宋简体" w:hint="eastAsia"/>
          <w:spacing w:val="7"/>
          <w:w w:val="105"/>
          <w:sz w:val="32"/>
          <w:szCs w:val="32"/>
          <w:lang w:eastAsia="zh-CN"/>
        </w:rPr>
        <w:t>转移支付</w:t>
      </w:r>
    </w:p>
    <w:p w:rsidR="00A30B98" w:rsidRDefault="00547F67">
      <w:pPr>
        <w:pStyle w:val="Heading1"/>
        <w:spacing w:before="65" w:line="360" w:lineRule="auto"/>
        <w:ind w:left="917" w:right="234"/>
        <w:jc w:val="center"/>
        <w:rPr>
          <w:rFonts w:ascii="方正小标宋简体" w:eastAsia="方正小标宋简体"/>
          <w:sz w:val="32"/>
          <w:szCs w:val="32"/>
          <w:lang w:eastAsia="zh-CN"/>
        </w:rPr>
      </w:pPr>
      <w:r>
        <w:rPr>
          <w:rFonts w:ascii="方正小标宋简体" w:eastAsia="方正小标宋简体" w:hint="eastAsia"/>
          <w:w w:val="105"/>
          <w:sz w:val="32"/>
          <w:szCs w:val="32"/>
          <w:lang w:eastAsia="zh-CN"/>
        </w:rPr>
        <w:t>202</w:t>
      </w:r>
      <w:r>
        <w:rPr>
          <w:rFonts w:ascii="方正小标宋简体" w:eastAsia="方正小标宋简体" w:hint="eastAsia"/>
          <w:w w:val="105"/>
          <w:sz w:val="32"/>
          <w:szCs w:val="32"/>
          <w:lang w:eastAsia="zh-CN"/>
        </w:rPr>
        <w:t>1</w:t>
      </w:r>
      <w:r>
        <w:rPr>
          <w:rFonts w:ascii="方正小标宋简体" w:eastAsia="方正小标宋简体" w:hint="eastAsia"/>
          <w:spacing w:val="-12"/>
          <w:w w:val="105"/>
          <w:sz w:val="32"/>
          <w:szCs w:val="32"/>
          <w:lang w:eastAsia="zh-CN"/>
        </w:rPr>
        <w:t>年度绩效自评报告</w:t>
      </w:r>
    </w:p>
    <w:p w:rsidR="00A30B98" w:rsidRDefault="00A30B98">
      <w:pPr>
        <w:spacing w:before="204" w:line="360" w:lineRule="auto"/>
        <w:ind w:left="917" w:right="338"/>
        <w:jc w:val="center"/>
        <w:rPr>
          <w:rFonts w:ascii="方正小标宋简体" w:eastAsia="方正小标宋简体"/>
          <w:sz w:val="32"/>
          <w:szCs w:val="32"/>
          <w:lang w:eastAsia="zh-CN"/>
        </w:rPr>
      </w:pPr>
    </w:p>
    <w:p w:rsidR="00A30B98" w:rsidRDefault="00547F67">
      <w:pPr>
        <w:spacing w:line="360" w:lineRule="auto"/>
        <w:jc w:val="both"/>
        <w:rPr>
          <w:rFonts w:ascii="仿宋" w:eastAsia="仿宋" w:hAnsi="仿宋"/>
          <w:b/>
          <w:sz w:val="32"/>
          <w:szCs w:val="32"/>
          <w:lang w:eastAsia="zh-CN"/>
        </w:rPr>
      </w:pPr>
      <w:r>
        <w:rPr>
          <w:rFonts w:ascii="仿宋" w:eastAsia="仿宋" w:hAnsi="仿宋"/>
          <w:b/>
          <w:w w:val="105"/>
          <w:sz w:val="32"/>
          <w:szCs w:val="32"/>
          <w:lang w:eastAsia="zh-CN"/>
        </w:rPr>
        <w:t>一、基本情况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（一）转移支付概况。</w:t>
      </w:r>
    </w:p>
    <w:p w:rsidR="00A30B98" w:rsidRDefault="00547F67">
      <w:pPr>
        <w:spacing w:line="360" w:lineRule="auto"/>
        <w:ind w:firstLineChars="200" w:firstLine="640"/>
        <w:rPr>
          <w:rFonts w:ascii="仿宋" w:eastAsia="仿宋" w:hAnsi="仿宋"/>
          <w:b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2020</w:t>
      </w:r>
      <w:r>
        <w:rPr>
          <w:rFonts w:ascii="仿宋" w:eastAsia="仿宋" w:hAnsi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sz w:val="32"/>
          <w:szCs w:val="32"/>
          <w:lang w:eastAsia="zh-CN"/>
        </w:rPr>
        <w:t>12</w:t>
      </w:r>
      <w:r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sz w:val="32"/>
          <w:szCs w:val="32"/>
          <w:lang w:eastAsia="zh-CN"/>
        </w:rPr>
        <w:t>15</w:t>
      </w:r>
      <w:r>
        <w:rPr>
          <w:rFonts w:ascii="仿宋" w:eastAsia="仿宋" w:hAnsi="仿宋" w:hint="eastAsia"/>
          <w:sz w:val="32"/>
          <w:szCs w:val="32"/>
          <w:lang w:eastAsia="zh-CN"/>
        </w:rPr>
        <w:t>日《江西省财政厅关于提前下达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年中央食品药品监管补助资金预算的通知》（赣财行指</w:t>
      </w:r>
      <w:r>
        <w:rPr>
          <w:rFonts w:ascii="仿宋" w:eastAsia="仿宋" w:hAnsi="仿宋" w:hint="eastAsia"/>
          <w:sz w:val="32"/>
          <w:szCs w:val="32"/>
          <w:lang w:eastAsia="zh-CN"/>
        </w:rPr>
        <w:t>[2020]49</w:t>
      </w:r>
      <w:r>
        <w:rPr>
          <w:rFonts w:ascii="仿宋" w:eastAsia="仿宋" w:hAnsi="仿宋" w:hint="eastAsia"/>
          <w:sz w:val="32"/>
          <w:szCs w:val="32"/>
          <w:lang w:eastAsia="zh-CN"/>
        </w:rPr>
        <w:t>号）文件，下达我区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年食品药品监管中央补助资金</w:t>
      </w:r>
      <w:r>
        <w:rPr>
          <w:rFonts w:ascii="仿宋" w:eastAsia="仿宋" w:hAnsi="仿宋" w:hint="eastAsia"/>
          <w:sz w:val="32"/>
          <w:szCs w:val="32"/>
          <w:lang w:eastAsia="zh-CN"/>
        </w:rPr>
        <w:t>1.75</w:t>
      </w:r>
      <w:r>
        <w:rPr>
          <w:rFonts w:ascii="仿宋" w:eastAsia="仿宋" w:hAnsi="仿宋" w:hint="eastAsia"/>
          <w:sz w:val="32"/>
          <w:szCs w:val="32"/>
          <w:lang w:eastAsia="zh-CN"/>
        </w:rPr>
        <w:t>万元，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sz w:val="32"/>
          <w:szCs w:val="32"/>
          <w:lang w:eastAsia="zh-CN"/>
        </w:rPr>
        <w:t>11</w:t>
      </w:r>
      <w:r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sz w:val="32"/>
          <w:szCs w:val="32"/>
          <w:lang w:eastAsia="zh-CN"/>
        </w:rPr>
        <w:t>18</w:t>
      </w:r>
      <w:r>
        <w:rPr>
          <w:rFonts w:ascii="仿宋" w:eastAsia="仿宋" w:hAnsi="仿宋" w:hint="eastAsia"/>
          <w:sz w:val="32"/>
          <w:szCs w:val="32"/>
          <w:lang w:eastAsia="zh-CN"/>
        </w:rPr>
        <w:t>日《九江市财政局关于下达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年食品药品监管中央补助资金的通知》九财行指</w:t>
      </w:r>
      <w:r>
        <w:rPr>
          <w:rFonts w:ascii="仿宋" w:eastAsia="仿宋" w:hAnsi="仿宋" w:hint="eastAsia"/>
          <w:sz w:val="32"/>
          <w:szCs w:val="32"/>
          <w:lang w:eastAsia="zh-CN"/>
        </w:rPr>
        <w:t>[2021]18</w:t>
      </w:r>
      <w:r>
        <w:rPr>
          <w:rFonts w:ascii="仿宋" w:eastAsia="仿宋" w:hAnsi="仿宋" w:hint="eastAsia"/>
          <w:sz w:val="32"/>
          <w:szCs w:val="32"/>
          <w:lang w:eastAsia="zh-CN"/>
        </w:rPr>
        <w:t>号文件，下达我区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年食品药品监管中央补助资金</w:t>
      </w:r>
      <w:r>
        <w:rPr>
          <w:rFonts w:ascii="仿宋" w:eastAsia="仿宋" w:hAnsi="仿宋" w:hint="eastAsia"/>
          <w:sz w:val="32"/>
          <w:szCs w:val="32"/>
          <w:lang w:eastAsia="zh-CN"/>
        </w:rPr>
        <w:t>8.5</w:t>
      </w:r>
      <w:r>
        <w:rPr>
          <w:rFonts w:ascii="仿宋" w:eastAsia="仿宋" w:hAnsi="仿宋" w:hint="eastAsia"/>
          <w:sz w:val="32"/>
          <w:szCs w:val="32"/>
          <w:lang w:eastAsia="zh-CN"/>
        </w:rPr>
        <w:t>万元，其中食品综合监管专项经费</w:t>
      </w:r>
      <w:r>
        <w:rPr>
          <w:rFonts w:ascii="仿宋" w:eastAsia="仿宋" w:hAnsi="仿宋" w:hint="eastAsia"/>
          <w:sz w:val="32"/>
          <w:szCs w:val="32"/>
          <w:lang w:eastAsia="zh-CN"/>
        </w:rPr>
        <w:t>5.5</w:t>
      </w:r>
      <w:r>
        <w:rPr>
          <w:rFonts w:ascii="仿宋" w:eastAsia="仿宋" w:hAnsi="仿宋" w:hint="eastAsia"/>
          <w:sz w:val="32"/>
          <w:szCs w:val="32"/>
          <w:lang w:eastAsia="zh-CN"/>
        </w:rPr>
        <w:t>万元，药品综合监管专项经费</w:t>
      </w: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万元。</w:t>
      </w:r>
      <w:r>
        <w:rPr>
          <w:rFonts w:ascii="仿宋" w:eastAsia="仿宋" w:hAnsi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sz w:val="32"/>
          <w:szCs w:val="32"/>
          <w:lang w:eastAsia="zh-CN"/>
        </w:rPr>
        <w:t>年我局中央食品药品监管补助资金共</w:t>
      </w:r>
      <w:r>
        <w:rPr>
          <w:rFonts w:ascii="仿宋" w:eastAsia="仿宋" w:hAnsi="仿宋" w:hint="eastAsia"/>
          <w:sz w:val="32"/>
          <w:szCs w:val="32"/>
          <w:lang w:eastAsia="zh-CN"/>
        </w:rPr>
        <w:t>10.25</w:t>
      </w:r>
      <w:r>
        <w:rPr>
          <w:rFonts w:ascii="仿宋" w:eastAsia="仿宋" w:hAnsi="仿宋" w:hint="eastAsia"/>
          <w:sz w:val="32"/>
          <w:szCs w:val="32"/>
          <w:lang w:eastAsia="zh-CN"/>
        </w:rPr>
        <w:t>万元。</w:t>
      </w:r>
    </w:p>
    <w:p w:rsidR="00A30B98" w:rsidRDefault="00547F67">
      <w:pPr>
        <w:numPr>
          <w:ilvl w:val="0"/>
          <w:numId w:val="1"/>
        </w:numPr>
        <w:spacing w:line="360" w:lineRule="auto"/>
        <w:ind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整体绩效目标情况。</w:t>
      </w:r>
    </w:p>
    <w:p w:rsidR="00A30B98" w:rsidRDefault="00547F67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hint="eastAsia"/>
          <w:sz w:val="32"/>
          <w:szCs w:val="32"/>
          <w:lang w:eastAsia="zh-CN"/>
        </w:rPr>
        <w:t>中央食品药品监管补助资金绩效目标中预算执行率</w:t>
      </w:r>
      <w:r>
        <w:rPr>
          <w:rFonts w:ascii="仿宋" w:eastAsia="仿宋" w:hAnsi="仿宋" w:hint="eastAsia"/>
          <w:sz w:val="32"/>
          <w:szCs w:val="32"/>
          <w:lang w:eastAsia="zh-CN"/>
        </w:rPr>
        <w:t>10</w:t>
      </w:r>
      <w:r>
        <w:rPr>
          <w:rFonts w:ascii="仿宋" w:eastAsia="仿宋" w:hAnsi="仿宋" w:hint="eastAsia"/>
          <w:sz w:val="32"/>
          <w:szCs w:val="32"/>
          <w:lang w:eastAsia="zh-CN"/>
        </w:rPr>
        <w:t>分，各项绩效指标</w:t>
      </w:r>
      <w:r>
        <w:rPr>
          <w:rFonts w:ascii="仿宋" w:eastAsia="仿宋" w:hAnsi="仿宋" w:hint="eastAsia"/>
          <w:sz w:val="32"/>
          <w:szCs w:val="32"/>
          <w:lang w:eastAsia="zh-CN"/>
        </w:rPr>
        <w:t>90</w:t>
      </w:r>
      <w:r>
        <w:rPr>
          <w:rFonts w:ascii="仿宋" w:eastAsia="仿宋" w:hAnsi="仿宋" w:hint="eastAsia"/>
          <w:sz w:val="32"/>
          <w:szCs w:val="32"/>
          <w:lang w:eastAsia="zh-CN"/>
        </w:rPr>
        <w:t>分，合计</w:t>
      </w:r>
      <w:r>
        <w:rPr>
          <w:rFonts w:ascii="仿宋" w:eastAsia="仿宋" w:hAnsi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hint="eastAsia"/>
          <w:sz w:val="32"/>
          <w:szCs w:val="32"/>
          <w:lang w:eastAsia="zh-CN"/>
        </w:rPr>
        <w:t>分。我局</w:t>
      </w:r>
      <w:r>
        <w:rPr>
          <w:rFonts w:ascii="仿宋" w:eastAsia="仿宋" w:hAnsi="仿宋" w:hint="eastAsia"/>
          <w:sz w:val="32"/>
          <w:szCs w:val="32"/>
          <w:lang w:eastAsia="zh-CN"/>
        </w:rPr>
        <w:t>21</w:t>
      </w:r>
      <w:r>
        <w:rPr>
          <w:rFonts w:ascii="仿宋" w:eastAsia="仿宋" w:hAnsi="仿宋" w:hint="eastAsia"/>
          <w:sz w:val="32"/>
          <w:szCs w:val="32"/>
          <w:lang w:eastAsia="zh-CN"/>
        </w:rPr>
        <w:t>年转移支付绩效目标得分</w:t>
      </w:r>
      <w:r>
        <w:rPr>
          <w:rFonts w:ascii="仿宋" w:eastAsia="仿宋" w:hAnsi="仿宋" w:hint="eastAsia"/>
          <w:sz w:val="32"/>
          <w:szCs w:val="32"/>
          <w:lang w:eastAsia="zh-CN"/>
        </w:rPr>
        <w:t>100</w:t>
      </w:r>
      <w:r>
        <w:rPr>
          <w:rFonts w:ascii="仿宋" w:eastAsia="仿宋" w:hAnsi="仿宋" w:hint="eastAsia"/>
          <w:sz w:val="32"/>
          <w:szCs w:val="32"/>
          <w:lang w:eastAsia="zh-CN"/>
        </w:rPr>
        <w:t>分，全部完成任务。</w:t>
      </w:r>
    </w:p>
    <w:p w:rsidR="00A30B98" w:rsidRDefault="00A30B98">
      <w:pPr>
        <w:spacing w:line="360" w:lineRule="auto"/>
        <w:rPr>
          <w:rFonts w:ascii="仿宋" w:eastAsia="仿宋" w:hAnsi="仿宋"/>
          <w:b/>
          <w:w w:val="105"/>
          <w:sz w:val="32"/>
          <w:szCs w:val="32"/>
          <w:lang w:eastAsia="zh-CN"/>
        </w:rPr>
      </w:pPr>
    </w:p>
    <w:p w:rsidR="00A30B98" w:rsidRDefault="00547F67">
      <w:pPr>
        <w:spacing w:line="360" w:lineRule="auto"/>
        <w:rPr>
          <w:rFonts w:ascii="仿宋" w:eastAsia="仿宋" w:hAnsi="仿宋"/>
          <w:b/>
          <w:w w:val="105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w w:val="105"/>
          <w:sz w:val="32"/>
          <w:szCs w:val="32"/>
          <w:lang w:eastAsia="zh-CN"/>
        </w:rPr>
        <w:t>二</w:t>
      </w:r>
      <w:r>
        <w:rPr>
          <w:rFonts w:ascii="仿宋" w:eastAsia="仿宋" w:hAnsi="仿宋"/>
          <w:b/>
          <w:w w:val="105"/>
          <w:sz w:val="32"/>
          <w:szCs w:val="32"/>
          <w:lang w:eastAsia="zh-CN"/>
        </w:rPr>
        <w:t>、绩效目标完成情况分析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lastRenderedPageBreak/>
        <w:t>（一）资金情况分析。</w:t>
      </w:r>
    </w:p>
    <w:p w:rsidR="00A30B98" w:rsidRDefault="00547F67" w:rsidP="00B42873">
      <w:pPr>
        <w:adjustRightInd w:val="0"/>
        <w:spacing w:line="360" w:lineRule="auto"/>
        <w:ind w:firstLineChars="200" w:firstLine="632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2021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31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日前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柴桑区</w:t>
      </w: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2021</w:t>
      </w: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年食品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药品</w:t>
      </w: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监管中央补助资金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全部下达至区级财政专户。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我区食品药品综合监管专项经费总合计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10.25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万元，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在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12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31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日前已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全部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使用完毕。全部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用于食品药品抽检工作，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使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全区食品药品综合监管能力进一步提升。</w:t>
      </w:r>
    </w:p>
    <w:p w:rsidR="00A30B98" w:rsidRDefault="00547F67">
      <w:pPr>
        <w:numPr>
          <w:ilvl w:val="0"/>
          <w:numId w:val="1"/>
        </w:numPr>
        <w:spacing w:line="360" w:lineRule="auto"/>
        <w:ind w:firstLineChars="50" w:firstLine="16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总体目标完成情况分析。</w:t>
      </w:r>
    </w:p>
    <w:p w:rsidR="00A30B98" w:rsidRDefault="00547F67" w:rsidP="00B42873">
      <w:pPr>
        <w:numPr>
          <w:ilvl w:val="0"/>
          <w:numId w:val="2"/>
        </w:numPr>
        <w:spacing w:line="360" w:lineRule="auto"/>
        <w:ind w:firstLineChars="200" w:firstLine="632"/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数量指标</w:t>
      </w:r>
    </w:p>
    <w:p w:rsidR="00A30B98" w:rsidRDefault="00547F67" w:rsidP="00B42873">
      <w:pPr>
        <w:spacing w:line="360" w:lineRule="auto"/>
        <w:ind w:firstLineChars="211" w:firstLine="667"/>
        <w:rPr>
          <w:rFonts w:ascii="仿宋" w:eastAsia="仿宋" w:hAnsi="仿宋" w:cs="仿宋"/>
          <w:color w:val="FF0000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食品：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年我局加强食品生产企业风险防控，我局检查食品小作坊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68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家次，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6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家食品小作坊被评为省级食品小作坊示范点。</w:t>
      </w:r>
    </w:p>
    <w:p w:rsidR="00A30B98" w:rsidRDefault="00547F6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药品：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年我局</w:t>
      </w:r>
      <w:r>
        <w:rPr>
          <w:rFonts w:ascii="仿宋" w:eastAsia="仿宋" w:hAnsi="仿宋"/>
          <w:sz w:val="32"/>
          <w:szCs w:val="32"/>
          <w:lang w:eastAsia="zh-CN"/>
        </w:rPr>
        <w:t>加强药品</w:t>
      </w:r>
      <w:r>
        <w:rPr>
          <w:rFonts w:ascii="仿宋" w:eastAsia="仿宋" w:hAnsi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eastAsia="zh-CN"/>
        </w:rPr>
        <w:t>医疗器械</w:t>
      </w:r>
      <w:r>
        <w:rPr>
          <w:rFonts w:ascii="仿宋" w:eastAsia="仿宋" w:hAnsi="仿宋" w:hint="eastAsia"/>
          <w:sz w:val="32"/>
          <w:szCs w:val="32"/>
          <w:lang w:eastAsia="zh-CN"/>
        </w:rPr>
        <w:t>与化妆品</w:t>
      </w:r>
      <w:r>
        <w:rPr>
          <w:rFonts w:ascii="仿宋" w:eastAsia="仿宋" w:hAnsi="仿宋"/>
          <w:sz w:val="32"/>
          <w:szCs w:val="32"/>
          <w:lang w:eastAsia="zh-CN"/>
        </w:rPr>
        <w:t>质量监督检查，严厉打击</w:t>
      </w:r>
      <w:r>
        <w:rPr>
          <w:rFonts w:ascii="仿宋" w:eastAsia="仿宋" w:hAnsi="仿宋" w:hint="eastAsia"/>
          <w:sz w:val="32"/>
          <w:szCs w:val="32"/>
          <w:lang w:eastAsia="zh-CN"/>
        </w:rPr>
        <w:t>各类</w:t>
      </w:r>
      <w:r>
        <w:rPr>
          <w:rFonts w:ascii="仿宋" w:eastAsia="仿宋" w:hAnsi="仿宋"/>
          <w:sz w:val="32"/>
          <w:szCs w:val="32"/>
          <w:lang w:eastAsia="zh-CN"/>
        </w:rPr>
        <w:t>违法违规行为</w:t>
      </w:r>
      <w:r>
        <w:rPr>
          <w:rFonts w:ascii="仿宋" w:eastAsia="仿宋" w:hAnsi="仿宋" w:hint="eastAsia"/>
          <w:sz w:val="32"/>
          <w:szCs w:val="32"/>
          <w:lang w:eastAsia="zh-CN"/>
        </w:rPr>
        <w:t>。</w:t>
      </w:r>
      <w:r>
        <w:rPr>
          <w:rFonts w:ascii="仿宋" w:eastAsia="仿宋" w:hAnsi="仿宋" w:cs="楷体" w:hint="eastAsia"/>
          <w:bCs/>
          <w:sz w:val="32"/>
          <w:szCs w:val="32"/>
          <w:lang w:val="zh-CN" w:eastAsia="zh-CN"/>
        </w:rPr>
        <w:t>为进一步</w:t>
      </w:r>
      <w:r>
        <w:rPr>
          <w:rFonts w:ascii="仿宋" w:eastAsia="仿宋" w:hAnsi="仿宋" w:cs="仿宋" w:hint="eastAsia"/>
          <w:sz w:val="32"/>
          <w:szCs w:val="32"/>
          <w:lang w:val="zh-CN" w:eastAsia="zh-CN"/>
        </w:rPr>
        <w:t>强化企业主体责任意识，提高质量管理水平，确保产品安全、有效，按照省、市局有关要求，对我辖区内</w:t>
      </w:r>
      <w:r>
        <w:rPr>
          <w:rFonts w:ascii="仿宋" w:eastAsia="仿宋" w:hAnsi="仿宋" w:cs="仿宋" w:hint="eastAsia"/>
          <w:sz w:val="32"/>
          <w:szCs w:val="32"/>
          <w:lang w:val="zh-CN"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val="zh-CN" w:eastAsia="zh-CN"/>
        </w:rPr>
        <w:t>家一类备案生产企业进行了监督检查。</w:t>
      </w:r>
      <w:r>
        <w:rPr>
          <w:rFonts w:ascii="仿宋" w:eastAsia="仿宋" w:hAnsi="仿宋" w:hint="eastAsia"/>
          <w:sz w:val="32"/>
          <w:szCs w:val="32"/>
          <w:lang w:eastAsia="zh-CN"/>
        </w:rPr>
        <w:t>对生产环节“两品一械”企业的日常监督检查</w:t>
      </w: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家次，对经营、使用环节的“两品一械”企业</w:t>
      </w:r>
      <w:r>
        <w:rPr>
          <w:rFonts w:ascii="仿宋" w:eastAsia="仿宋" w:hAnsi="仿宋" w:hint="eastAsia"/>
          <w:sz w:val="32"/>
          <w:szCs w:val="32"/>
          <w:lang w:eastAsia="zh-CN"/>
        </w:rPr>
        <w:t>(</w:t>
      </w:r>
      <w:r>
        <w:rPr>
          <w:rFonts w:ascii="仿宋" w:eastAsia="仿宋" w:hAnsi="仿宋" w:hint="eastAsia"/>
          <w:sz w:val="32"/>
          <w:szCs w:val="32"/>
          <w:lang w:eastAsia="zh-CN"/>
        </w:rPr>
        <w:t>单位</w:t>
      </w:r>
      <w:r>
        <w:rPr>
          <w:rFonts w:ascii="仿宋" w:eastAsia="仿宋" w:hAnsi="仿宋" w:hint="eastAsia"/>
          <w:sz w:val="32"/>
          <w:szCs w:val="32"/>
          <w:lang w:eastAsia="zh-CN"/>
        </w:rPr>
        <w:t>)</w:t>
      </w:r>
      <w:r>
        <w:rPr>
          <w:rFonts w:ascii="仿宋" w:eastAsia="仿宋" w:hAnsi="仿宋" w:hint="eastAsia"/>
          <w:sz w:val="32"/>
          <w:szCs w:val="32"/>
          <w:lang w:eastAsia="zh-CN"/>
        </w:rPr>
        <w:t>的检查</w:t>
      </w:r>
      <w:r>
        <w:rPr>
          <w:rFonts w:ascii="仿宋" w:eastAsia="仿宋" w:hAnsi="仿宋" w:hint="eastAsia"/>
          <w:sz w:val="32"/>
          <w:szCs w:val="32"/>
          <w:lang w:eastAsia="zh-CN"/>
        </w:rPr>
        <w:t>670</w:t>
      </w:r>
      <w:r>
        <w:rPr>
          <w:rFonts w:ascii="仿宋" w:eastAsia="仿宋" w:hAnsi="仿宋" w:hint="eastAsia"/>
          <w:sz w:val="32"/>
          <w:szCs w:val="32"/>
          <w:lang w:eastAsia="zh-CN"/>
        </w:rPr>
        <w:t>家次，共出动执法人员</w:t>
      </w:r>
      <w:r>
        <w:rPr>
          <w:rFonts w:ascii="仿宋" w:eastAsia="仿宋" w:hAnsi="仿宋" w:hint="eastAsia"/>
          <w:sz w:val="32"/>
          <w:szCs w:val="32"/>
          <w:lang w:eastAsia="zh-CN"/>
        </w:rPr>
        <w:t>1340</w:t>
      </w:r>
      <w:r>
        <w:rPr>
          <w:rFonts w:ascii="仿宋" w:eastAsia="仿宋" w:hAnsi="仿宋" w:hint="eastAsia"/>
          <w:sz w:val="32"/>
          <w:szCs w:val="32"/>
          <w:lang w:eastAsia="zh-CN"/>
        </w:rPr>
        <w:t>余人次。</w:t>
      </w:r>
    </w:p>
    <w:p w:rsidR="00A30B98" w:rsidRDefault="00547F6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进一步抓好药械不良反应监测工作，积极督促各医疗机构认真开展药械不良反应监测工作，确保信息收集准确、上报及时。截至目前，已收集上报药品不良反应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343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（其中严重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例，新的一般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例），医疗器械不良事件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例（其中严重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例），圆满完成了市局下达的指标任务。</w:t>
      </w:r>
    </w:p>
    <w:p w:rsidR="00A30B98" w:rsidRDefault="00547F6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积极利用“</w:t>
      </w:r>
      <w:r>
        <w:rPr>
          <w:rFonts w:ascii="仿宋" w:eastAsia="仿宋" w:hAnsi="仿宋" w:hint="eastAsia"/>
          <w:sz w:val="32"/>
          <w:szCs w:val="32"/>
          <w:lang w:eastAsia="zh-CN"/>
        </w:rPr>
        <w:t>12315</w:t>
      </w:r>
      <w:r>
        <w:rPr>
          <w:rFonts w:ascii="仿宋" w:eastAsia="仿宋" w:hAnsi="仿宋" w:hint="eastAsia"/>
          <w:sz w:val="32"/>
          <w:szCs w:val="32"/>
          <w:lang w:eastAsia="zh-CN"/>
        </w:rPr>
        <w:t>”、“</w:t>
      </w:r>
      <w:r>
        <w:rPr>
          <w:rFonts w:ascii="仿宋" w:eastAsia="仿宋" w:hAnsi="仿宋" w:hint="eastAsia"/>
          <w:sz w:val="32"/>
          <w:szCs w:val="32"/>
          <w:lang w:eastAsia="zh-CN"/>
        </w:rPr>
        <w:t>科技宣传周</w:t>
      </w:r>
      <w:r>
        <w:rPr>
          <w:rFonts w:ascii="仿宋" w:eastAsia="仿宋" w:hAnsi="仿宋" w:hint="eastAsia"/>
          <w:sz w:val="32"/>
          <w:szCs w:val="32"/>
          <w:lang w:eastAsia="zh-CN"/>
        </w:rPr>
        <w:t>”</w:t>
      </w:r>
      <w:r>
        <w:rPr>
          <w:rFonts w:ascii="仿宋" w:eastAsia="仿宋" w:hAnsi="仿宋" w:hint="eastAsia"/>
          <w:sz w:val="32"/>
          <w:szCs w:val="32"/>
          <w:lang w:eastAsia="zh-CN"/>
        </w:rPr>
        <w:t>“</w:t>
      </w:r>
      <w:r>
        <w:rPr>
          <w:rFonts w:ascii="仿宋" w:eastAsia="仿宋" w:hAnsi="仿宋" w:hint="eastAsia"/>
          <w:sz w:val="32"/>
          <w:szCs w:val="32"/>
          <w:lang w:eastAsia="zh-CN"/>
        </w:rPr>
        <w:t>化妆品科普宣传周</w:t>
      </w:r>
      <w:r>
        <w:rPr>
          <w:rFonts w:ascii="仿宋" w:eastAsia="仿宋" w:hAnsi="仿宋" w:hint="eastAsia"/>
          <w:sz w:val="32"/>
          <w:szCs w:val="32"/>
          <w:lang w:eastAsia="zh-CN"/>
        </w:rPr>
        <w:t>”、</w:t>
      </w:r>
      <w:r>
        <w:rPr>
          <w:rFonts w:ascii="仿宋" w:eastAsia="仿宋" w:hAnsi="仿宋" w:hint="eastAsia"/>
          <w:sz w:val="32"/>
          <w:szCs w:val="32"/>
          <w:lang w:eastAsia="zh-CN"/>
        </w:rPr>
        <w:t>“医疗器械安全宣传周”、“安全用药月”等宣传活动共计</w:t>
      </w: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 w:hint="eastAsia"/>
          <w:sz w:val="32"/>
          <w:szCs w:val="32"/>
          <w:lang w:eastAsia="zh-CN"/>
        </w:rPr>
        <w:t>场次，向公众大力宣传药械</w:t>
      </w:r>
      <w:r>
        <w:rPr>
          <w:rFonts w:ascii="仿宋" w:eastAsia="仿宋" w:hAnsi="仿宋" w:hint="eastAsia"/>
          <w:sz w:val="32"/>
          <w:szCs w:val="32"/>
          <w:lang w:eastAsia="zh-CN"/>
        </w:rPr>
        <w:t>化</w:t>
      </w:r>
      <w:r>
        <w:rPr>
          <w:rFonts w:ascii="仿宋" w:eastAsia="仿宋" w:hAnsi="仿宋" w:hint="eastAsia"/>
          <w:sz w:val="32"/>
          <w:szCs w:val="32"/>
          <w:lang w:eastAsia="zh-CN"/>
        </w:rPr>
        <w:t>安全基本知识、用药用械</w:t>
      </w:r>
      <w:r>
        <w:rPr>
          <w:rFonts w:ascii="仿宋" w:eastAsia="仿宋" w:hAnsi="仿宋" w:hint="eastAsia"/>
          <w:sz w:val="32"/>
          <w:szCs w:val="32"/>
          <w:lang w:eastAsia="zh-CN"/>
        </w:rPr>
        <w:t>用妆</w:t>
      </w:r>
      <w:r>
        <w:rPr>
          <w:rFonts w:ascii="仿宋" w:eastAsia="仿宋" w:hAnsi="仿宋" w:hint="eastAsia"/>
          <w:sz w:val="32"/>
          <w:szCs w:val="32"/>
          <w:lang w:eastAsia="zh-CN"/>
        </w:rPr>
        <w:t>安全常识，提高公众知晓率。</w:t>
      </w:r>
    </w:p>
    <w:p w:rsidR="00A30B98" w:rsidRDefault="00547F67" w:rsidP="00B42873">
      <w:pPr>
        <w:adjustRightInd w:val="0"/>
        <w:spacing w:line="360" w:lineRule="auto"/>
        <w:ind w:firstLineChars="200" w:firstLine="632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食品：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年我局根据任务安排，完成省转移抽检任务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280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批次，自主匹配抽检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750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批次，其中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321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及批次结果暂未出来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,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其中省级食品抽检不合格农产品有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5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批次，对抽检的不合格食品已全部处置到位，抽检不合格食品核查处置率为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100%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。</w:t>
      </w:r>
    </w:p>
    <w:p w:rsidR="00A30B98" w:rsidRDefault="00547F67" w:rsidP="00B42873">
      <w:pPr>
        <w:numPr>
          <w:ilvl w:val="0"/>
          <w:numId w:val="3"/>
        </w:numPr>
        <w:adjustRightInd w:val="0"/>
        <w:spacing w:line="360" w:lineRule="auto"/>
        <w:ind w:firstLineChars="200" w:firstLine="632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>质量指标。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黑体" w:eastAsia="黑体" w:hAnsi="黑体"/>
          <w:color w:val="FF0000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年我局积极开展食品生产企业食品安全体系检查，特别是食品生产加工环节企业进行全覆盖，今年以来在辖区内共检查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次，将可能触碰红线的食品安全隐患和问题等及时扼杀在萌芽中，尤其是在高考期间，我区按照区疫情防控指挥部的安排，始终坚守在农贸市场、餐饮企业、超市等食品安全一线，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确保高考期间学生吃上放心安全的食品。我区综合防范食品安全重大风险能力稳步提升。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为确保全区食品安全，区市场监督管理局，多次开展食品安全整治，全面覆盖区内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82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所院校、幼儿园，已开展了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轮次全覆盖检查，出动执法人员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810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余人次，区市监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局组织“你送我检”（省级）食品宣传和抽检共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天，“你点我抽”食品宣传和抽检活动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场，对使用不合格的餐饮企业下达《当场行政处罚决定书》对存在食安风险的“网红”餐饮服务单位行政约谈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次。针对学校食堂、生产企业和餐饮服务单位等从业人员，开展集中培训、网上学习和在线考试，不断提升专业水平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，开展食品知识安全培训进校园和养老机构讲座活动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场，为辖区食品生产经营单位送学习手册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400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余份；引导学校开展“互联网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+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明厨亮灶工作和购买食品安全险工作，目前已有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所学校购买食品安全险，明厨亮灶全市率先达到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我局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全力推进食品生产加工小作坊三年提升工作，创建食品小作坊集中加工区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个，申报创建省级示范单位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个，</w:t>
      </w:r>
      <w:r>
        <w:rPr>
          <w:rFonts w:ascii="仿宋_GB2312" w:eastAsia="仿宋_GB2312" w:hint="eastAsia"/>
          <w:sz w:val="32"/>
          <w:szCs w:val="32"/>
          <w:lang w:eastAsia="zh-CN"/>
        </w:rPr>
        <w:t>对</w:t>
      </w:r>
      <w:r>
        <w:rPr>
          <w:rFonts w:ascii="仿宋_GB2312" w:eastAsia="仿宋_GB2312" w:hint="eastAsia"/>
          <w:sz w:val="32"/>
          <w:szCs w:val="32"/>
          <w:lang w:eastAsia="zh-CN"/>
        </w:rPr>
        <w:t>7</w:t>
      </w:r>
      <w:r>
        <w:rPr>
          <w:rFonts w:ascii="仿宋_GB2312" w:eastAsia="仿宋_GB2312" w:hint="eastAsia"/>
          <w:sz w:val="32"/>
          <w:szCs w:val="32"/>
          <w:lang w:eastAsia="zh-CN"/>
        </w:rPr>
        <w:t>家食品小作坊示范单位进行检查，确保做到原料进货查验到位、场所卫生清洁到位、加工过程管控到位、台账记录登记到位、人员健康管理到位、包装标签标识规范到位。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促进我区食品产业质量安全整体提升。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 w:cs="仿宋"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药品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：为加强基层药械监管人员能力和素质建设，区局采取“一对一”、“面对面”、跟班学习等方式，从监管理论、现场检查、稽查办案等方面对基层分局药械监管人员进行全方位的业务帮带、指导，全面提升其业务理论水平和监管能力。开展了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15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名基层监管人员药械监管提升班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次，同时，积极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组织药械从业人员参加国家局和省局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lastRenderedPageBreak/>
        <w:t>组织的各项知识竞赛活动，培训覆盖率达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100%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；根据“两品一械”不良反应监测相关规定，安排专人将收集的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化妆品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不良反应信息录入国家局信息系统。</w:t>
      </w:r>
    </w:p>
    <w:p w:rsidR="00A30B98" w:rsidRDefault="00547F67">
      <w:pPr>
        <w:pStyle w:val="a6"/>
        <w:shd w:val="clear" w:color="auto" w:fill="FFFFFF"/>
        <w:spacing w:line="360" w:lineRule="auto"/>
        <w:ind w:firstLineChars="200" w:firstLine="640"/>
        <w:jc w:val="both"/>
        <w:textAlignment w:val="top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严厉打击各类危及人的生命安全和危害人民身体健康的违法行为，坚决做到有案必查、有查必果、有罪必移。严格办案程序，严肃执法纪律，提高办案质量。全年共查处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起（其中化妆品类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起），罚款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配合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市执法稽查局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查处案件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起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。</w:t>
      </w:r>
    </w:p>
    <w:p w:rsidR="00A30B98" w:rsidRDefault="00547F67">
      <w:pPr>
        <w:pStyle w:val="a6"/>
        <w:shd w:val="clear" w:color="auto" w:fill="FFFFFF"/>
        <w:spacing w:line="360" w:lineRule="auto"/>
        <w:ind w:firstLineChars="200" w:firstLine="640"/>
        <w:jc w:val="both"/>
        <w:textAlignment w:val="top"/>
        <w:rPr>
          <w:rFonts w:ascii="仿宋" w:eastAsia="仿宋" w:hAnsi="仿宋" w:cs="仿宋"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柴桑区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药品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监管中央补助资金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万元，全部拨付到位用于药品抽检工作，使用过程严格执行财经纪律、制度规定、项目要求，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31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日前资金拨付到位，项目资金使用率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100%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。</w:t>
      </w:r>
    </w:p>
    <w:p w:rsidR="00A30B98" w:rsidRDefault="00547F67" w:rsidP="00B42873">
      <w:pPr>
        <w:numPr>
          <w:ilvl w:val="0"/>
          <w:numId w:val="3"/>
        </w:numPr>
        <w:adjustRightInd w:val="0"/>
        <w:spacing w:line="360" w:lineRule="auto"/>
        <w:ind w:firstLineChars="200" w:firstLine="632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时效指标。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食品：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中央资金食品部分一共</w:t>
      </w:r>
      <w:r>
        <w:rPr>
          <w:rFonts w:ascii="仿宋_GB2312" w:eastAsia="仿宋_GB2312" w:hint="eastAsia"/>
          <w:sz w:val="32"/>
          <w:szCs w:val="32"/>
          <w:lang w:eastAsia="zh-CN"/>
        </w:rPr>
        <w:t>7.25</w:t>
      </w:r>
      <w:r>
        <w:rPr>
          <w:rFonts w:ascii="仿宋_GB2312" w:eastAsia="仿宋_GB2312" w:hint="eastAsia"/>
          <w:sz w:val="32"/>
          <w:szCs w:val="32"/>
          <w:lang w:eastAsia="zh-CN"/>
        </w:rPr>
        <w:t>万元均使用完毕，资金预算执行率</w:t>
      </w:r>
      <w:r>
        <w:rPr>
          <w:rFonts w:ascii="仿宋_GB2312" w:eastAsia="仿宋_GB2312" w:hint="eastAsia"/>
          <w:sz w:val="32"/>
          <w:szCs w:val="32"/>
          <w:lang w:eastAsia="zh-CN"/>
        </w:rPr>
        <w:t>100%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6</w:t>
      </w:r>
      <w:r>
        <w:rPr>
          <w:rFonts w:ascii="仿宋_GB2312" w:eastAsia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sz w:val="32"/>
          <w:szCs w:val="32"/>
          <w:lang w:eastAsia="zh-CN"/>
        </w:rPr>
        <w:t>创建一个食品小作坊集中加工区，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12</w:t>
      </w:r>
      <w:r>
        <w:rPr>
          <w:rFonts w:ascii="仿宋_GB2312" w:eastAsia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sz w:val="32"/>
          <w:szCs w:val="32"/>
          <w:lang w:eastAsia="zh-CN"/>
        </w:rPr>
        <w:t>31</w:t>
      </w:r>
      <w:r>
        <w:rPr>
          <w:rFonts w:ascii="仿宋_GB2312" w:eastAsia="仿宋_GB2312" w:hint="eastAsia"/>
          <w:sz w:val="32"/>
          <w:szCs w:val="32"/>
          <w:lang w:eastAsia="zh-CN"/>
        </w:rPr>
        <w:t>日前完成</w:t>
      </w:r>
      <w:r>
        <w:rPr>
          <w:rFonts w:ascii="仿宋_GB2312" w:eastAsia="仿宋_GB2312" w:hint="eastAsia"/>
          <w:sz w:val="32"/>
          <w:szCs w:val="32"/>
          <w:lang w:eastAsia="zh-CN"/>
        </w:rPr>
        <w:t>7</w:t>
      </w:r>
      <w:r>
        <w:rPr>
          <w:rFonts w:ascii="仿宋_GB2312" w:eastAsia="仿宋_GB2312" w:hint="eastAsia"/>
          <w:sz w:val="32"/>
          <w:szCs w:val="32"/>
          <w:lang w:eastAsia="zh-CN"/>
        </w:rPr>
        <w:t>家小作坊示范单位创建。</w:t>
      </w:r>
    </w:p>
    <w:p w:rsidR="00A30B98" w:rsidRDefault="00547F6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药品：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2021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中央资金药品部分一共</w:t>
      </w:r>
      <w:r>
        <w:rPr>
          <w:rFonts w:ascii="仿宋_GB2312" w:eastAsia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 w:hint="eastAsia"/>
          <w:sz w:val="32"/>
          <w:szCs w:val="32"/>
          <w:lang w:eastAsia="zh-CN"/>
        </w:rPr>
        <w:t>万元，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12</w:t>
      </w:r>
      <w:r>
        <w:rPr>
          <w:rFonts w:ascii="仿宋_GB2312" w:eastAsia="仿宋_GB2312" w:hint="eastAsia"/>
          <w:sz w:val="32"/>
          <w:szCs w:val="32"/>
          <w:lang w:eastAsia="zh-CN"/>
        </w:rPr>
        <w:t>月完成拨付使用，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按照市局下达我区的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2021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年药品抽验任务，及时制定药品抽样工作方案，并按照方案要求组织开展监督抽验工作。按时间节点提前完成了全年</w:t>
      </w:r>
      <w:r>
        <w:rPr>
          <w:rFonts w:ascii="仿宋" w:eastAsia="仿宋" w:hAnsi="仿宋" w:hint="eastAsia"/>
          <w:sz w:val="32"/>
          <w:szCs w:val="32"/>
          <w:lang w:eastAsia="zh-CN"/>
        </w:rPr>
        <w:t>共</w:t>
      </w:r>
      <w:r>
        <w:rPr>
          <w:rFonts w:ascii="仿宋" w:eastAsia="仿宋" w:hAnsi="仿宋" w:hint="eastAsia"/>
          <w:sz w:val="32"/>
          <w:szCs w:val="32"/>
          <w:lang w:eastAsia="zh-CN"/>
        </w:rPr>
        <w:t>15</w:t>
      </w:r>
      <w:r>
        <w:rPr>
          <w:rFonts w:ascii="仿宋" w:eastAsia="仿宋" w:hAnsi="仿宋" w:hint="eastAsia"/>
          <w:sz w:val="32"/>
          <w:szCs w:val="32"/>
          <w:lang w:eastAsia="zh-CN"/>
        </w:rPr>
        <w:t>批次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的</w:t>
      </w:r>
      <w:r>
        <w:rPr>
          <w:rFonts w:ascii="仿宋" w:eastAsia="仿宋" w:hAnsi="仿宋" w:hint="eastAsia"/>
          <w:sz w:val="32"/>
          <w:szCs w:val="32"/>
          <w:lang w:eastAsia="zh-CN"/>
        </w:rPr>
        <w:t>抽样任务。</w:t>
      </w:r>
    </w:p>
    <w:p w:rsidR="00A30B98" w:rsidRDefault="00547F67" w:rsidP="00B42873">
      <w:pPr>
        <w:numPr>
          <w:ilvl w:val="0"/>
          <w:numId w:val="3"/>
        </w:numPr>
        <w:adjustRightInd w:val="0"/>
        <w:spacing w:line="360" w:lineRule="auto"/>
        <w:ind w:firstLineChars="200" w:firstLine="632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lastRenderedPageBreak/>
        <w:t>成本指标。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食品：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年食品抽检成本在确保完成全年目标任务的前提下，进行了一定办公支出的缩减，加大对抽检人员出勤管理，提高抽检工作效率，努力减少区市监局除必要的食品抽样支出外的抽检成本。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药品：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年药品抽检成本在确保完成全年目标任务的前提下，进行了一定办公支出的缩减，加大对抽检人员出勤管理，提高抽检工作效率，努力减少区市监局除必要的药品抽样支出外的抽检成本。全年项目实际总支出</w:t>
      </w:r>
      <w:r>
        <w:rPr>
          <w:rFonts w:ascii="仿宋_GB2312" w:eastAsia="仿宋_GB2312" w:hint="eastAsia"/>
          <w:sz w:val="32"/>
          <w:szCs w:val="32"/>
          <w:lang w:eastAsia="zh-CN"/>
        </w:rPr>
        <w:t>3</w:t>
      </w:r>
      <w:r>
        <w:rPr>
          <w:rFonts w:ascii="仿宋_GB2312" w:eastAsia="仿宋_GB2312" w:hint="eastAsia"/>
          <w:sz w:val="32"/>
          <w:szCs w:val="32"/>
          <w:lang w:eastAsia="zh-CN"/>
        </w:rPr>
        <w:t>万元，“两品一械”监督抽查成本控制在</w:t>
      </w:r>
      <w:r>
        <w:rPr>
          <w:rFonts w:ascii="仿宋_GB2312" w:eastAsia="仿宋_GB2312" w:hint="eastAsia"/>
          <w:sz w:val="32"/>
          <w:szCs w:val="32"/>
          <w:lang w:eastAsia="zh-CN"/>
        </w:rPr>
        <w:t>10</w:t>
      </w:r>
      <w:r>
        <w:rPr>
          <w:rFonts w:ascii="仿宋_GB2312" w:eastAsia="仿宋_GB2312" w:hint="eastAsia"/>
          <w:sz w:val="32"/>
          <w:szCs w:val="32"/>
          <w:lang w:eastAsia="zh-CN"/>
        </w:rPr>
        <w:t>万元以内，“两品一械”不良反应检测成本控制在</w:t>
      </w:r>
      <w:r>
        <w:rPr>
          <w:rFonts w:ascii="仿宋_GB2312" w:eastAsia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sz w:val="32"/>
          <w:szCs w:val="32"/>
          <w:lang w:eastAsia="zh-CN"/>
        </w:rPr>
        <w:t>万元以内。</w:t>
      </w:r>
    </w:p>
    <w:p w:rsidR="00A30B98" w:rsidRDefault="00547F67" w:rsidP="00B42873">
      <w:pPr>
        <w:adjustRightInd w:val="0"/>
        <w:spacing w:line="360" w:lineRule="auto"/>
        <w:ind w:firstLineChars="200" w:firstLine="635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2.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效益指标完成情况分析。</w:t>
      </w:r>
    </w:p>
    <w:p w:rsidR="00A30B98" w:rsidRDefault="00547F67" w:rsidP="00B42873">
      <w:pPr>
        <w:pStyle w:val="a6"/>
        <w:shd w:val="clear" w:color="auto" w:fill="FFFFFF"/>
        <w:spacing w:line="360" w:lineRule="auto"/>
        <w:ind w:firstLineChars="200" w:firstLine="632"/>
        <w:textAlignment w:val="top"/>
        <w:rPr>
          <w:rFonts w:ascii="Times New Roman" w:eastAsia="仿宋_GB2312" w:hAnsi="Times New Roman"/>
          <w:spacing w:val="-4"/>
          <w:sz w:val="32"/>
          <w:szCs w:val="32"/>
          <w:lang w:eastAsia="zh-CN"/>
        </w:rPr>
      </w:pPr>
      <w:r>
        <w:rPr>
          <w:rFonts w:ascii="Times New Roman" w:eastAsia="仿宋_GB2312" w:hAnsi="Times New Roman"/>
          <w:spacing w:val="-4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pacing w:val="-4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pacing w:val="-4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/>
          <w:spacing w:val="-4"/>
          <w:sz w:val="32"/>
          <w:szCs w:val="32"/>
          <w:lang w:eastAsia="zh-CN"/>
        </w:rPr>
        <w:t>社会效益。</w:t>
      </w:r>
    </w:p>
    <w:p w:rsidR="00A30B98" w:rsidRDefault="00547F67" w:rsidP="00B42873">
      <w:pPr>
        <w:adjustRightInd w:val="0"/>
        <w:spacing w:line="360" w:lineRule="auto"/>
        <w:ind w:firstLineChars="200" w:firstLine="632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食品：</w:t>
      </w:r>
      <w:r>
        <w:rPr>
          <w:rFonts w:ascii="仿宋_GB2312" w:eastAsia="仿宋_GB2312" w:hint="eastAsia"/>
          <w:sz w:val="32"/>
          <w:szCs w:val="32"/>
          <w:lang w:eastAsia="zh-CN"/>
        </w:rPr>
        <w:t>公众饮食安全意识在逐步提高，食品安全监管能力在不断提升，食品小作坊食品安全保障能力不断强化，加大了宣传力度，市场监管的影响力渐渐提高，创新了一些监管方法，更加高效的进行食品安全监管，食品安全监管水平在不断提高，打击各种假冒伪劣产品制销行为，全年无因食品质量问题引发的安全事故发生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药品：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年辖区内“两品一械”安全风险得到有效管控，假冒伪劣产品制售行为得到有效打击，重大安全监管责任事件发生为</w:t>
      </w:r>
      <w:r>
        <w:rPr>
          <w:rFonts w:ascii="仿宋_GB2312" w:eastAsia="仿宋_GB2312" w:hint="eastAsia"/>
          <w:sz w:val="32"/>
          <w:szCs w:val="32"/>
          <w:lang w:eastAsia="zh-CN"/>
        </w:rPr>
        <w:t>0,</w:t>
      </w:r>
      <w:r>
        <w:rPr>
          <w:rFonts w:ascii="仿宋" w:eastAsia="仿宋" w:hAnsi="仿宋" w:hint="eastAsia"/>
          <w:sz w:val="32"/>
          <w:szCs w:val="32"/>
          <w:lang w:eastAsia="zh-CN"/>
        </w:rPr>
        <w:t>公众药械</w:t>
      </w:r>
      <w:r>
        <w:rPr>
          <w:rFonts w:ascii="仿宋" w:eastAsia="仿宋" w:hAnsi="仿宋" w:hint="eastAsia"/>
          <w:sz w:val="32"/>
          <w:szCs w:val="32"/>
          <w:lang w:eastAsia="zh-CN"/>
        </w:rPr>
        <w:t>化</w:t>
      </w:r>
      <w:r>
        <w:rPr>
          <w:rFonts w:ascii="仿宋" w:eastAsia="仿宋" w:hAnsi="仿宋" w:hint="eastAsia"/>
          <w:sz w:val="32"/>
          <w:szCs w:val="32"/>
          <w:lang w:eastAsia="zh-CN"/>
        </w:rPr>
        <w:t>安全基本知识、用药用械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用妆</w:t>
      </w:r>
      <w:r>
        <w:rPr>
          <w:rFonts w:ascii="仿宋" w:eastAsia="仿宋" w:hAnsi="仿宋" w:hint="eastAsia"/>
          <w:sz w:val="32"/>
          <w:szCs w:val="32"/>
          <w:lang w:eastAsia="zh-CN"/>
        </w:rPr>
        <w:t>安全常识等水平不断提升，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基层药械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监管人员能力和素质明显增强，</w:t>
      </w:r>
      <w:r>
        <w:rPr>
          <w:rFonts w:ascii="仿宋" w:eastAsia="仿宋" w:hAnsi="仿宋" w:hint="eastAsia"/>
          <w:sz w:val="32"/>
          <w:szCs w:val="32"/>
          <w:lang w:eastAsia="zh-CN"/>
        </w:rPr>
        <w:t>有效</w:t>
      </w:r>
      <w:r>
        <w:rPr>
          <w:rFonts w:ascii="仿宋" w:eastAsia="仿宋" w:hAnsi="仿宋"/>
          <w:sz w:val="32"/>
          <w:szCs w:val="32"/>
          <w:lang w:eastAsia="zh-CN"/>
        </w:rPr>
        <w:t>防范药品</w:t>
      </w:r>
      <w:r>
        <w:rPr>
          <w:rFonts w:ascii="仿宋" w:eastAsia="仿宋" w:hAnsi="仿宋"/>
          <w:sz w:val="32"/>
          <w:szCs w:val="32"/>
          <w:lang w:eastAsia="zh-CN"/>
        </w:rPr>
        <w:t>安全系统性风险，</w:t>
      </w:r>
      <w:r>
        <w:rPr>
          <w:rFonts w:ascii="仿宋" w:eastAsia="仿宋" w:hAnsi="仿宋" w:hint="eastAsia"/>
          <w:sz w:val="32"/>
          <w:szCs w:val="32"/>
          <w:lang w:eastAsia="zh-CN"/>
        </w:rPr>
        <w:t>扎实、稳步、有力、有序推进年度各项工作。</w:t>
      </w:r>
    </w:p>
    <w:p w:rsidR="00A30B98" w:rsidRDefault="00547F67">
      <w:pPr>
        <w:adjustRightInd w:val="0"/>
        <w:spacing w:line="360" w:lineRule="auto"/>
        <w:ind w:left="624"/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可持续影响。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食品：通过宣传，民众的食品安全意识有了较大提升，对假冒伪劣食品各种举报，没有重大安全事故发生，采取了智慧监管，提高了监管效率和水平，监管队伍的装备和执法水平不断提升，全年无重大食品安全事故发生，食品安全监管能力和水平较期初有很大提升。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仿宋_GB2312" w:eastAsia="仿宋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药品：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我局药械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化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安全监管工作始终</w:t>
      </w:r>
      <w:r>
        <w:rPr>
          <w:rFonts w:ascii="仿宋" w:eastAsia="仿宋" w:hAnsi="仿宋" w:hint="eastAsia"/>
          <w:sz w:val="32"/>
          <w:szCs w:val="32"/>
          <w:lang w:eastAsia="zh-CN"/>
        </w:rPr>
        <w:t>紧紧围绕保障公众用药用械安全这一中心，认真落实上级工作部署，严格按照“四个最严”要求，有序推进日常监督管理工作，认真落实好日常监督检查制度，加强对药械经营使用单位的日常监管，确保药械经营单位经营行为持续符合质量管理规范要求，使用单位质量管理制度执行落实到位。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结合我区实际，认真组织开展药品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医疗器械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与化妆品的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各类专项整治行动，进一步强化企业主体责任，规范药械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流通秩序，确保公众用药用械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用妆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安全，增强群众用药用械用妆信心。</w:t>
      </w:r>
    </w:p>
    <w:p w:rsidR="00A30B98" w:rsidRDefault="00547F67" w:rsidP="00B42873">
      <w:pPr>
        <w:adjustRightInd w:val="0"/>
        <w:spacing w:line="360" w:lineRule="auto"/>
        <w:ind w:firstLineChars="200" w:firstLine="632"/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spacing w:val="-4"/>
          <w:sz w:val="32"/>
          <w:szCs w:val="32"/>
          <w:lang w:eastAsia="zh-CN"/>
        </w:rPr>
        <w:t>满意度指标完成情况分析。</w:t>
      </w:r>
    </w:p>
    <w:p w:rsidR="00A30B98" w:rsidRDefault="00547F67" w:rsidP="00B42873">
      <w:pPr>
        <w:adjustRightInd w:val="0"/>
        <w:spacing w:line="360" w:lineRule="auto"/>
        <w:ind w:firstLineChars="200" w:firstLine="632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  <w:lang w:eastAsia="zh-CN"/>
        </w:rPr>
        <w:t>服务对象满意度指标。</w:t>
      </w:r>
      <w:r>
        <w:rPr>
          <w:rFonts w:ascii="仿宋_GB2312" w:eastAsia="仿宋_GB2312" w:hint="eastAsia"/>
          <w:sz w:val="32"/>
          <w:szCs w:val="32"/>
          <w:lang w:eastAsia="zh-CN"/>
        </w:rPr>
        <w:t>通过宣传和日常执法，进一步提长了我</w:t>
      </w:r>
      <w:r>
        <w:rPr>
          <w:rFonts w:ascii="仿宋_GB2312" w:eastAsia="仿宋_GB2312" w:hint="eastAsia"/>
          <w:sz w:val="32"/>
          <w:szCs w:val="32"/>
          <w:lang w:eastAsia="zh-CN"/>
        </w:rPr>
        <w:t>区</w:t>
      </w:r>
      <w:r>
        <w:rPr>
          <w:rFonts w:ascii="仿宋_GB2312" w:eastAsia="仿宋_GB2312" w:hint="eastAsia"/>
          <w:sz w:val="32"/>
          <w:szCs w:val="32"/>
          <w:lang w:eastAsia="zh-CN"/>
        </w:rPr>
        <w:t>的食品、药品安全，采取专项整治，查处一批不</w:t>
      </w: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合格食品药品，保障</w:t>
      </w:r>
      <w:r>
        <w:rPr>
          <w:rFonts w:ascii="仿宋_GB2312" w:eastAsia="仿宋_GB2312" w:hint="eastAsia"/>
          <w:sz w:val="32"/>
          <w:szCs w:val="32"/>
          <w:lang w:eastAsia="zh-CN"/>
        </w:rPr>
        <w:t>柴桑区</w:t>
      </w:r>
      <w:r>
        <w:rPr>
          <w:rFonts w:ascii="仿宋_GB2312" w:eastAsia="仿宋_GB2312" w:hint="eastAsia"/>
          <w:sz w:val="32"/>
          <w:szCs w:val="32"/>
          <w:lang w:eastAsia="zh-CN"/>
        </w:rPr>
        <w:t>内饮食用药安全，人民群众对我</w:t>
      </w:r>
      <w:r>
        <w:rPr>
          <w:rFonts w:ascii="仿宋_GB2312" w:eastAsia="仿宋_GB2312" w:hint="eastAsia"/>
          <w:sz w:val="32"/>
          <w:szCs w:val="32"/>
          <w:lang w:eastAsia="zh-CN"/>
        </w:rPr>
        <w:t>区</w:t>
      </w:r>
      <w:r>
        <w:rPr>
          <w:rFonts w:ascii="仿宋_GB2312" w:eastAsia="仿宋_GB2312" w:hint="eastAsia"/>
          <w:sz w:val="32"/>
          <w:szCs w:val="32"/>
          <w:lang w:eastAsia="zh-CN"/>
        </w:rPr>
        <w:t>的食品药品监管的满意度不断提升，市场监管部门在群众中的影响力也在不断加大。</w:t>
      </w:r>
    </w:p>
    <w:p w:rsidR="00A30B98" w:rsidRDefault="00A30B98">
      <w:pPr>
        <w:spacing w:before="15" w:line="360" w:lineRule="auto"/>
        <w:ind w:right="906" w:firstLineChars="100" w:firstLine="320"/>
        <w:rPr>
          <w:rFonts w:ascii="仿宋" w:eastAsia="仿宋" w:hAnsi="仿宋"/>
          <w:sz w:val="32"/>
          <w:szCs w:val="32"/>
          <w:lang w:eastAsia="zh-CN"/>
        </w:rPr>
      </w:pPr>
    </w:p>
    <w:p w:rsidR="00A30B98" w:rsidRDefault="00547F67">
      <w:pPr>
        <w:numPr>
          <w:ilvl w:val="0"/>
          <w:numId w:val="4"/>
        </w:numPr>
        <w:spacing w:line="360" w:lineRule="auto"/>
        <w:rPr>
          <w:rFonts w:ascii="仿宋" w:eastAsia="仿宋" w:hAnsi="仿宋"/>
          <w:b/>
          <w:w w:val="105"/>
          <w:sz w:val="32"/>
          <w:szCs w:val="32"/>
          <w:lang w:eastAsia="zh-CN"/>
        </w:rPr>
      </w:pPr>
      <w:r>
        <w:rPr>
          <w:rFonts w:ascii="仿宋" w:eastAsia="仿宋" w:hAnsi="仿宋"/>
          <w:b/>
          <w:w w:val="105"/>
          <w:sz w:val="32"/>
          <w:szCs w:val="32"/>
          <w:lang w:eastAsia="zh-CN"/>
        </w:rPr>
        <w:t>绩效自评结果拟应用和公开情况</w:t>
      </w:r>
    </w:p>
    <w:p w:rsidR="00A30B98" w:rsidRDefault="00547F67">
      <w:pPr>
        <w:adjustRightInd w:val="0"/>
        <w:spacing w:line="360" w:lineRule="auto"/>
        <w:ind w:firstLineChars="200" w:firstLine="640"/>
        <w:rPr>
          <w:rFonts w:ascii="Times New Roman" w:eastAsia="黑体" w:hAnsi="Times New Roman" w:cs="Times New Roman"/>
          <w:spacing w:val="-4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年项目的开展，资金支出的管理、使用、产出效益自评结论为：“优秀”。通过资金的投入，切实用于食品药品安全监管及队伍能力建设，能有效防范</w:t>
      </w:r>
      <w:r>
        <w:rPr>
          <w:rFonts w:ascii="仿宋_GB2312" w:eastAsia="仿宋_GB2312"/>
          <w:sz w:val="32"/>
          <w:szCs w:val="32"/>
          <w:lang w:eastAsia="zh-CN"/>
        </w:rPr>
        <w:t>食品</w:t>
      </w:r>
      <w:r>
        <w:rPr>
          <w:rFonts w:ascii="仿宋_GB2312" w:eastAsia="仿宋_GB2312" w:hint="eastAsia"/>
          <w:sz w:val="32"/>
          <w:szCs w:val="32"/>
          <w:lang w:eastAsia="zh-CN"/>
        </w:rPr>
        <w:t>药品安全事件的发生，促进基层食品药品监管能力的提升，有效保障和维护人民群众的生命财产安全，取得了较好的社会效益。高度重视绩效评价结果的应用工作，积极探索和建立一套与预算管理相结合、多渠道应用评价结果的有效机制，着力提高绩效意识和财政资金使用效益。</w:t>
      </w:r>
    </w:p>
    <w:p w:rsidR="00A30B98" w:rsidRDefault="00A30B98">
      <w:pPr>
        <w:spacing w:line="360" w:lineRule="auto"/>
        <w:rPr>
          <w:rFonts w:ascii="仿宋" w:eastAsia="仿宋" w:hAnsi="仿宋"/>
          <w:b/>
          <w:w w:val="105"/>
          <w:sz w:val="32"/>
          <w:szCs w:val="32"/>
          <w:lang w:eastAsia="zh-CN"/>
        </w:rPr>
      </w:pPr>
    </w:p>
    <w:p w:rsidR="00A30B98" w:rsidRDefault="00547F67">
      <w:pPr>
        <w:spacing w:line="360" w:lineRule="auto"/>
        <w:rPr>
          <w:rFonts w:ascii="仿宋" w:eastAsia="仿宋" w:hAnsi="仿宋"/>
          <w:b/>
          <w:w w:val="105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w w:val="105"/>
          <w:sz w:val="32"/>
          <w:szCs w:val="32"/>
          <w:lang w:eastAsia="zh-CN"/>
        </w:rPr>
        <w:t>四</w:t>
      </w:r>
      <w:r>
        <w:rPr>
          <w:rFonts w:ascii="仿宋" w:eastAsia="仿宋" w:hAnsi="仿宋"/>
          <w:b/>
          <w:w w:val="105"/>
          <w:sz w:val="32"/>
          <w:szCs w:val="32"/>
          <w:lang w:eastAsia="zh-CN"/>
        </w:rPr>
        <w:t>、其他需要说明的问题</w:t>
      </w:r>
    </w:p>
    <w:p w:rsidR="00A30B98" w:rsidRDefault="00547F67" w:rsidP="00B42873">
      <w:pPr>
        <w:spacing w:line="360" w:lineRule="auto"/>
        <w:ind w:firstLineChars="150" w:firstLine="454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w w:val="95"/>
          <w:sz w:val="32"/>
          <w:szCs w:val="32"/>
          <w:lang w:eastAsia="zh-CN"/>
        </w:rPr>
        <w:t>各级</w:t>
      </w:r>
      <w:r>
        <w:rPr>
          <w:rFonts w:ascii="仿宋" w:eastAsia="仿宋" w:hAnsi="仿宋"/>
          <w:w w:val="95"/>
          <w:sz w:val="32"/>
          <w:szCs w:val="32"/>
          <w:lang w:eastAsia="zh-CN"/>
        </w:rPr>
        <w:t>巡视、审计和财政监督</w:t>
      </w:r>
      <w:r>
        <w:rPr>
          <w:rFonts w:ascii="仿宋" w:eastAsia="仿宋" w:hAnsi="仿宋" w:hint="eastAsia"/>
          <w:w w:val="95"/>
          <w:sz w:val="32"/>
          <w:szCs w:val="32"/>
          <w:lang w:eastAsia="zh-CN"/>
        </w:rPr>
        <w:t>转移支付情况</w:t>
      </w:r>
      <w:r>
        <w:rPr>
          <w:rFonts w:ascii="仿宋" w:eastAsia="仿宋" w:hAnsi="仿宋"/>
          <w:w w:val="95"/>
          <w:sz w:val="32"/>
          <w:szCs w:val="32"/>
          <w:lang w:eastAsia="zh-CN"/>
        </w:rPr>
        <w:t>中</w:t>
      </w:r>
      <w:r>
        <w:rPr>
          <w:rFonts w:ascii="仿宋" w:eastAsia="仿宋" w:hAnsi="仿宋" w:hint="eastAsia"/>
          <w:w w:val="95"/>
          <w:sz w:val="32"/>
          <w:szCs w:val="32"/>
          <w:lang w:eastAsia="zh-CN"/>
        </w:rPr>
        <w:t>未</w:t>
      </w:r>
      <w:r>
        <w:rPr>
          <w:rFonts w:ascii="仿宋" w:eastAsia="仿宋" w:hAnsi="仿宋"/>
          <w:w w:val="95"/>
          <w:sz w:val="32"/>
          <w:szCs w:val="32"/>
          <w:lang w:eastAsia="zh-CN"/>
        </w:rPr>
        <w:t>发现</w:t>
      </w:r>
      <w:r>
        <w:rPr>
          <w:rFonts w:ascii="仿宋" w:eastAsia="仿宋" w:hAnsi="仿宋" w:hint="eastAsia"/>
          <w:w w:val="95"/>
          <w:sz w:val="32"/>
          <w:szCs w:val="32"/>
          <w:lang w:eastAsia="zh-CN"/>
        </w:rPr>
        <w:t>任何</w:t>
      </w:r>
      <w:r>
        <w:rPr>
          <w:rFonts w:ascii="仿宋" w:eastAsia="仿宋" w:hAnsi="仿宋"/>
          <w:w w:val="95"/>
          <w:sz w:val="32"/>
          <w:szCs w:val="32"/>
          <w:lang w:eastAsia="zh-CN"/>
        </w:rPr>
        <w:t>问题</w:t>
      </w:r>
      <w:r>
        <w:rPr>
          <w:rFonts w:ascii="仿宋" w:eastAsia="仿宋" w:hAnsi="仿宋"/>
          <w:sz w:val="32"/>
          <w:szCs w:val="32"/>
          <w:lang w:eastAsia="zh-CN"/>
        </w:rPr>
        <w:t>。</w:t>
      </w:r>
    </w:p>
    <w:p w:rsidR="00A30B98" w:rsidRDefault="00A30B98">
      <w:pPr>
        <w:pStyle w:val="a3"/>
        <w:spacing w:line="360" w:lineRule="auto"/>
        <w:ind w:firstLineChars="565" w:firstLine="1808"/>
        <w:rPr>
          <w:rFonts w:ascii="仿宋" w:eastAsia="仿宋" w:hAnsi="仿宋"/>
          <w:sz w:val="32"/>
          <w:szCs w:val="32"/>
          <w:lang w:eastAsia="zh-CN"/>
        </w:rPr>
      </w:pPr>
    </w:p>
    <w:p w:rsidR="00A30B98" w:rsidRDefault="00A30B98">
      <w:pPr>
        <w:pStyle w:val="a3"/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bookmarkStart w:id="2" w:name="_GoBack"/>
      <w:bookmarkEnd w:id="2"/>
    </w:p>
    <w:sectPr w:rsidR="00A30B98" w:rsidSect="00A30B98">
      <w:pgSz w:w="1190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67" w:rsidRDefault="00547F67" w:rsidP="00B42873">
      <w:r>
        <w:separator/>
      </w:r>
    </w:p>
  </w:endnote>
  <w:endnote w:type="continuationSeparator" w:id="1">
    <w:p w:rsidR="00547F67" w:rsidRDefault="00547F67" w:rsidP="00B4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67" w:rsidRDefault="00547F67" w:rsidP="00B42873">
      <w:r>
        <w:separator/>
      </w:r>
    </w:p>
  </w:footnote>
  <w:footnote w:type="continuationSeparator" w:id="1">
    <w:p w:rsidR="00547F67" w:rsidRDefault="00547F67" w:rsidP="00B42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A93E65"/>
    <w:multiLevelType w:val="singleLevel"/>
    <w:tmpl w:val="EBA93E6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507B50"/>
    <w:multiLevelType w:val="singleLevel"/>
    <w:tmpl w:val="09507B5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BFBA0"/>
    <w:multiLevelType w:val="singleLevel"/>
    <w:tmpl w:val="58DBFBA0"/>
    <w:lvl w:ilvl="0">
      <w:start w:val="2"/>
      <w:numFmt w:val="decimal"/>
      <w:suff w:val="nothing"/>
      <w:lvlText w:val="（%1）"/>
      <w:lvlJc w:val="left"/>
    </w:lvl>
  </w:abstractNum>
  <w:abstractNum w:abstractNumId="3">
    <w:nsid w:val="78BAC138"/>
    <w:multiLevelType w:val="singleLevel"/>
    <w:tmpl w:val="78BAC138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OTk1M2ZmYmU0Y2RmYmJjODQwNzg5ZTkzNWZjYjAxNWMifQ=="/>
  </w:docVars>
  <w:rsids>
    <w:rsidRoot w:val="00DF67F2"/>
    <w:rsid w:val="001D32CE"/>
    <w:rsid w:val="00211072"/>
    <w:rsid w:val="002D3BA7"/>
    <w:rsid w:val="00336D4B"/>
    <w:rsid w:val="00345509"/>
    <w:rsid w:val="00353697"/>
    <w:rsid w:val="00407A1E"/>
    <w:rsid w:val="00547F67"/>
    <w:rsid w:val="005E719C"/>
    <w:rsid w:val="006B1880"/>
    <w:rsid w:val="0089218C"/>
    <w:rsid w:val="008E31E3"/>
    <w:rsid w:val="00A1736A"/>
    <w:rsid w:val="00A30B98"/>
    <w:rsid w:val="00A463A2"/>
    <w:rsid w:val="00B365E7"/>
    <w:rsid w:val="00B42873"/>
    <w:rsid w:val="00CC2A28"/>
    <w:rsid w:val="00CE1C10"/>
    <w:rsid w:val="00DF67F2"/>
    <w:rsid w:val="00E15864"/>
    <w:rsid w:val="00E32C9D"/>
    <w:rsid w:val="00ED2F67"/>
    <w:rsid w:val="1D0E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B98"/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30B98"/>
    <w:rPr>
      <w:sz w:val="30"/>
      <w:szCs w:val="30"/>
    </w:rPr>
  </w:style>
  <w:style w:type="paragraph" w:styleId="a4">
    <w:name w:val="footer"/>
    <w:basedOn w:val="a"/>
    <w:link w:val="Char"/>
    <w:uiPriority w:val="99"/>
    <w:semiHidden/>
    <w:unhideWhenUsed/>
    <w:rsid w:val="00A30B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3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30B98"/>
    <w:rPr>
      <w:rFonts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A30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30B98"/>
    <w:pPr>
      <w:ind w:left="20"/>
      <w:outlineLvl w:val="1"/>
    </w:pPr>
    <w:rPr>
      <w:sz w:val="33"/>
      <w:szCs w:val="33"/>
    </w:rPr>
  </w:style>
  <w:style w:type="paragraph" w:customStyle="1" w:styleId="Heading2">
    <w:name w:val="Heading 2"/>
    <w:basedOn w:val="a"/>
    <w:uiPriority w:val="1"/>
    <w:qFormat/>
    <w:rsid w:val="00A30B98"/>
    <w:pPr>
      <w:spacing w:before="7"/>
      <w:ind w:left="793"/>
      <w:outlineLvl w:val="2"/>
    </w:pPr>
    <w:rPr>
      <w:sz w:val="31"/>
      <w:szCs w:val="31"/>
    </w:rPr>
  </w:style>
  <w:style w:type="paragraph" w:styleId="a7">
    <w:name w:val="List Paragraph"/>
    <w:basedOn w:val="a"/>
    <w:uiPriority w:val="1"/>
    <w:qFormat/>
    <w:rsid w:val="00A30B98"/>
    <w:pPr>
      <w:spacing w:before="207"/>
      <w:ind w:left="2725" w:hanging="319"/>
    </w:pPr>
  </w:style>
  <w:style w:type="paragraph" w:customStyle="1" w:styleId="TableParagraph">
    <w:name w:val="Table Paragraph"/>
    <w:basedOn w:val="a"/>
    <w:uiPriority w:val="1"/>
    <w:qFormat/>
    <w:rsid w:val="00A30B98"/>
  </w:style>
  <w:style w:type="character" w:customStyle="1" w:styleId="Char0">
    <w:name w:val="页眉 Char"/>
    <w:basedOn w:val="a0"/>
    <w:link w:val="a5"/>
    <w:uiPriority w:val="99"/>
    <w:semiHidden/>
    <w:rsid w:val="00A30B98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A30B98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</dc:subject>
  <dc:creator>Administrator</dc:creator>
  <cp:lastModifiedBy>xf</cp:lastModifiedBy>
  <cp:revision>9</cp:revision>
  <dcterms:created xsi:type="dcterms:W3CDTF">2021-04-08T02:33:00Z</dcterms:created>
  <dcterms:modified xsi:type="dcterms:W3CDTF">2022-11-05T01:50:00Z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Doro PDF Writer [1.85] [http://j.mp/the_sz]</vt:lpwstr>
  </property>
  <property fmtid="{D5CDD505-2E9C-101B-9397-08002B2CF9AE}" pid="4" name="LastSaved">
    <vt:filetime>2021-04-08T00:00:00Z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DBC3115BC82941BF80E924C439969D5C</vt:lpwstr>
  </property>
</Properties>
</file>