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458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F7DA79A">
      <w:pPr>
        <w:jc w:val="both"/>
        <w:rPr>
          <w:rFonts w:hint="eastAsia" w:ascii="黑体" w:hAnsi="黑体" w:eastAsia="黑体" w:cs="黑体"/>
          <w:b w:val="0"/>
          <w:bCs w:val="0"/>
          <w:sz w:val="32"/>
          <w:szCs w:val="32"/>
          <w:lang w:val="en-US" w:eastAsia="zh-CN"/>
        </w:rPr>
      </w:pPr>
    </w:p>
    <w:p w14:paraId="15F97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柴桑区市场监管</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5</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市场监管部门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市场监管部门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市场监管部门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市场监管</w:t>
      </w:r>
      <w:r>
        <w:rPr>
          <w:rFonts w:hint="eastAsia" w:ascii="仿宋_GB2312" w:eastAsia="仿宋_GB2312"/>
          <w:b/>
          <w:sz w:val="44"/>
          <w:szCs w:val="44"/>
          <w:lang w:eastAsia="zh-CN"/>
        </w:rPr>
        <w:t>部门</w:t>
      </w:r>
      <w:r>
        <w:rPr>
          <w:rFonts w:hint="eastAsia" w:ascii="仿宋_GB2312" w:eastAsia="仿宋_GB2312"/>
          <w:b/>
          <w:sz w:val="44"/>
          <w:szCs w:val="44"/>
        </w:rPr>
        <w:t>概况</w:t>
      </w:r>
    </w:p>
    <w:p w14:paraId="581AFF20">
      <w:pPr>
        <w:widowControl/>
        <w:spacing w:line="580" w:lineRule="exact"/>
        <w:jc w:val="left"/>
        <w:rPr>
          <w:rFonts w:ascii="宋体" w:hAnsi="宋体"/>
          <w:b/>
          <w:sz w:val="36"/>
          <w:szCs w:val="36"/>
        </w:rPr>
      </w:pPr>
    </w:p>
    <w:p w14:paraId="4EFC4D82">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14:paraId="7EC155BF">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w:t>
      </w:r>
      <w:r>
        <w:rPr>
          <w:rFonts w:hint="eastAsia" w:ascii="Adobe 仿宋 Std R" w:hAnsi="Adobe 仿宋 Std R" w:eastAsia="Adobe 仿宋 Std R"/>
          <w:sz w:val="32"/>
          <w:szCs w:val="30"/>
        </w:rPr>
        <w:t xml:space="preserve"> </w:t>
      </w:r>
      <w:r>
        <w:rPr>
          <w:rFonts w:hint="eastAsia" w:ascii="仿宋_GB2312" w:hAnsi="仿宋" w:eastAsia="仿宋_GB2312" w:cs="Times New Roman"/>
          <w:sz w:val="32"/>
          <w:szCs w:val="32"/>
        </w:rPr>
        <w:t>贯彻执行国家、省、市有关工商行政管理、质量技术监督、物价监督、食品药品监督管理等方面的法律法规、规章政策和标准规范；依法开展市场监督管理和行政执法的有关工作。</w:t>
      </w:r>
    </w:p>
    <w:p w14:paraId="18C65034">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2.拟订并组织实施市场监督管理事业发展规划和检验机构建设规划；组织实施商标战略；推进实施名牌产品战略和质量振新工作；参与制定商品交易市场发展规划；负责市场管理信息化建设工作。</w:t>
      </w:r>
    </w:p>
    <w:p w14:paraId="0800FCF8">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3.承担食品安全委员会的日常工作；负责食品安全监督管理综合协调，健全协调联动机制；督促有关部门和乡镇履行食品安全监督管理职责，并负责检查、考核评价工作。</w:t>
      </w:r>
    </w:p>
    <w:p w14:paraId="3500AE12">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4.负责食品安全应急体系和能力建设，组织拟订食品安全应急预案；牵头食品安全重大事故调查工作，组织、指导并监督食品安全突发事件调查处置工作；负责统一发布重大食品安全信息。</w:t>
      </w:r>
    </w:p>
    <w:p w14:paraId="61C73792">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5.负责指导和规范个体工商户登记注册工作；依法查处取缔无证无照生产经营行为。</w:t>
      </w:r>
    </w:p>
    <w:p w14:paraId="42ECCE86">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6.负责市场和网络交易行为及有关服务行为的监督管理，依法规范和维护市场经营秩序。负责反垄断执法，依法查处不正当竞争等经济违法案件；负责组织建设电子商务信用体系、监管体系；依法监管经纪人、经纪机构及经纪活动；负责直销企业和直销员及其直销活动的监督管理，依法查处违法直销和传销案件；负责拍卖行为的监督管理。</w:t>
      </w:r>
    </w:p>
    <w:p w14:paraId="5F41749E">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7.负责生产加工、流通领域商品质量监管，开展有关服务领域消费维权工作，承担消费者权益保护责任，建立消费者权益保护体系。</w:t>
      </w:r>
    </w:p>
    <w:p w14:paraId="7348EDC1">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8.组织实施合同行政监督管理和合同格式条款备案，规范合同行为；负责动产抵押物登记管理。</w:t>
      </w:r>
    </w:p>
    <w:p w14:paraId="0C5E0A6E">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9.负责商标的监督管理；依法保护商标专用权；负责推荐中国驰名商标、江西省著名商标，组织认定本地知名商标；依法保护特殊标志、官方标志；负责地理标志产品日常监督管理工作；负责广告经营审批及广告活动的监督管理，指导广告业发展。</w:t>
      </w:r>
    </w:p>
    <w:p w14:paraId="19AA00ED">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10.负责产品质量安全监督和认证认可工作，管理产品质量安全强制检验、监督检查和风险监控工作；负责工业产品生产许可证管理，监督管理产品质量安全仲裁检验、鉴定；负责对质量检验机构及相关社会中介组织进行监督管理，对质量认证产品进行监督检查；组织开展产品质量安全专项整治工作，依法查处产品质量违法行为,按分工打击假冒伪劣违法活动。</w:t>
      </w:r>
    </w:p>
    <w:p w14:paraId="25C8F011">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11.负责管理标准化工作。负责推行采用国际标准和国外先进标准工作；负责企业标准备案工作；负责监督管理组织机构代码和商品条码工作；依法查处标准违法行为。</w:t>
      </w:r>
    </w:p>
    <w:p w14:paraId="4514E950">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12.负责管理计量工作。推行法定计量单位和国家计量制度，依法管理计量器具及量值传递和比对工作；负责规范和监督商品量和市场计量行为。</w:t>
      </w:r>
    </w:p>
    <w:p w14:paraId="53A039D1">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13.负责特种设备安全监察、监督检查工作。监督检查高耗能特种设备节能标准的执行情况；依法查处特种设备违法行为。</w:t>
      </w:r>
    </w:p>
    <w:p w14:paraId="5D86C86D">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14.负责食品生产加工、流通和餐饮环节的监督管理。负责食品生产加工、流通和餐饮许可；组织处置食品安全突发事件；对生产加工环节不安全食品的召回、餐饮环节中餐饮食品安全标准和管理规范的情况进行监督；对流通环节的食品质量进行监测。</w:t>
      </w:r>
    </w:p>
    <w:p w14:paraId="1C22C209">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15.负责保健食品、化妆品生产、经营的监督管理。负责保健食品、化妆品生产、经营许可；监督实施保健食品、化妆品标准和技术规范；组织实施保健食品和化妆品安全性检测和评价、不良反应监测；负责保健食品、化妆品突发安全事故的应急处置。</w:t>
      </w:r>
    </w:p>
    <w:p w14:paraId="3ADE9A58">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16.负责药品研制、生产的监督管理。监督实施国家药品标准、分类管理制度；监督实施药品研制和生产质量管理规范；监督实施中药材生产质量管理规范、中药饮片炮制规范，组织实施中药品种保护制度；负责药品注册的相关工作和监督检查；配合有关部门实施国家基本药物制度；组织开展药品不良反应监测；负责突发性药品安全事故的应急处置。</w:t>
      </w:r>
    </w:p>
    <w:p w14:paraId="60E42FF9">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17.负责药品流通的监督管理。负责药品经营许可，实施药品经营质量管理规范；负责医疗机构使用药品的质量监管；组织实施处方药和非处方药分类管理制度；负责直接接触药品的包装材料和容器的监督管理；负责麻醉药品、精神药品、医疗用毒性药品、放射性药品及戒毒药品的监督管理；负责城乡集贸市场的中药材交易监督管理。</w:t>
      </w:r>
    </w:p>
    <w:p w14:paraId="54AD8EDC">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18.负责医疗器械研制、生产、经营、使用的监督管理。监督实施医疗器械标准和相关质量管理规范，组织开展医疗器械不良事件监测，负责突发性医疗器械安全事故的应急处置。</w:t>
      </w:r>
    </w:p>
    <w:p w14:paraId="4DC2E718">
      <w:pPr>
        <w:widowControl/>
        <w:spacing w:line="580" w:lineRule="exact"/>
        <w:ind w:firstLine="64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19.承办区政府和上级部门交办的其他事项。</w:t>
      </w:r>
    </w:p>
    <w:p w14:paraId="5FACFEF3">
      <w:pPr>
        <w:widowControl/>
        <w:spacing w:line="580" w:lineRule="exact"/>
        <w:ind w:firstLine="640"/>
        <w:jc w:val="left"/>
        <w:rPr>
          <w:rFonts w:ascii="Adobe 仿宋 Std R" w:hAnsi="Adobe 仿宋 Std R" w:eastAsia="Adobe 仿宋 Std R"/>
          <w:color w:val="auto"/>
          <w:sz w:val="32"/>
          <w:szCs w:val="30"/>
        </w:rPr>
      </w:pPr>
    </w:p>
    <w:p w14:paraId="37E19619">
      <w:pPr>
        <w:rPr>
          <w:b/>
          <w:sz w:val="36"/>
          <w:szCs w:val="36"/>
        </w:rPr>
      </w:pPr>
      <w:r>
        <w:rPr>
          <w:rFonts w:hint="eastAsia"/>
          <w:b/>
          <w:sz w:val="36"/>
          <w:szCs w:val="36"/>
        </w:rPr>
        <w:t>二、机构设置及人员情况</w:t>
      </w:r>
    </w:p>
    <w:p w14:paraId="7E0FAFDF">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市场监管部门</w:t>
      </w:r>
      <w:r>
        <w:rPr>
          <w:rFonts w:hint="eastAsia" w:ascii="仿宋" w:hAnsi="仿宋" w:eastAsia="仿宋"/>
          <w:color w:val="auto"/>
          <w:sz w:val="32"/>
          <w:szCs w:val="32"/>
        </w:rPr>
        <w:t>共有预算单位</w:t>
      </w:r>
      <w:r>
        <w:rPr>
          <w:rFonts w:hint="eastAsia" w:ascii="仿宋" w:hAnsi="仿宋" w:eastAsia="仿宋" w:cs="Times New Roman"/>
          <w:color w:val="auto"/>
          <w:kern w:val="0"/>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lang w:eastAsia="zh-CN"/>
        </w:rPr>
        <w:t>柴桑区</w:t>
      </w:r>
      <w:r>
        <w:rPr>
          <w:rFonts w:hint="eastAsia" w:ascii="仿宋" w:hAnsi="仿宋" w:eastAsia="仿宋"/>
          <w:color w:val="auto"/>
          <w:sz w:val="32"/>
          <w:szCs w:val="32"/>
          <w:lang w:val="en-US" w:eastAsia="zh-CN"/>
        </w:rPr>
        <w:t>市场监督管理局1个单位</w:t>
      </w:r>
      <w:r>
        <w:rPr>
          <w:rFonts w:hint="eastAsia" w:ascii="仿宋" w:hAnsi="仿宋" w:eastAsia="仿宋"/>
          <w:color w:val="auto"/>
          <w:sz w:val="32"/>
          <w:szCs w:val="32"/>
        </w:rPr>
        <w:t>。</w:t>
      </w:r>
    </w:p>
    <w:p w14:paraId="098A71E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123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59</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64</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212</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107</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46</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61人，部分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105</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9</w:t>
      </w:r>
      <w:r>
        <w:rPr>
          <w:rFonts w:ascii="仿宋" w:hAnsi="仿宋" w:eastAsia="仿宋"/>
          <w:sz w:val="32"/>
          <w:szCs w:val="32"/>
        </w:rPr>
        <w:t>人。</w:t>
      </w:r>
      <w:r>
        <w:fldChar w:fldCharType="end"/>
      </w:r>
    </w:p>
    <w:p w14:paraId="14E41017">
      <w:pPr>
        <w:widowControl/>
        <w:spacing w:line="580" w:lineRule="exact"/>
        <w:jc w:val="center"/>
        <w:rPr>
          <w:rFonts w:ascii="仿宋_GB2312" w:eastAsia="仿宋_GB2312"/>
          <w:b/>
          <w:szCs w:val="30"/>
        </w:rPr>
      </w:pPr>
    </w:p>
    <w:p w14:paraId="3DD33563">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市场监管部门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年部门预算表</w:t>
      </w:r>
    </w:p>
    <w:p w14:paraId="390770D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544B35B">
      <w:pPr>
        <w:ind w:firstLine="640" w:firstLineChars="200"/>
        <w:jc w:val="left"/>
        <w:rPr>
          <w:rStyle w:val="14"/>
          <w:rFonts w:ascii="仿宋" w:hAnsi="仿宋" w:eastAsia="仿宋"/>
          <w:bCs/>
          <w:sz w:val="32"/>
          <w:szCs w:val="32"/>
        </w:rPr>
      </w:pPr>
    </w:p>
    <w:p w14:paraId="5E4A69CE">
      <w:pPr>
        <w:ind w:firstLine="640" w:firstLineChars="200"/>
        <w:jc w:val="left"/>
        <w:rPr>
          <w:rStyle w:val="14"/>
          <w:rFonts w:ascii="仿宋" w:hAnsi="仿宋" w:eastAsia="仿宋"/>
          <w:bCs/>
          <w:sz w:val="32"/>
          <w:szCs w:val="32"/>
        </w:rPr>
      </w:pPr>
    </w:p>
    <w:p w14:paraId="741BF6C7">
      <w:pPr>
        <w:ind w:firstLine="640" w:firstLineChars="200"/>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市场监管部门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年部门预算情况说明</w:t>
      </w:r>
    </w:p>
    <w:p w14:paraId="6CD79518">
      <w:pPr>
        <w:widowControl/>
        <w:spacing w:line="580" w:lineRule="exact"/>
        <w:jc w:val="center"/>
        <w:rPr>
          <w:rFonts w:ascii="仿宋_GB2312" w:eastAsia="仿宋_GB2312"/>
          <w:b/>
          <w:sz w:val="32"/>
          <w:szCs w:val="30"/>
        </w:rPr>
      </w:pPr>
    </w:p>
    <w:p w14:paraId="07A6976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2EF45B9">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02C7A82F">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市场监管部门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2400.67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117.89</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2250.67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7.89</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b w:val="0"/>
          <w:bCs/>
          <w:sz w:val="32"/>
          <w:szCs w:val="32"/>
          <w:lang w:val="en-US" w:eastAsia="zh-CN"/>
        </w:rPr>
        <w:t>与上年安排保持一致</w:t>
      </w:r>
      <w:r>
        <w:rPr>
          <w:rFonts w:ascii="仿宋" w:hAnsi="仿宋" w:eastAsia="仿宋" w:cs="Times New Roman"/>
          <w:kern w:val="0"/>
          <w:sz w:val="32"/>
          <w:szCs w:val="32"/>
        </w:rPr>
        <w:t>;事业收入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b w:val="0"/>
          <w:bCs/>
          <w:sz w:val="32"/>
          <w:szCs w:val="32"/>
          <w:lang w:val="en-US" w:eastAsia="zh-CN"/>
        </w:rPr>
        <w:t>与上年安排保持一致</w:t>
      </w:r>
      <w:r>
        <w:rPr>
          <w:rFonts w:ascii="仿宋" w:hAnsi="仿宋" w:eastAsia="仿宋" w:cs="Times New Roman"/>
          <w:kern w:val="0"/>
          <w:sz w:val="32"/>
          <w:szCs w:val="32"/>
        </w:rPr>
        <w:t>;</w:t>
      </w:r>
      <w:r>
        <w:rPr>
          <w:rFonts w:hint="eastAsia" w:ascii="仿宋" w:hAnsi="仿宋" w:eastAsia="仿宋" w:cs="Times New Roman"/>
          <w:kern w:val="0"/>
          <w:sz w:val="32"/>
          <w:szCs w:val="32"/>
          <w:lang w:val="en-US" w:eastAsia="zh-CN"/>
        </w:rPr>
        <w:t>事业单位经营收入0万元，</w:t>
      </w:r>
      <w:r>
        <w:rPr>
          <w:rFonts w:hint="eastAsia" w:ascii="仿宋" w:hAnsi="仿宋" w:eastAsia="仿宋"/>
          <w:b w:val="0"/>
          <w:bCs/>
          <w:sz w:val="32"/>
          <w:szCs w:val="32"/>
          <w:lang w:val="en-US" w:eastAsia="zh-CN"/>
        </w:rPr>
        <w:t>与上年安排保持一致</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lang w:val="en-US" w:eastAsia="zh-CN"/>
        </w:rPr>
        <w:t>附属单位上缴收入0万元，</w:t>
      </w:r>
      <w:r>
        <w:rPr>
          <w:rFonts w:hint="eastAsia" w:ascii="仿宋" w:hAnsi="仿宋" w:eastAsia="仿宋"/>
          <w:b w:val="0"/>
          <w:bCs/>
          <w:sz w:val="32"/>
          <w:szCs w:val="32"/>
          <w:lang w:val="en-US" w:eastAsia="zh-CN"/>
        </w:rPr>
        <w:t>与上年安排保持一致</w:t>
      </w:r>
      <w:r>
        <w:rPr>
          <w:rFonts w:hint="eastAsia" w:ascii="仿宋" w:hAnsi="仿宋" w:eastAsia="仿宋" w:cs="Times New Roman"/>
          <w:kern w:val="0"/>
          <w:sz w:val="32"/>
          <w:szCs w:val="32"/>
          <w:lang w:val="en-US" w:eastAsia="zh-CN"/>
        </w:rPr>
        <w:t>；上级补助收入0万元，</w:t>
      </w:r>
      <w:r>
        <w:rPr>
          <w:rFonts w:hint="eastAsia" w:ascii="仿宋" w:hAnsi="仿宋" w:eastAsia="仿宋"/>
          <w:b w:val="0"/>
          <w:bCs/>
          <w:sz w:val="32"/>
          <w:szCs w:val="32"/>
          <w:lang w:val="en-US" w:eastAsia="zh-CN"/>
        </w:rPr>
        <w:t>与上年安排保持一致</w:t>
      </w:r>
      <w:r>
        <w:rPr>
          <w:rFonts w:hint="eastAsia" w:ascii="仿宋" w:hAnsi="仿宋" w:eastAsia="仿宋" w:cs="Times New Roman"/>
          <w:kern w:val="0"/>
          <w:sz w:val="32"/>
          <w:szCs w:val="32"/>
          <w:lang w:val="en-US" w:eastAsia="zh-CN"/>
        </w:rPr>
        <w:t>；其他收入150万元，</w:t>
      </w:r>
      <w:r>
        <w:rPr>
          <w:rFonts w:hint="eastAsia" w:ascii="仿宋" w:hAnsi="仿宋" w:eastAsia="仿宋"/>
          <w:b w:val="0"/>
          <w:bCs/>
          <w:sz w:val="32"/>
          <w:szCs w:val="32"/>
          <w:lang w:val="en-US" w:eastAsia="zh-CN"/>
        </w:rPr>
        <w:t>与上年安排保持一致</w:t>
      </w:r>
      <w:r>
        <w:rPr>
          <w:rFonts w:hint="eastAsia" w:ascii="仿宋" w:hAnsi="仿宋" w:eastAsia="仿宋" w:cs="Times New Roman"/>
          <w:kern w:val="0"/>
          <w:sz w:val="32"/>
          <w:szCs w:val="32"/>
          <w:lang w:val="en-US" w:eastAsia="zh-CN"/>
        </w:rPr>
        <w:t>；使用非财政拨款结余0万元，</w:t>
      </w:r>
      <w:r>
        <w:rPr>
          <w:rFonts w:hint="eastAsia" w:ascii="仿宋" w:hAnsi="仿宋" w:eastAsia="仿宋"/>
          <w:b w:val="0"/>
          <w:bCs/>
          <w:sz w:val="32"/>
          <w:szCs w:val="32"/>
          <w:lang w:val="en-US" w:eastAsia="zh-CN"/>
        </w:rPr>
        <w:t>与上年安排保持一致</w:t>
      </w:r>
      <w:r>
        <w:rPr>
          <w:rFonts w:hint="eastAsia" w:ascii="仿宋" w:hAnsi="仿宋" w:eastAsia="仿宋" w:cs="Times New Roman"/>
          <w:kern w:val="0"/>
          <w:sz w:val="32"/>
          <w:szCs w:val="32"/>
          <w:lang w:val="en-US" w:eastAsia="zh-CN"/>
        </w:rPr>
        <w:t>；上年结转（结余）0万元，</w:t>
      </w:r>
      <w:r>
        <w:rPr>
          <w:rFonts w:hint="eastAsia" w:ascii="仿宋" w:hAnsi="仿宋" w:eastAsia="仿宋"/>
          <w:b w:val="0"/>
          <w:bCs/>
          <w:sz w:val="32"/>
          <w:szCs w:val="32"/>
          <w:lang w:val="en-US" w:eastAsia="zh-CN"/>
        </w:rPr>
        <w:t>与上年安排保持一致</w:t>
      </w:r>
      <w:r>
        <w:rPr>
          <w:rFonts w:hint="eastAsia" w:ascii="仿宋" w:hAnsi="仿宋" w:eastAsia="仿宋" w:cs="Times New Roman"/>
          <w:kern w:val="0"/>
          <w:sz w:val="32"/>
          <w:szCs w:val="32"/>
          <w:lang w:val="en-US" w:eastAsia="zh-CN"/>
        </w:rPr>
        <w:t>。</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市场监管</w:t>
      </w:r>
      <w:r>
        <w:rPr>
          <w:rStyle w:val="14"/>
          <w:rFonts w:hint="eastAsia" w:ascii="仿宋" w:hAnsi="仿宋" w:eastAsia="仿宋"/>
          <w:sz w:val="32"/>
          <w:szCs w:val="32"/>
          <w:lang w:eastAsia="zh-CN"/>
        </w:rPr>
        <w:t>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2400.67</w:t>
      </w:r>
      <w:r>
        <w:rPr>
          <w:rStyle w:val="14"/>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117.89</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687B084F">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2170.67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7.89</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1892.69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243.11</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9.87</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230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150</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150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3BE59531">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2225.47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156.21</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ascii="仿宋" w:hAnsi="仿宋" w:eastAsia="仿宋"/>
          <w:sz w:val="32"/>
          <w:szCs w:val="32"/>
        </w:rPr>
        <w:t>;科学技术支出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ascii="仿宋" w:hAnsi="仿宋" w:eastAsia="仿宋"/>
          <w:sz w:val="32"/>
          <w:szCs w:val="32"/>
        </w:rPr>
        <w:t>;</w:t>
      </w:r>
      <w:r>
        <w:rPr>
          <w:rStyle w:val="14"/>
          <w:rFonts w:hint="eastAsia" w:ascii="仿宋" w:hAnsi="仿宋" w:eastAsia="仿宋"/>
          <w:sz w:val="32"/>
          <w:szCs w:val="32"/>
          <w:lang w:val="en-US" w:eastAsia="zh-CN"/>
        </w:rPr>
        <w:t>文化旅游体育与传媒支出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175.20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1.68</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ascii="仿宋" w:hAnsi="仿宋" w:eastAsia="仿宋"/>
          <w:sz w:val="32"/>
          <w:szCs w:val="32"/>
        </w:rPr>
        <w:t>;</w:t>
      </w:r>
      <w:r>
        <w:rPr>
          <w:rStyle w:val="14"/>
          <w:rFonts w:hint="eastAsia" w:ascii="仿宋" w:hAnsi="仿宋" w:eastAsia="仿宋"/>
          <w:sz w:val="32"/>
          <w:szCs w:val="32"/>
          <w:lang w:val="en-US" w:eastAsia="zh-CN"/>
        </w:rPr>
        <w:t>节能环保支出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；城乡社区支出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w:t>
      </w:r>
      <w:r>
        <w:rPr>
          <w:rStyle w:val="14"/>
          <w:rFonts w:ascii="仿宋" w:hAnsi="仿宋" w:eastAsia="仿宋"/>
          <w:sz w:val="32"/>
          <w:szCs w:val="32"/>
        </w:rPr>
        <w:t>农林水支出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ascii="仿宋" w:hAnsi="仿宋" w:eastAsia="仿宋"/>
          <w:sz w:val="32"/>
          <w:szCs w:val="32"/>
        </w:rPr>
        <w:t>;</w:t>
      </w:r>
      <w:r>
        <w:rPr>
          <w:rStyle w:val="14"/>
          <w:rFonts w:hint="eastAsia" w:ascii="仿宋" w:hAnsi="仿宋" w:eastAsia="仿宋"/>
          <w:sz w:val="32"/>
          <w:szCs w:val="32"/>
          <w:lang w:val="en-US" w:eastAsia="zh-CN"/>
        </w:rPr>
        <w:t>交通运输支出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；资源勘探工业信息等支出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；商业服务业等支出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；金融支出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；自然资源海洋气象等支出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；灾害防治及应急管理支出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val="en-US" w:eastAsia="zh-CN"/>
        </w:rPr>
        <w:t>。</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_GB2312" w:hAnsi="仿宋" w:eastAsia="仿宋_GB2312" w:cs="仿宋_GB2312"/>
          <w:sz w:val="32"/>
          <w:szCs w:val="32"/>
          <w:lang w:val="en-US" w:eastAsia="zh-CN"/>
        </w:rPr>
        <w:t>1892.69</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117.9</w:t>
      </w:r>
      <w:r>
        <w:rPr>
          <w:rStyle w:val="14"/>
          <w:rFonts w:ascii="仿宋" w:hAnsi="仿宋" w:eastAsia="仿宋"/>
          <w:sz w:val="32"/>
          <w:szCs w:val="32"/>
        </w:rPr>
        <w:t>万元;商品和服务支出</w:t>
      </w:r>
      <w:r>
        <w:rPr>
          <w:rFonts w:hint="eastAsia" w:ascii="仿宋_GB2312" w:hAnsi="仿宋" w:eastAsia="仿宋_GB2312" w:cs="仿宋_GB2312"/>
          <w:sz w:val="32"/>
          <w:szCs w:val="32"/>
          <w:lang w:val="en-US" w:eastAsia="zh-CN"/>
        </w:rPr>
        <w:t>498.11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144.47</w:t>
      </w:r>
      <w:r>
        <w:rPr>
          <w:rStyle w:val="14"/>
          <w:rFonts w:ascii="仿宋" w:hAnsi="仿宋" w:eastAsia="仿宋"/>
          <w:sz w:val="32"/>
          <w:szCs w:val="32"/>
        </w:rPr>
        <w:t>万元;对个人和家庭的补助</w:t>
      </w:r>
      <w:r>
        <w:rPr>
          <w:rFonts w:hint="eastAsia" w:ascii="仿宋_GB2312" w:hAnsi="仿宋" w:eastAsia="仿宋_GB2312" w:cs="仿宋_GB2312"/>
          <w:sz w:val="32"/>
          <w:szCs w:val="32"/>
          <w:lang w:val="en-US" w:eastAsia="zh-CN"/>
        </w:rPr>
        <w:t>9.87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0.52</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Fonts w:hint="eastAsia" w:ascii="仿宋" w:hAnsi="仿宋" w:eastAsia="仿宋"/>
          <w:b w:val="0"/>
          <w:bCs/>
          <w:sz w:val="32"/>
          <w:szCs w:val="32"/>
          <w:lang w:val="en-US" w:eastAsia="zh-CN"/>
        </w:rPr>
        <w:t>与上年安排保持一致</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ascii="仿宋" w:hAnsi="仿宋" w:eastAsia="仿宋"/>
          <w:sz w:val="32"/>
          <w:szCs w:val="32"/>
        </w:rPr>
        <w:t>;</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Fonts w:hint="eastAsia" w:ascii="仿宋" w:hAnsi="仿宋" w:eastAsia="仿宋"/>
          <w:b w:val="0"/>
          <w:bCs/>
          <w:sz w:val="32"/>
          <w:szCs w:val="32"/>
          <w:lang w:val="en-US" w:eastAsia="zh-CN"/>
        </w:rPr>
        <w:t>与上年安排保持一致</w:t>
      </w:r>
      <w:r>
        <w:rPr>
          <w:rStyle w:val="14"/>
          <w:rFonts w:ascii="仿宋" w:hAnsi="仿宋" w:eastAsia="仿宋"/>
          <w:sz w:val="32"/>
          <w:szCs w:val="32"/>
        </w:rPr>
        <w:t>。</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市场监管部门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_GB2312" w:hAnsi="仿宋" w:eastAsia="仿宋_GB2312" w:cs="仿宋_GB2312"/>
          <w:sz w:val="32"/>
          <w:szCs w:val="32"/>
          <w:lang w:val="en-US" w:eastAsia="zh-CN"/>
        </w:rPr>
        <w:t>2250.67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7.89</w:t>
      </w:r>
      <w:r>
        <w:rPr>
          <w:rStyle w:val="14"/>
          <w:rFonts w:ascii="仿宋" w:hAnsi="仿宋" w:eastAsia="仿宋"/>
          <w:sz w:val="32"/>
          <w:szCs w:val="32"/>
        </w:rPr>
        <w:t>万元;</w:t>
      </w:r>
      <w:r>
        <w:fldChar w:fldCharType="end"/>
      </w:r>
    </w:p>
    <w:p w14:paraId="30776340">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2075.47</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175.2</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3CE4389">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2170.67</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32.11</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1892.69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243.11</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9.87</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230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150</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150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14:paraId="6AF05E5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049E461E">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没有使用政府性基金预算拨款安排的支出</w:t>
      </w:r>
    </w:p>
    <w:p w14:paraId="6CFE99C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4983C159">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没有使用国有资本经营预算拨款安排的支出</w:t>
      </w:r>
    </w:p>
    <w:p w14:paraId="0BB22B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5BE2AB19">
      <w:pPr>
        <w:widowControl/>
        <w:spacing w:line="580" w:lineRule="exact"/>
        <w:ind w:firstLine="640" w:firstLineChars="200"/>
        <w:jc w:val="left"/>
        <w:rPr>
          <w:rFonts w:hint="eastAsia" w:ascii="仿宋_GB2312" w:eastAsia="仿宋_GB2312"/>
          <w:sz w:val="32"/>
          <w:szCs w:val="30"/>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5</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none"/>
          <w:lang w:val="en-US" w:eastAsia="zh-CN"/>
        </w:rPr>
        <w:t>243.11</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年预算减少</w:t>
      </w:r>
      <w:r>
        <w:rPr>
          <w:rFonts w:hint="eastAsia" w:ascii="仿宋_GB2312" w:eastAsia="仿宋_GB2312"/>
          <w:sz w:val="32"/>
          <w:szCs w:val="30"/>
          <w:u w:val="none"/>
          <w:lang w:val="en-US" w:eastAsia="zh-CN"/>
        </w:rPr>
        <w:t>159.52</w:t>
      </w:r>
      <w:r>
        <w:rPr>
          <w:rFonts w:hint="eastAsia" w:ascii="Adobe 仿宋 Std R" w:hAnsi="Adobe 仿宋 Std R" w:eastAsia="Adobe 仿宋 Std R"/>
          <w:sz w:val="32"/>
          <w:szCs w:val="32"/>
        </w:rPr>
        <w:t>万元，下降</w:t>
      </w:r>
      <w:r>
        <w:rPr>
          <w:rFonts w:hint="eastAsia" w:ascii="仿宋_GB2312" w:hAnsi="仿宋" w:eastAsia="仿宋_GB2312" w:cs="仿宋_GB2312"/>
          <w:sz w:val="32"/>
          <w:szCs w:val="32"/>
          <w:lang w:val="en-US" w:eastAsia="zh-CN"/>
        </w:rPr>
        <w:t>39.62</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w:t>
      </w:r>
      <w:r>
        <w:rPr>
          <w:rFonts w:hint="eastAsia" w:ascii="仿宋_GB2312" w:hAnsi="仿宋" w:eastAsia="仿宋_GB2312" w:cs="仿宋_GB2312"/>
          <w:sz w:val="32"/>
          <w:szCs w:val="32"/>
          <w:lang w:val="en-US" w:eastAsia="zh-CN"/>
        </w:rPr>
        <w:t>搬新办公楼开支减少，压缩日常开支。</w:t>
      </w:r>
    </w:p>
    <w:p w14:paraId="06B6277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2BF25682">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14:paraId="313C900E">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71011A7">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eastAsia="zh-CN"/>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lang w:val="en-US" w:eastAsia="zh-CN"/>
        </w:rPr>
        <w:t>10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9</w:t>
      </w:r>
      <w:r>
        <w:rPr>
          <w:rFonts w:ascii="Adobe 仿宋 Std R" w:hAnsi="Adobe 仿宋 Std R" w:eastAsia="Adobe 仿宋 Std R"/>
          <w:sz w:val="32"/>
          <w:szCs w:val="32"/>
        </w:rPr>
        <w:t>辆</w:t>
      </w:r>
      <w:r>
        <w:rPr>
          <w:rFonts w:hint="eastAsia" w:ascii="Adobe 仿宋 Std R" w:hAnsi="Adobe 仿宋 Std R" w:eastAsia="Adobe 仿宋 Std R"/>
          <w:sz w:val="32"/>
          <w:szCs w:val="32"/>
          <w:lang w:eastAsia="zh-CN"/>
        </w:rPr>
        <w:t>，特种车辆</w:t>
      </w:r>
      <w:r>
        <w:rPr>
          <w:rFonts w:hint="eastAsia" w:ascii="Adobe 仿宋 Std R" w:hAnsi="Adobe 仿宋 Std R" w:eastAsia="Adobe 仿宋 Std R"/>
          <w:sz w:val="32"/>
          <w:szCs w:val="32"/>
          <w:lang w:val="en-US" w:eastAsia="zh-CN"/>
        </w:rPr>
        <w:t>1辆</w:t>
      </w:r>
      <w:r>
        <w:rPr>
          <w:rFonts w:ascii="Adobe 仿宋 Std R" w:hAnsi="Adobe 仿宋 Std R" w:eastAsia="Adobe 仿宋 Std R"/>
          <w:sz w:val="32"/>
          <w:szCs w:val="32"/>
        </w:rPr>
        <w:t>。</w:t>
      </w:r>
      <w:r>
        <w:fldChar w:fldCharType="end"/>
      </w:r>
    </w:p>
    <w:p w14:paraId="2190991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none"/>
          <w:lang w:val="en-US" w:eastAsia="zh-CN"/>
        </w:rPr>
        <w:t>1</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lang w:eastAsia="zh-CN"/>
        </w:rPr>
        <w:t>没有</w:t>
      </w:r>
      <w:r>
        <w:rPr>
          <w:rFonts w:hint="eastAsia" w:ascii="Adobe 仿宋 Std R" w:hAnsi="Adobe 仿宋 Std R" w:eastAsia="Adobe 仿宋 Std R"/>
          <w:sz w:val="32"/>
          <w:szCs w:val="32"/>
        </w:rPr>
        <w:t>安排购置单位价值200万元以上大型设备</w:t>
      </w:r>
      <w:r>
        <w:rPr>
          <w:rFonts w:hint="eastAsia" w:ascii="仿宋_GB2312" w:eastAsia="仿宋_GB2312"/>
          <w:sz w:val="32"/>
          <w:szCs w:val="30"/>
        </w:rPr>
        <w:t>。</w:t>
      </w:r>
    </w:p>
    <w:p w14:paraId="0174AC95">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市场监管部门</w:t>
      </w:r>
      <w:r>
        <w:rPr>
          <w:rStyle w:val="14"/>
          <w:rFonts w:hint="eastAsia" w:ascii="楷体_GB2312" w:hAnsi="楷体_GB2312" w:eastAsia="楷体_GB2312" w:cs="楷体_GB2312"/>
          <w:b/>
          <w:bCs w:val="0"/>
          <w:sz w:val="32"/>
          <w:szCs w:val="32"/>
        </w:rPr>
        <w:t>项目情况说明</w:t>
      </w:r>
    </w:p>
    <w:p w14:paraId="4FEB4D4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食品安全抽检</w:t>
      </w:r>
      <w:r>
        <w:rPr>
          <w:rFonts w:hint="eastAsia" w:ascii="Adobe 仿宋 Std R" w:hAnsi="Adobe 仿宋 Std R" w:eastAsia="Adobe 仿宋 Std R"/>
          <w:sz w:val="32"/>
          <w:szCs w:val="32"/>
        </w:rPr>
        <w:t>项目</w:t>
      </w:r>
    </w:p>
    <w:p w14:paraId="3DD2A990">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5FB3A5FF">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完成市局要求我区常驻人口匹配批次食品安全抽查检验任务。</w:t>
      </w:r>
    </w:p>
    <w:p w14:paraId="2529A456">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28D60FF2">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《九市监办字</w:t>
      </w:r>
      <w:r>
        <w:rPr>
          <w:rFonts w:hint="eastAsia" w:ascii="仿宋" w:hAnsi="仿宋" w:eastAsia="仿宋"/>
          <w:sz w:val="32"/>
          <w:szCs w:val="32"/>
        </w:rPr>
        <w:t>﹝2022﹞6号 九江市市场监督管理</w:t>
      </w:r>
      <w:r>
        <w:rPr>
          <w:rFonts w:hint="eastAsia" w:ascii="仿宋" w:hAnsi="仿宋" w:eastAsia="仿宋"/>
          <w:sz w:val="32"/>
          <w:szCs w:val="32"/>
          <w:lang w:eastAsia="zh-CN"/>
        </w:rPr>
        <w:t>局</w:t>
      </w:r>
      <w:r>
        <w:rPr>
          <w:rFonts w:hint="eastAsia" w:ascii="仿宋" w:hAnsi="仿宋" w:eastAsia="仿宋"/>
          <w:sz w:val="32"/>
          <w:szCs w:val="32"/>
        </w:rPr>
        <w:t>关于印发﹤2022年九江市食品安全监督抽检计划﹥的通知</w:t>
      </w:r>
      <w:r>
        <w:rPr>
          <w:rFonts w:hint="eastAsia" w:ascii="Adobe 仿宋 Std R" w:hAnsi="Adobe 仿宋 Std R" w:eastAsia="Adobe 仿宋 Std R"/>
          <w:sz w:val="32"/>
          <w:szCs w:val="32"/>
        </w:rPr>
        <w:t>》</w:t>
      </w:r>
    </w:p>
    <w:p w14:paraId="06128B98">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5FA36C47">
      <w:pPr>
        <w:numPr>
          <w:ilvl w:val="0"/>
          <w:numId w:val="0"/>
        </w:numPr>
        <w:ind w:left="1122" w:leftChars="0"/>
        <w:rPr>
          <w:rFonts w:ascii="Adobe 仿宋 Std R" w:hAnsi="Adobe 仿宋 Std R" w:eastAsia="Adobe 仿宋 Std R"/>
          <w:sz w:val="32"/>
          <w:szCs w:val="32"/>
        </w:rPr>
      </w:pPr>
      <w:r>
        <w:rPr>
          <w:rFonts w:hint="eastAsia" w:ascii="Adobe 仿宋 Std R" w:hAnsi="Adobe 仿宋 Std R" w:eastAsia="Adobe 仿宋 Std R"/>
          <w:sz w:val="32"/>
          <w:szCs w:val="32"/>
        </w:rPr>
        <w:t>柴桑区市场监督管理局</w:t>
      </w:r>
    </w:p>
    <w:p w14:paraId="0EC1D815">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3FF9D7EE">
      <w:pPr>
        <w:numPr>
          <w:ilvl w:val="0"/>
          <w:numId w:val="0"/>
        </w:numPr>
        <w:ind w:firstLine="960" w:firstLineChars="300"/>
        <w:jc w:val="left"/>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全年</w:t>
      </w:r>
      <w:r>
        <w:rPr>
          <w:rFonts w:hint="eastAsia" w:ascii="Adobe 仿宋 Std R" w:hAnsi="Adobe 仿宋 Std R" w:eastAsia="Adobe 仿宋 Std R"/>
          <w:sz w:val="32"/>
          <w:szCs w:val="32"/>
        </w:rPr>
        <w:t>完成</w:t>
      </w:r>
      <w:r>
        <w:rPr>
          <w:rFonts w:hint="eastAsia" w:ascii="Adobe 仿宋 Std R" w:hAnsi="Adobe 仿宋 Std R" w:eastAsia="Adobe 仿宋 Std R"/>
          <w:sz w:val="32"/>
          <w:szCs w:val="32"/>
          <w:lang w:eastAsia="zh-CN"/>
        </w:rPr>
        <w:t>食品安全监督检查不少于</w:t>
      </w:r>
      <w:r>
        <w:rPr>
          <w:rFonts w:hint="eastAsia" w:ascii="Adobe 仿宋 Std R" w:hAnsi="Adobe 仿宋 Std R" w:eastAsia="Adobe 仿宋 Std R"/>
          <w:sz w:val="32"/>
          <w:szCs w:val="32"/>
          <w:lang w:val="en-US" w:eastAsia="zh-CN"/>
        </w:rPr>
        <w:t>100人次，完成</w:t>
      </w:r>
      <w:r>
        <w:rPr>
          <w:rFonts w:hint="eastAsia" w:ascii="Adobe 仿宋 Std R" w:hAnsi="Adobe 仿宋 Std R" w:eastAsia="Adobe 仿宋 Std R"/>
          <w:sz w:val="32"/>
          <w:szCs w:val="32"/>
        </w:rPr>
        <w:t>全区</w:t>
      </w:r>
      <w:r>
        <w:rPr>
          <w:rFonts w:hint="eastAsia" w:ascii="Adobe 仿宋 Std R" w:hAnsi="Adobe 仿宋 Std R" w:eastAsia="Adobe 仿宋 Std R"/>
          <w:sz w:val="32"/>
          <w:szCs w:val="32"/>
          <w:lang w:val="en-US" w:eastAsia="zh-CN"/>
        </w:rPr>
        <w:t>600</w:t>
      </w:r>
      <w:r>
        <w:rPr>
          <w:rFonts w:hint="eastAsia" w:ascii="Adobe 仿宋 Std R" w:hAnsi="Adobe 仿宋 Std R" w:eastAsia="Adobe 仿宋 Std R"/>
          <w:sz w:val="32"/>
          <w:szCs w:val="32"/>
        </w:rPr>
        <w:t>批次匹配</w:t>
      </w:r>
      <w:r>
        <w:rPr>
          <w:rFonts w:hint="eastAsia" w:ascii="Adobe 仿宋 Std R" w:hAnsi="Adobe 仿宋 Std R" w:eastAsia="Adobe 仿宋 Std R"/>
          <w:sz w:val="32"/>
          <w:szCs w:val="32"/>
          <w:lang w:eastAsia="zh-CN"/>
        </w:rPr>
        <w:t>食品安全抽查检测</w:t>
      </w:r>
      <w:r>
        <w:rPr>
          <w:rFonts w:hint="eastAsia" w:ascii="Adobe 仿宋 Std R" w:hAnsi="Adobe 仿宋 Std R" w:eastAsia="Adobe 仿宋 Std R"/>
          <w:sz w:val="32"/>
          <w:szCs w:val="32"/>
        </w:rPr>
        <w:t>任务</w:t>
      </w:r>
      <w:r>
        <w:rPr>
          <w:rFonts w:hint="eastAsia" w:ascii="Adobe 仿宋 Std R" w:hAnsi="Adobe 仿宋 Std R" w:eastAsia="Adobe 仿宋 Std R"/>
          <w:sz w:val="32"/>
          <w:szCs w:val="32"/>
          <w:lang w:eastAsia="zh-CN"/>
        </w:rPr>
        <w:t>，抽检不合格处置率需达到</w:t>
      </w:r>
      <w:r>
        <w:rPr>
          <w:rFonts w:hint="eastAsia" w:ascii="Adobe 仿宋 Std R" w:hAnsi="Adobe 仿宋 Std R" w:eastAsia="Adobe 仿宋 Std R"/>
          <w:sz w:val="32"/>
          <w:szCs w:val="32"/>
          <w:lang w:val="en-US" w:eastAsia="zh-CN"/>
        </w:rPr>
        <w:t>100%。</w:t>
      </w:r>
    </w:p>
    <w:p w14:paraId="736E6FD3">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05CDEF4D">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实施周期1年，</w:t>
      </w:r>
      <w:r>
        <w:rPr>
          <w:rFonts w:hint="eastAsia" w:ascii="Adobe 仿宋 Std R" w:hAnsi="Adobe 仿宋 Std R" w:eastAsia="Adobe 仿宋 Std R"/>
          <w:sz w:val="32"/>
          <w:szCs w:val="32"/>
        </w:rPr>
        <w:t xml:space="preserve"> 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年12月31日之前完成。</w:t>
      </w:r>
    </w:p>
    <w:p w14:paraId="2405A262">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2DBEF481">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年预算安排30万元整，用于食品安全</w:t>
      </w:r>
      <w:r>
        <w:rPr>
          <w:rFonts w:hint="eastAsia" w:ascii="Adobe 仿宋 Std R" w:hAnsi="Adobe 仿宋 Std R" w:eastAsia="Adobe 仿宋 Std R"/>
          <w:sz w:val="32"/>
          <w:szCs w:val="32"/>
          <w:lang w:eastAsia="zh-CN"/>
        </w:rPr>
        <w:t>抽查检测</w:t>
      </w:r>
      <w:r>
        <w:rPr>
          <w:rFonts w:hint="eastAsia" w:ascii="Adobe 仿宋 Std R" w:hAnsi="Adobe 仿宋 Std R" w:eastAsia="Adobe 仿宋 Std R"/>
          <w:sz w:val="32"/>
          <w:szCs w:val="32"/>
        </w:rPr>
        <w:t>任务</w:t>
      </w:r>
      <w:r>
        <w:rPr>
          <w:rFonts w:hint="eastAsia" w:ascii="Adobe 仿宋 Std R" w:hAnsi="Adobe 仿宋 Std R" w:eastAsia="Adobe 仿宋 Std R"/>
          <w:sz w:val="32"/>
          <w:szCs w:val="32"/>
          <w:lang w:eastAsia="zh-CN"/>
        </w:rPr>
        <w:t>，与上年度安排一致。</w:t>
      </w:r>
    </w:p>
    <w:p w14:paraId="5A685BAD">
      <w:pPr>
        <w:ind w:firstLine="642"/>
        <w:rPr>
          <w:rFonts w:hint="eastAsia" w:ascii="Adobe 仿宋 Std R" w:hAnsi="Adobe 仿宋 Std R" w:eastAsia="Adobe 仿宋 Std R"/>
          <w:sz w:val="32"/>
          <w:szCs w:val="32"/>
        </w:rPr>
      </w:pPr>
    </w:p>
    <w:p w14:paraId="49EB5C2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市场监管部门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lang w:val="en-US" w:eastAsia="zh-CN"/>
        </w:rPr>
        <w:t>34.9</w:t>
      </w:r>
      <w:r>
        <w:rPr>
          <w:rFonts w:hint="eastAsia" w:ascii="仿宋" w:hAnsi="仿宋" w:eastAsia="仿宋"/>
          <w:bCs/>
          <w:sz w:val="32"/>
          <w:szCs w:val="32"/>
          <w:lang w:val="en-US" w:eastAsia="zh-CN"/>
        </w:rPr>
        <w:t>万</w:t>
      </w:r>
      <w:r>
        <w:rPr>
          <w:rFonts w:hint="eastAsia" w:ascii="仿宋" w:hAnsi="仿宋" w:eastAsia="仿宋"/>
          <w:bCs/>
          <w:sz w:val="32"/>
          <w:szCs w:val="32"/>
        </w:rPr>
        <w:t>元，其中：</w:t>
      </w:r>
    </w:p>
    <w:p w14:paraId="0F9770D8">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w:t>
      </w:r>
      <w:r>
        <w:rPr>
          <w:rFonts w:hint="eastAsia" w:ascii="仿宋" w:hAnsi="仿宋" w:eastAsia="仿宋"/>
          <w:b w:val="0"/>
          <w:bCs/>
          <w:sz w:val="32"/>
          <w:szCs w:val="32"/>
          <w:lang w:val="en-US" w:eastAsia="zh-CN"/>
        </w:rPr>
        <w:t>与上年安排保持一致</w:t>
      </w:r>
      <w:r>
        <w:rPr>
          <w:rFonts w:ascii="仿宋" w:hAnsi="仿宋" w:eastAsia="仿宋"/>
          <w:bCs/>
          <w:sz w:val="32"/>
          <w:szCs w:val="32"/>
        </w:rPr>
        <w:t>，主要原因是：</w:t>
      </w:r>
      <w:r>
        <w:rPr>
          <w:rFonts w:hint="eastAsia" w:ascii="仿宋" w:hAnsi="仿宋" w:eastAsia="仿宋"/>
          <w:bCs/>
          <w:sz w:val="32"/>
          <w:szCs w:val="32"/>
          <w:lang w:eastAsia="zh-CN"/>
        </w:rPr>
        <w:t>无因公出国安排</w:t>
      </w:r>
      <w:r>
        <w:rPr>
          <w:rFonts w:ascii="仿宋" w:hAnsi="仿宋" w:eastAsia="仿宋"/>
          <w:bCs/>
          <w:sz w:val="32"/>
          <w:szCs w:val="32"/>
        </w:rPr>
        <w:t>。</w:t>
      </w:r>
    </w:p>
    <w:p w14:paraId="58BA1AC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9.9</w:t>
      </w:r>
      <w:r>
        <w:rPr>
          <w:rFonts w:ascii="仿宋" w:hAnsi="仿宋" w:eastAsia="仿宋"/>
          <w:bCs/>
          <w:sz w:val="32"/>
          <w:szCs w:val="32"/>
        </w:rPr>
        <w:t>万元,</w:t>
      </w:r>
      <w:r>
        <w:rPr>
          <w:rFonts w:hint="eastAsia" w:ascii="仿宋" w:hAnsi="仿宋" w:eastAsia="仿宋"/>
          <w:b w:val="0"/>
          <w:bCs/>
          <w:sz w:val="32"/>
          <w:szCs w:val="32"/>
          <w:lang w:val="en-US" w:eastAsia="zh-CN"/>
        </w:rPr>
        <w:t>与上年安排保持一致</w:t>
      </w:r>
      <w:r>
        <w:rPr>
          <w:rFonts w:ascii="仿宋" w:hAnsi="仿宋" w:eastAsia="仿宋"/>
          <w:bCs/>
          <w:sz w:val="32"/>
          <w:szCs w:val="32"/>
        </w:rPr>
        <w:t>，主要原因是：</w:t>
      </w:r>
      <w:r>
        <w:rPr>
          <w:rFonts w:hint="eastAsia" w:ascii="仿宋" w:hAnsi="仿宋" w:eastAsia="仿宋"/>
          <w:bCs/>
          <w:sz w:val="32"/>
          <w:szCs w:val="32"/>
          <w:lang w:eastAsia="zh-CN"/>
        </w:rPr>
        <w:t>公务接待安排无变化。</w:t>
      </w:r>
      <w:bookmarkStart w:id="0" w:name="_GoBack"/>
      <w:bookmarkEnd w:id="0"/>
      <w:r>
        <w:rPr>
          <w:rFonts w:hint="eastAsia" w:ascii="仿宋_GB2312" w:hAnsi="仿宋" w:eastAsia="仿宋_GB2312" w:cs="仿宋_GB2312"/>
          <w:sz w:val="32"/>
          <w:szCs w:val="32"/>
        </w:rPr>
        <w:t>一般公务接待费支出预算</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万元，商务接待费支出预算</w:t>
      </w:r>
      <w:r>
        <w:rPr>
          <w:rFonts w:hint="eastAsia" w:ascii="仿宋_GB2312" w:hAnsi="仿宋" w:eastAsia="仿宋_GB2312" w:cs="仿宋_GB2312"/>
          <w:sz w:val="32"/>
          <w:szCs w:val="32"/>
          <w:lang w:val="en-US" w:eastAsia="zh-CN"/>
        </w:rPr>
        <w:t>4.9</w:t>
      </w:r>
      <w:r>
        <w:rPr>
          <w:rFonts w:hint="eastAsia" w:ascii="仿宋_GB2312" w:hAnsi="仿宋" w:eastAsia="仿宋_GB2312" w:cs="仿宋_GB2312"/>
          <w:sz w:val="32"/>
          <w:szCs w:val="32"/>
        </w:rPr>
        <w:t>万元，</w:t>
      </w:r>
      <w:r>
        <w:rPr>
          <w:rFonts w:hint="eastAsia" w:ascii="仿宋" w:hAnsi="仿宋" w:eastAsia="仿宋"/>
          <w:b w:val="0"/>
          <w:bCs/>
          <w:sz w:val="32"/>
          <w:szCs w:val="32"/>
          <w:lang w:val="en-US" w:eastAsia="zh-CN"/>
        </w:rPr>
        <w:t>与上年安排保持一致</w:t>
      </w:r>
      <w:r>
        <w:rPr>
          <w:rFonts w:ascii="仿宋" w:hAnsi="仿宋" w:eastAsia="仿宋"/>
          <w:bCs/>
          <w:sz w:val="32"/>
          <w:szCs w:val="32"/>
        </w:rPr>
        <w:t>。</w:t>
      </w:r>
    </w:p>
    <w:p w14:paraId="0C788AD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10</w:t>
      </w:r>
      <w:r>
        <w:rPr>
          <w:rFonts w:ascii="仿宋" w:hAnsi="仿宋" w:eastAsia="仿宋"/>
          <w:bCs/>
          <w:sz w:val="32"/>
          <w:szCs w:val="32"/>
        </w:rPr>
        <w:t>万元,</w:t>
      </w:r>
      <w:r>
        <w:rPr>
          <w:rFonts w:hint="eastAsia" w:ascii="仿宋" w:hAnsi="仿宋" w:eastAsia="仿宋"/>
          <w:b w:val="0"/>
          <w:bCs/>
          <w:sz w:val="32"/>
          <w:szCs w:val="32"/>
          <w:lang w:val="en-US" w:eastAsia="zh-CN"/>
        </w:rPr>
        <w:t>与上年安排保持一致</w:t>
      </w:r>
      <w:r>
        <w:rPr>
          <w:rFonts w:ascii="仿宋" w:hAnsi="仿宋" w:eastAsia="仿宋"/>
          <w:bCs/>
          <w:sz w:val="32"/>
          <w:szCs w:val="32"/>
        </w:rPr>
        <w:t>，主要原因是：</w:t>
      </w:r>
      <w:r>
        <w:rPr>
          <w:rFonts w:hint="eastAsia" w:ascii="仿宋" w:hAnsi="仿宋" w:eastAsia="仿宋"/>
          <w:bCs/>
          <w:sz w:val="32"/>
          <w:szCs w:val="32"/>
          <w:lang w:eastAsia="zh-CN"/>
        </w:rPr>
        <w:t>老旧车辆需要维护费用</w:t>
      </w:r>
      <w:r>
        <w:rPr>
          <w:rFonts w:ascii="仿宋" w:hAnsi="仿宋" w:eastAsia="仿宋"/>
          <w:bCs/>
          <w:sz w:val="32"/>
          <w:szCs w:val="32"/>
        </w:rPr>
        <w:t>。</w:t>
      </w:r>
    </w:p>
    <w:p w14:paraId="24778392">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15</w:t>
      </w:r>
      <w:r>
        <w:rPr>
          <w:rFonts w:ascii="仿宋" w:hAnsi="仿宋" w:eastAsia="仿宋"/>
          <w:bCs/>
          <w:sz w:val="32"/>
          <w:szCs w:val="32"/>
        </w:rPr>
        <w:t>万元,</w:t>
      </w:r>
      <w:r>
        <w:rPr>
          <w:rFonts w:hint="eastAsia" w:ascii="仿宋" w:hAnsi="仿宋" w:eastAsia="仿宋"/>
          <w:b w:val="0"/>
          <w:bCs/>
          <w:sz w:val="32"/>
          <w:szCs w:val="32"/>
          <w:lang w:val="en-US" w:eastAsia="zh-CN"/>
        </w:rPr>
        <w:t>与上年安排保持一致</w:t>
      </w:r>
      <w:r>
        <w:rPr>
          <w:rFonts w:ascii="仿宋" w:hAnsi="仿宋" w:eastAsia="仿宋"/>
          <w:bCs/>
          <w:sz w:val="32"/>
          <w:szCs w:val="32"/>
        </w:rPr>
        <w:t>，主要原因是：</w:t>
      </w:r>
      <w:r>
        <w:rPr>
          <w:rFonts w:hint="eastAsia" w:ascii="仿宋_GB2312" w:hAnsi="仿宋" w:eastAsia="仿宋_GB2312" w:cs="仿宋_GB2312"/>
          <w:sz w:val="32"/>
          <w:szCs w:val="32"/>
          <w:lang w:val="en-US" w:eastAsia="zh-CN"/>
        </w:rPr>
        <w:t>分局公车老旧需要更换</w:t>
      </w:r>
      <w:r>
        <w:rPr>
          <w:rFonts w:ascii="仿宋" w:hAnsi="仿宋" w:eastAsia="仿宋"/>
          <w:bCs/>
          <w:sz w:val="32"/>
          <w:szCs w:val="32"/>
        </w:rPr>
        <w:t>。</w:t>
      </w:r>
    </w:p>
    <w:p w14:paraId="1AF8B0AD">
      <w:pPr>
        <w:widowControl/>
        <w:shd w:val="clear" w:color="auto" w:fill="FFFFFF"/>
        <w:spacing w:line="640" w:lineRule="atLeast"/>
        <w:ind w:firstLine="640"/>
        <w:jc w:val="center"/>
        <w:rPr>
          <w:rFonts w:ascii="仿宋_GB2312" w:eastAsia="仿宋_GB2312"/>
          <w:b/>
          <w:sz w:val="32"/>
          <w:szCs w:val="30"/>
        </w:rPr>
      </w:pPr>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28E15772">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2B8E7820">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4D1EC0A9">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5C44B0B4">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对部门预算中涉及的支出功能分类科目（明细到项级），结合部门实际，参照《2025年政府收支分类科目》的规范说明进行解释。</w:t>
      </w:r>
    </w:p>
    <w:p w14:paraId="7682C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73563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7837FA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1297B5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B9A0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7ECC7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57929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D578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14:paraId="50D4D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14:paraId="45A5C041">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14:paraId="0E6BC743">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61AF32">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15FAD41D">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6D1B747A">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403EC3B4">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2D42F3FC"/>
    <w:multiLevelType w:val="singleLevel"/>
    <w:tmpl w:val="2D42F3FC"/>
    <w:lvl w:ilvl="0" w:tentative="0">
      <w:start w:val="2"/>
      <w:numFmt w:val="decimal"/>
      <w:suff w:val="nothing"/>
      <w:lvlText w:val="%1）"/>
      <w:lvlJc w:val="left"/>
      <w:pPr>
        <w:ind w:left="1122"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A92389"/>
    <w:rsid w:val="01F7414D"/>
    <w:rsid w:val="02881E0B"/>
    <w:rsid w:val="04763F31"/>
    <w:rsid w:val="04EA5622"/>
    <w:rsid w:val="05F01250"/>
    <w:rsid w:val="069552CB"/>
    <w:rsid w:val="0811040D"/>
    <w:rsid w:val="08A00A2D"/>
    <w:rsid w:val="09691794"/>
    <w:rsid w:val="0B001F2F"/>
    <w:rsid w:val="0B172C65"/>
    <w:rsid w:val="0C9776ED"/>
    <w:rsid w:val="0E6B25E0"/>
    <w:rsid w:val="12170AB5"/>
    <w:rsid w:val="128B26EC"/>
    <w:rsid w:val="147E3783"/>
    <w:rsid w:val="158A79C4"/>
    <w:rsid w:val="16BD3659"/>
    <w:rsid w:val="178C24ED"/>
    <w:rsid w:val="17E46E70"/>
    <w:rsid w:val="1A564145"/>
    <w:rsid w:val="1A7A6541"/>
    <w:rsid w:val="1C453EB2"/>
    <w:rsid w:val="1C60776B"/>
    <w:rsid w:val="1CCC6940"/>
    <w:rsid w:val="1E890F8D"/>
    <w:rsid w:val="1ED932C0"/>
    <w:rsid w:val="1FB41916"/>
    <w:rsid w:val="2047243B"/>
    <w:rsid w:val="251A23D6"/>
    <w:rsid w:val="25231156"/>
    <w:rsid w:val="26504C69"/>
    <w:rsid w:val="271E1B1A"/>
    <w:rsid w:val="27A91D58"/>
    <w:rsid w:val="28685F76"/>
    <w:rsid w:val="2EDA4EED"/>
    <w:rsid w:val="2F7973C6"/>
    <w:rsid w:val="2F983B61"/>
    <w:rsid w:val="30D10882"/>
    <w:rsid w:val="3255662B"/>
    <w:rsid w:val="328E04C8"/>
    <w:rsid w:val="32B01FF9"/>
    <w:rsid w:val="38EE4A0F"/>
    <w:rsid w:val="39411CFC"/>
    <w:rsid w:val="39D81433"/>
    <w:rsid w:val="3A506A32"/>
    <w:rsid w:val="3A5F274A"/>
    <w:rsid w:val="3B0B59BD"/>
    <w:rsid w:val="3CC051F9"/>
    <w:rsid w:val="3CEF3212"/>
    <w:rsid w:val="42672788"/>
    <w:rsid w:val="429A6A15"/>
    <w:rsid w:val="456265B6"/>
    <w:rsid w:val="464A2500"/>
    <w:rsid w:val="4921778A"/>
    <w:rsid w:val="4CD22D17"/>
    <w:rsid w:val="4D64034B"/>
    <w:rsid w:val="4DDA0A50"/>
    <w:rsid w:val="4E2E4DC7"/>
    <w:rsid w:val="50986AB5"/>
    <w:rsid w:val="50CA1027"/>
    <w:rsid w:val="5209326F"/>
    <w:rsid w:val="528154FB"/>
    <w:rsid w:val="52FE6B4C"/>
    <w:rsid w:val="549F7F67"/>
    <w:rsid w:val="55A35789"/>
    <w:rsid w:val="57284198"/>
    <w:rsid w:val="58F07B3F"/>
    <w:rsid w:val="59F45DFC"/>
    <w:rsid w:val="5C3A5E6A"/>
    <w:rsid w:val="5DF324D4"/>
    <w:rsid w:val="5E275239"/>
    <w:rsid w:val="5FC741F4"/>
    <w:rsid w:val="5FC75D5B"/>
    <w:rsid w:val="60454E6C"/>
    <w:rsid w:val="659A0956"/>
    <w:rsid w:val="65D45034"/>
    <w:rsid w:val="6A7E0DF8"/>
    <w:rsid w:val="6B016D82"/>
    <w:rsid w:val="6BB56B6A"/>
    <w:rsid w:val="6D265E00"/>
    <w:rsid w:val="6EB56B85"/>
    <w:rsid w:val="70C366B0"/>
    <w:rsid w:val="753F6323"/>
    <w:rsid w:val="77084C62"/>
    <w:rsid w:val="770E067D"/>
    <w:rsid w:val="7A9E5575"/>
    <w:rsid w:val="7E457CCB"/>
    <w:rsid w:val="7E8A1D6F"/>
    <w:rsid w:val="7E986D49"/>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5776</Words>
  <Characters>6097</Characters>
  <Lines>21</Lines>
  <Paragraphs>6</Paragraphs>
  <TotalTime>6</TotalTime>
  <ScaleCrop>false</ScaleCrop>
  <LinksUpToDate>false</LinksUpToDate>
  <CharactersWithSpaces>6143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Administrator</cp:lastModifiedBy>
  <cp:lastPrinted>2018-04-23T08:18:00Z</cp:lastPrinted>
  <dcterms:modified xsi:type="dcterms:W3CDTF">2025-02-28T02:46:36Z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1213B020A891424CA3B21B4655CA8A3A</vt:lpwstr>
  </property>
  <property fmtid="{D5CDD505-2E9C-101B-9397-08002B2CF9AE}" pid="4" name="KSOTemplateDocerSaveRecord">
    <vt:lpwstr>eyJoZGlkIjoiZjE5MDYyNzU3YjhhNDFlYTFkYzJhNzRlYzE5YmQ5ZTkifQ==</vt:lpwstr>
  </property>
</Properties>
</file>