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FAC7172">
      <w:pPr>
        <w:spacing w:line="240" w:lineRule="auto"/>
        <w:jc w:val="center"/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静止式电能表产品质量监督</w:t>
      </w:r>
      <w:bookmarkStart w:id="4" w:name="_GoBack"/>
      <w:bookmarkEnd w:id="4"/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抽查实施细则（202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年版）</w:t>
      </w:r>
    </w:p>
    <w:p w14:paraId="59D33683">
      <w:pPr>
        <w:snapToGrid w:val="0"/>
        <w:spacing w:line="240" w:lineRule="auto"/>
        <w:jc w:val="center"/>
        <w:outlineLvl w:val="0"/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val="en-US" w:eastAsia="zh-CN"/>
        </w:rPr>
      </w:pPr>
    </w:p>
    <w:p w14:paraId="56EC8A1F"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1.抽样方法</w:t>
      </w:r>
    </w:p>
    <w:p w14:paraId="7D636364"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1.1抽样要求</w:t>
      </w:r>
    </w:p>
    <w:p w14:paraId="369E45ED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333333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所抽样品为企业成品库或市场上销售的标明合格的产品。要求经销单位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</w:rPr>
        <w:t>提供营业执照或运营商提供购买合同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‌并加以记录。</w:t>
      </w:r>
    </w:p>
    <w:p w14:paraId="37BAE258"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1.2抽样数量</w:t>
      </w:r>
    </w:p>
    <w:p w14:paraId="7D1995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表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533"/>
        <w:gridCol w:w="3966"/>
      </w:tblGrid>
      <w:tr w14:paraId="050C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06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编号</w:t>
            </w:r>
          </w:p>
        </w:tc>
        <w:tc>
          <w:tcPr>
            <w:tcW w:w="20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9C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产品名称</w:t>
            </w:r>
          </w:p>
        </w:tc>
        <w:tc>
          <w:tcPr>
            <w:tcW w:w="2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E3D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样品数量</w:t>
            </w:r>
          </w:p>
        </w:tc>
      </w:tr>
      <w:tr w14:paraId="0F01A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09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20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9F8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静止式有功电能表</w:t>
            </w:r>
          </w:p>
        </w:tc>
        <w:tc>
          <w:tcPr>
            <w:tcW w:w="2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67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每批次抽取样品6块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（其中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3块为检验样品，3块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为备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用样品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）</w:t>
            </w:r>
          </w:p>
        </w:tc>
      </w:tr>
    </w:tbl>
    <w:p w14:paraId="3FFCA2D9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注：抽样工作由抽样机构不少于2名抽样工作人员共同完成。每批抽取样品应包括检验样品和备用样品。在企业的成品库或市场上抽样时，按GB/T10111随机抽取近期生产的同一批次，并经企业检验合格或以任何方式表明合格的产品。一经采样，立即封样，任何人不得调换。采样过程拍照留证。样品的有效期应当能充分满足检验工作的进行。检样及备样应分别封样，并分别加贴相应标识。样品（连同其原包装和使用说明）用清洁的包装袋（箱）密封包装后加贴封条封样，抽样人员和受检单位人员在封条处签字确认。包装的方式应能防止样品在运送过程中损坏或被污染，封样的方式应能有效防止未经授权的拆封。采取摄像、拍照等形式记录样品封存过程。</w:t>
      </w:r>
    </w:p>
    <w:p w14:paraId="1FA41808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1.3样品运输与保存</w:t>
      </w:r>
    </w:p>
    <w:p w14:paraId="59D014FD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采样完成后，将样品（包括检样和备样）和抽样单送或寄至检测机构，样品在保存及运输过程中应妥善保管，做好防潮、防霉、防蛀措施，保持样品状态良好。检测机构在接收样品时应当检查、记录样品的外观、状态、封条有无破损及其他可能对检验结果或者综合判定产生影响的情况，确认样品与抽样文书的记录是否相符。对检样和备样应分别加贴相应标识后入库。</w:t>
      </w:r>
    </w:p>
    <w:p w14:paraId="10859E0E"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2.检验依据</w:t>
      </w:r>
    </w:p>
    <w:p w14:paraId="67717A98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</w:p>
    <w:p w14:paraId="0378D249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</w:p>
    <w:p w14:paraId="62ADA187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center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 xml:space="preserve">表2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检验项目及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检验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方法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3110"/>
        <w:gridCol w:w="2456"/>
        <w:gridCol w:w="2294"/>
      </w:tblGrid>
      <w:tr w14:paraId="783A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BA7A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C0C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检验项目</w:t>
            </w:r>
          </w:p>
        </w:tc>
        <w:tc>
          <w:tcPr>
            <w:tcW w:w="144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C73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依据标准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08D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检验方法</w:t>
            </w:r>
          </w:p>
        </w:tc>
      </w:tr>
      <w:tr w14:paraId="23966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8C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D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基本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最大允许误差</w:t>
            </w:r>
          </w:p>
        </w:tc>
        <w:tc>
          <w:tcPr>
            <w:tcW w:w="14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83F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GB/T17215.321-2021</w:t>
            </w:r>
          </w:p>
        </w:tc>
        <w:tc>
          <w:tcPr>
            <w:tcW w:w="134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5BF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GB/T17215.321-2021</w:t>
            </w:r>
          </w:p>
        </w:tc>
      </w:tr>
      <w:tr w14:paraId="7D472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5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78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起动电流试验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C1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A0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7BC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0E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15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0" w:name="OLE_LINK57"/>
            <w:bookmarkStart w:id="1" w:name="OLE_LINK23"/>
            <w:bookmarkStart w:id="2" w:name="OLE_LINK58"/>
            <w:bookmarkStart w:id="3" w:name="OLE_LINK13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无负载条件（潜动）试验</w:t>
            </w:r>
            <w:bookmarkEnd w:id="0"/>
            <w:bookmarkEnd w:id="1"/>
            <w:bookmarkEnd w:id="2"/>
            <w:bookmarkEnd w:id="3"/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0B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00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272E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E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C8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仪表常数试验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69B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B7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15445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1C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D0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电压改变试验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1D4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EE0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 w14:paraId="02CC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54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8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频率改变试验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7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19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 w14:paraId="74AD6E17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凡是标注日期的文件，其随后所有的修改单（不包括勘误的内容）或修订版不适用于本细则。凡是不注日期的文件，其最新版本适用于本细则。</w:t>
      </w:r>
    </w:p>
    <w:p w14:paraId="11FC31D9"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3.判定规则</w:t>
      </w:r>
    </w:p>
    <w:p w14:paraId="1FA07C33"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3.1依据标准</w:t>
      </w:r>
    </w:p>
    <w:p w14:paraId="6EE2857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GB/T17215.321-2021</w:t>
      </w:r>
    </w:p>
    <w:p w14:paraId="6CE1CFFF"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3.2判定原则</w:t>
      </w:r>
    </w:p>
    <w:p w14:paraId="3C5D532F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3.2.1判定原则</w:t>
      </w:r>
    </w:p>
    <w:p w14:paraId="7D18D446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各检验项目全部合格的，判定该样品产品质量合格。基本最大允许误差、起动电流试验、无负载条件（潜动）试验、仪表常数试验、电压改变试验、频率改变试验其中有一项检验不合格判定为不合格。</w:t>
      </w:r>
    </w:p>
    <w:p w14:paraId="473A06F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3.2.2检验应注意的问题</w:t>
      </w:r>
    </w:p>
    <w:p w14:paraId="033F7905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检验机构接收样品应当有专人负责检查、记录样品的外观、状态、封条有无破损及其他可能对检测结果或者综合判定产生影响的情况，并确认样品与抽样单的记录是否相符，对检测和备用样品分别加贴相应标识后入库。</w:t>
      </w:r>
    </w:p>
    <w:p w14:paraId="76AEE6D4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3.2.3.异议处理</w:t>
      </w:r>
    </w:p>
    <w:p w14:paraId="0D136F52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对判定不合格产品进行复检时，按以下方式进行：</w:t>
      </w:r>
    </w:p>
    <w:p w14:paraId="6E3F6E6D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核查不合格项目相关证据，能够以记录（纸质记录或电子记录或影像记录）或与不合格项目相关联的其他质量数据等检验证据证明，并得到被检方认可的，作出维持原检验结论的复查结论。</w:t>
      </w:r>
    </w:p>
    <w:p w14:paraId="69A6D4F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需要对不合格项目复检时，采用备用样检验。当复检结果仍不合格，维持原检验结果不变。当复检结果合格，以复检结果为准。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44C52B0-414B-4AF4-9708-594937F3989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hYTExOTI3ZGJhYmUxZWY5OTFjNzM4MDYyZGIyZDUifQ=="/>
  </w:docVars>
  <w:rsids>
    <w:rsidRoot w:val="00000000"/>
    <w:rsid w:val="02E70F5B"/>
    <w:rsid w:val="08B3506D"/>
    <w:rsid w:val="10FE43B1"/>
    <w:rsid w:val="1E900FE9"/>
    <w:rsid w:val="1F7444D0"/>
    <w:rsid w:val="209B4D58"/>
    <w:rsid w:val="227C764F"/>
    <w:rsid w:val="23C6011D"/>
    <w:rsid w:val="286A598B"/>
    <w:rsid w:val="2BBD9956"/>
    <w:rsid w:val="37EA43F2"/>
    <w:rsid w:val="42F2520E"/>
    <w:rsid w:val="498945F3"/>
    <w:rsid w:val="49985895"/>
    <w:rsid w:val="4D26692C"/>
    <w:rsid w:val="52283038"/>
    <w:rsid w:val="628F5DD9"/>
    <w:rsid w:val="65622387"/>
    <w:rsid w:val="67823BC9"/>
    <w:rsid w:val="6DBFE13C"/>
    <w:rsid w:val="6FBE2BAF"/>
    <w:rsid w:val="6FDE917C"/>
    <w:rsid w:val="71B414D1"/>
    <w:rsid w:val="7306720F"/>
    <w:rsid w:val="77C55321"/>
    <w:rsid w:val="7FB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1127</Words>
  <Characters>1215</Characters>
  <Lines>3</Lines>
  <Paragraphs>3</Paragraphs>
  <TotalTime>1</TotalTime>
  <ScaleCrop>false</ScaleCrop>
  <LinksUpToDate>false</LinksUpToDate>
  <CharactersWithSpaces>1216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2024-12-05T11:32:00Z</dcterms:created>
  <dc:creator>test</dc:creator>
  <cp:lastModifiedBy>箫韶.</cp:lastModifiedBy>
  <dcterms:modified xsi:type="dcterms:W3CDTF">2025-09-19T03:38:35Z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76956E447BFF4A6C94FC6662F6D615D8_13</vt:lpwstr>
  </property>
  <property fmtid="{D5CDD505-2E9C-101B-9397-08002B2CF9AE}" pid="4" name="KSOTemplateDocerSaveRecord">
    <vt:lpwstr>eyJoZGlkIjoiYzAwNTk0ZDJkNDJhOWExYWFhMmQ4MDBjMDllM2JmYjYiLCJ1c2VySWQiOiIxMTMyMjQ2NTM2In0=</vt:lpwstr>
  </property>
</Properties>
</file>