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18801">
      <w:pPr>
        <w:ind w:firstLine="0" w:firstLineChars="0"/>
        <w:rPr>
          <w:rFonts w:hint="default" w:ascii="Times New Roman" w:hAnsi="Times New Roman" w:eastAsia="宋体" w:cs="Times New Roman"/>
          <w:color w:val="000000" w:themeColor="text1"/>
          <w:sz w:val="36"/>
          <w:szCs w:val="36"/>
        </w:rPr>
      </w:pPr>
    </w:p>
    <w:p w14:paraId="52C701A6">
      <w:pPr>
        <w:rPr>
          <w:rFonts w:hint="default" w:ascii="Times New Roman" w:hAnsi="Times New Roman" w:eastAsia="宋体" w:cs="Times New Roman"/>
          <w:color w:val="000000" w:themeColor="text1"/>
          <w:sz w:val="36"/>
          <w:szCs w:val="36"/>
        </w:rPr>
      </w:pPr>
    </w:p>
    <w:p w14:paraId="42019357">
      <w:pPr>
        <w:adjustRightInd w:val="0"/>
        <w:snapToGrid w:val="0"/>
        <w:ind w:firstLine="0" w:firstLineChars="0"/>
        <w:jc w:val="center"/>
        <w:outlineLvl w:val="0"/>
        <w:rPr>
          <w:rFonts w:hint="default" w:ascii="Times New Roman" w:hAnsi="Times New Roman" w:eastAsia="宋体" w:cs="Times New Roman"/>
          <w:bCs/>
          <w:color w:val="000000" w:themeColor="text1"/>
          <w:sz w:val="72"/>
          <w:szCs w:val="72"/>
        </w:rPr>
      </w:pPr>
      <w:r>
        <w:rPr>
          <w:rFonts w:hint="default" w:ascii="Times New Roman" w:hAnsi="Times New Roman" w:eastAsia="宋体" w:cs="Times New Roman"/>
          <w:bCs/>
          <w:color w:val="000000" w:themeColor="text1"/>
          <w:sz w:val="72"/>
          <w:szCs w:val="72"/>
        </w:rPr>
        <w:t>建设项目环境影响报告表</w:t>
      </w:r>
    </w:p>
    <w:p w14:paraId="76AB18F2">
      <w:pPr>
        <w:adjustRightInd w:val="0"/>
        <w:snapToGrid w:val="0"/>
        <w:ind w:firstLine="0" w:firstLineChars="0"/>
        <w:jc w:val="center"/>
        <w:outlineLvl w:val="9"/>
        <w:rPr>
          <w:rFonts w:hint="default" w:ascii="Times New Roman" w:hAnsi="Times New Roman" w:eastAsia="宋体" w:cs="Times New Roman"/>
          <w:bCs/>
          <w:color w:val="000000" w:themeColor="text1"/>
          <w:sz w:val="48"/>
          <w:szCs w:val="48"/>
        </w:rPr>
      </w:pPr>
      <w:r>
        <w:rPr>
          <w:rFonts w:hint="default" w:ascii="Times New Roman" w:hAnsi="Times New Roman" w:eastAsia="宋体" w:cs="Times New Roman"/>
          <w:bCs/>
          <w:color w:val="000000" w:themeColor="text1"/>
          <w:sz w:val="48"/>
          <w:szCs w:val="48"/>
        </w:rPr>
        <w:t>（污染影响类）</w:t>
      </w:r>
    </w:p>
    <w:p w14:paraId="7E72B6AD">
      <w:pPr>
        <w:ind w:firstLine="880"/>
        <w:rPr>
          <w:rFonts w:hint="default" w:ascii="Times New Roman" w:hAnsi="Times New Roman" w:eastAsia="宋体" w:cs="Times New Roman"/>
          <w:color w:val="000000" w:themeColor="text1"/>
          <w:sz w:val="44"/>
          <w:szCs w:val="44"/>
        </w:rPr>
      </w:pPr>
    </w:p>
    <w:p w14:paraId="76E00671">
      <w:pPr>
        <w:ind w:firstLine="880"/>
        <w:rPr>
          <w:rFonts w:hint="default" w:ascii="Times New Roman" w:hAnsi="Times New Roman" w:eastAsia="宋体" w:cs="Times New Roman"/>
          <w:color w:val="000000" w:themeColor="text1"/>
          <w:sz w:val="44"/>
          <w:szCs w:val="44"/>
        </w:rPr>
      </w:pPr>
    </w:p>
    <w:p w14:paraId="38F41595">
      <w:pPr>
        <w:ind w:firstLine="880"/>
        <w:rPr>
          <w:rFonts w:hint="default" w:ascii="Times New Roman" w:hAnsi="Times New Roman" w:eastAsia="宋体" w:cs="Times New Roman"/>
          <w:color w:val="000000" w:themeColor="text1"/>
          <w:sz w:val="44"/>
          <w:szCs w:val="44"/>
        </w:rPr>
      </w:pPr>
    </w:p>
    <w:p w14:paraId="096F7A39">
      <w:pPr>
        <w:adjustRightInd w:val="0"/>
        <w:snapToGrid w:val="0"/>
        <w:ind w:firstLine="0" w:firstLineChars="0"/>
        <w:jc w:val="center"/>
        <w:outlineLvl w:val="9"/>
        <w:rPr>
          <w:rFonts w:hint="default" w:ascii="Times New Roman" w:hAnsi="Times New Roman" w:eastAsia="宋体" w:cs="Times New Roman"/>
          <w:color w:val="000000" w:themeColor="text1"/>
          <w:sz w:val="36"/>
          <w:szCs w:val="36"/>
          <w:u w:val="single"/>
        </w:rPr>
      </w:pPr>
      <w:r>
        <w:rPr>
          <w:rFonts w:hint="default" w:ascii="Times New Roman" w:hAnsi="Times New Roman" w:eastAsia="宋体" w:cs="Times New Roman"/>
          <w:color w:val="000000" w:themeColor="text1"/>
          <w:sz w:val="36"/>
          <w:szCs w:val="36"/>
        </w:rPr>
        <w:t>项目名称：</w:t>
      </w:r>
      <w:r>
        <w:rPr>
          <w:rFonts w:hint="eastAsia" w:ascii="宋体" w:hAnsi="宋体" w:cs="宋体"/>
          <w:color w:val="000000" w:themeColor="text1"/>
          <w:kern w:val="0"/>
          <w:sz w:val="36"/>
          <w:szCs w:val="36"/>
          <w:u w:val="single"/>
          <w:lang w:val="en-US" w:eastAsia="zh-CN" w:bidi="ar"/>
        </w:rPr>
        <w:t>江西雷亚特导电碳黑有限公司年产1500吨黑色色母粒项目</w:t>
      </w:r>
    </w:p>
    <w:p w14:paraId="54FBDFC8">
      <w:pPr>
        <w:adjustRightInd w:val="0"/>
        <w:snapToGrid w:val="0"/>
        <w:ind w:firstLine="0" w:firstLineChars="0"/>
        <w:jc w:val="both"/>
        <w:outlineLvl w:val="9"/>
        <w:rPr>
          <w:rFonts w:hint="default" w:ascii="宋体" w:hAnsi="宋体" w:eastAsia="宋体" w:cs="宋体"/>
          <w:color w:val="000000" w:themeColor="text1"/>
          <w:kern w:val="0"/>
          <w:sz w:val="36"/>
          <w:szCs w:val="36"/>
          <w:u w:val="single"/>
          <w:lang w:val="en-US" w:eastAsia="zh-CN" w:bidi="ar"/>
        </w:rPr>
      </w:pPr>
      <w:r>
        <w:rPr>
          <w:rFonts w:hint="default" w:ascii="Times New Roman" w:hAnsi="Times New Roman" w:eastAsia="宋体" w:cs="Times New Roman"/>
          <w:color w:val="000000" w:themeColor="text1"/>
          <w:sz w:val="36"/>
          <w:szCs w:val="36"/>
        </w:rPr>
        <w:t>建设单位（盖章）：</w:t>
      </w:r>
      <w:r>
        <w:rPr>
          <w:rFonts w:hint="eastAsia" w:cs="Times New Roman"/>
          <w:color w:val="000000" w:themeColor="text1"/>
          <w:sz w:val="36"/>
          <w:szCs w:val="36"/>
          <w:u w:val="single"/>
          <w:lang w:val="en-US" w:eastAsia="zh-CN"/>
        </w:rPr>
        <w:t xml:space="preserve">   </w:t>
      </w:r>
      <w:r>
        <w:rPr>
          <w:rFonts w:hint="eastAsia" w:ascii="宋体" w:hAnsi="宋体" w:cs="宋体"/>
          <w:color w:val="000000" w:themeColor="text1"/>
          <w:kern w:val="0"/>
          <w:sz w:val="36"/>
          <w:szCs w:val="36"/>
          <w:u w:val="single"/>
          <w:lang w:val="en-US" w:eastAsia="zh-CN" w:bidi="ar"/>
        </w:rPr>
        <w:t xml:space="preserve">江西雷亚特导电碳黑有限公司    </w:t>
      </w:r>
    </w:p>
    <w:p w14:paraId="56985DAE">
      <w:pPr>
        <w:adjustRightInd w:val="0"/>
        <w:snapToGrid w:val="0"/>
        <w:ind w:firstLine="0" w:firstLineChars="0"/>
        <w:jc w:val="both"/>
        <w:outlineLvl w:val="9"/>
        <w:rPr>
          <w:rFonts w:hint="default" w:ascii="Times New Roman" w:hAnsi="Times New Roman" w:eastAsia="宋体" w:cs="Times New Roman"/>
          <w:color w:val="000000" w:themeColor="text1"/>
          <w:sz w:val="36"/>
          <w:szCs w:val="36"/>
          <w:u w:val="single"/>
          <w:lang w:val="en-US" w:eastAsia="zh-CN"/>
        </w:rPr>
      </w:pPr>
      <w:r>
        <w:rPr>
          <w:rFonts w:hint="default" w:ascii="Times New Roman" w:hAnsi="Times New Roman" w:eastAsia="宋体" w:cs="Times New Roman"/>
          <w:color w:val="000000" w:themeColor="text1"/>
          <w:sz w:val="36"/>
          <w:szCs w:val="36"/>
        </w:rPr>
        <w:t>编制日期：</w:t>
      </w:r>
      <w:r>
        <w:rPr>
          <w:rFonts w:hint="eastAsia" w:cs="Times New Roman"/>
          <w:color w:val="000000" w:themeColor="text1"/>
          <w:sz w:val="36"/>
          <w:szCs w:val="36"/>
          <w:u w:val="single"/>
          <w:lang w:val="en-US" w:eastAsia="zh-CN"/>
        </w:rPr>
        <w:t xml:space="preserve">              </w:t>
      </w:r>
      <w:r>
        <w:rPr>
          <w:rFonts w:hint="default" w:ascii="Times New Roman" w:hAnsi="Times New Roman" w:eastAsia="宋体" w:cs="Times New Roman"/>
          <w:color w:val="000000" w:themeColor="text1"/>
          <w:sz w:val="36"/>
          <w:szCs w:val="36"/>
          <w:u w:val="single"/>
        </w:rPr>
        <w:t>202</w:t>
      </w:r>
      <w:r>
        <w:rPr>
          <w:rFonts w:hint="eastAsia" w:cs="Times New Roman"/>
          <w:color w:val="000000" w:themeColor="text1"/>
          <w:sz w:val="36"/>
          <w:szCs w:val="36"/>
          <w:u w:val="single"/>
          <w:lang w:val="en-US" w:eastAsia="zh-CN"/>
        </w:rPr>
        <w:t>5</w:t>
      </w:r>
      <w:r>
        <w:rPr>
          <w:rFonts w:hint="default" w:ascii="Times New Roman" w:hAnsi="Times New Roman" w:eastAsia="宋体" w:cs="Times New Roman"/>
          <w:color w:val="000000" w:themeColor="text1"/>
          <w:sz w:val="36"/>
          <w:szCs w:val="36"/>
          <w:u w:val="single"/>
        </w:rPr>
        <w:t>年</w:t>
      </w:r>
      <w:r>
        <w:rPr>
          <w:rFonts w:hint="eastAsia" w:cs="Times New Roman"/>
          <w:color w:val="000000" w:themeColor="text1"/>
          <w:sz w:val="36"/>
          <w:szCs w:val="36"/>
          <w:u w:val="single"/>
          <w:lang w:val="en-US" w:eastAsia="zh-CN"/>
        </w:rPr>
        <w:t>10</w:t>
      </w:r>
      <w:r>
        <w:rPr>
          <w:rFonts w:hint="default" w:ascii="Times New Roman" w:hAnsi="Times New Roman" w:eastAsia="宋体" w:cs="Times New Roman"/>
          <w:color w:val="000000" w:themeColor="text1"/>
          <w:sz w:val="36"/>
          <w:szCs w:val="36"/>
          <w:u w:val="single"/>
        </w:rPr>
        <w:t>月</w:t>
      </w:r>
      <w:r>
        <w:rPr>
          <w:rFonts w:hint="eastAsia" w:cs="Times New Roman"/>
          <w:color w:val="000000" w:themeColor="text1"/>
          <w:sz w:val="36"/>
          <w:szCs w:val="36"/>
          <w:u w:val="single"/>
          <w:lang w:val="en-US" w:eastAsia="zh-CN"/>
        </w:rPr>
        <w:t xml:space="preserve">                     </w:t>
      </w:r>
    </w:p>
    <w:p w14:paraId="51CEE262">
      <w:pPr>
        <w:adjustRightInd w:val="0"/>
        <w:snapToGrid w:val="0"/>
        <w:spacing w:line="288" w:lineRule="auto"/>
        <w:rPr>
          <w:rFonts w:hint="default" w:ascii="Times New Roman" w:hAnsi="Times New Roman" w:eastAsia="宋体" w:cs="Times New Roman"/>
          <w:color w:val="000000" w:themeColor="text1"/>
          <w:sz w:val="36"/>
          <w:szCs w:val="36"/>
          <w:u w:val="single"/>
        </w:rPr>
      </w:pPr>
      <w:bookmarkStart w:id="0" w:name="_Hlk57884087"/>
    </w:p>
    <w:p w14:paraId="7B8F1D1E">
      <w:pPr>
        <w:adjustRightInd w:val="0"/>
        <w:snapToGrid w:val="0"/>
        <w:spacing w:line="288" w:lineRule="auto"/>
        <w:rPr>
          <w:rFonts w:hint="default" w:ascii="Times New Roman" w:hAnsi="Times New Roman" w:eastAsia="宋体" w:cs="Times New Roman"/>
          <w:color w:val="000000" w:themeColor="text1"/>
          <w:sz w:val="36"/>
          <w:szCs w:val="36"/>
        </w:rPr>
      </w:pPr>
    </w:p>
    <w:p w14:paraId="0A0DC9BF">
      <w:pPr>
        <w:pStyle w:val="42"/>
        <w:rPr>
          <w:rFonts w:hint="default"/>
          <w:color w:val="000000" w:themeColor="text1"/>
        </w:rPr>
      </w:pPr>
    </w:p>
    <w:p w14:paraId="590244E5">
      <w:pPr>
        <w:adjustRightInd w:val="0"/>
        <w:snapToGrid w:val="0"/>
        <w:spacing w:line="288" w:lineRule="auto"/>
        <w:rPr>
          <w:rFonts w:hint="default" w:ascii="Times New Roman" w:hAnsi="Times New Roman" w:eastAsia="宋体" w:cs="Times New Roman"/>
          <w:color w:val="000000" w:themeColor="text1"/>
          <w:sz w:val="36"/>
          <w:szCs w:val="36"/>
        </w:rPr>
      </w:pPr>
    </w:p>
    <w:bookmarkEnd w:id="0"/>
    <w:p w14:paraId="342BC85A">
      <w:pPr>
        <w:adjustRightInd w:val="0"/>
        <w:snapToGrid w:val="0"/>
        <w:spacing w:line="288" w:lineRule="auto"/>
        <w:jc w:val="center"/>
        <w:outlineLvl w:val="9"/>
        <w:rPr>
          <w:rFonts w:hint="default" w:ascii="Times New Roman" w:hAnsi="Times New Roman" w:eastAsia="宋体" w:cs="Times New Roman"/>
          <w:color w:val="000000" w:themeColor="text1"/>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000000" w:themeColor="text1"/>
          <w:sz w:val="36"/>
          <w:szCs w:val="36"/>
        </w:rPr>
        <w:t>中华人民共和国生态环境部制</w:t>
      </w:r>
    </w:p>
    <w:p w14:paraId="7695D977">
      <w:pPr>
        <w:rPr>
          <w:rFonts w:hint="default" w:ascii="Times New Roman" w:hAnsi="Times New Roman" w:eastAsia="宋体" w:cs="Times New Roman"/>
          <w:color w:val="000000" w:themeColor="text1"/>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0553E0C7">
      <w:pPr>
        <w:pStyle w:val="20"/>
        <w:numPr>
          <w:ilvl w:val="0"/>
          <w:numId w:val="2"/>
        </w:numPr>
        <w:spacing w:before="0" w:beforeAutospacing="0" w:after="0" w:afterAutospacing="0" w:line="240" w:lineRule="auto"/>
        <w:ind w:firstLine="602"/>
        <w:jc w:val="center"/>
        <w:outlineLvl w:val="0"/>
        <w:rPr>
          <w:rFonts w:hint="default" w:ascii="Times New Roman" w:hAnsi="Times New Roman" w:eastAsia="宋体" w:cs="Times New Roman"/>
          <w:b/>
          <w:snapToGrid w:val="0"/>
          <w:color w:val="000000" w:themeColor="text1"/>
          <w:sz w:val="30"/>
          <w:szCs w:val="30"/>
        </w:rPr>
      </w:pPr>
      <w:r>
        <w:rPr>
          <w:rFonts w:hint="default" w:ascii="Times New Roman" w:hAnsi="Times New Roman" w:eastAsia="宋体" w:cs="Times New Roman"/>
          <w:b/>
          <w:snapToGrid w:val="0"/>
          <w:color w:val="000000" w:themeColor="text1"/>
          <w:sz w:val="30"/>
          <w:szCs w:val="30"/>
        </w:rPr>
        <w:t>建设项目基本情况</w:t>
      </w:r>
    </w:p>
    <w:tbl>
      <w:tblPr>
        <w:tblStyle w:val="33"/>
        <w:tblW w:w="94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66"/>
        <w:gridCol w:w="2853"/>
        <w:gridCol w:w="1889"/>
        <w:gridCol w:w="3516"/>
      </w:tblGrid>
      <w:tr w14:paraId="320D54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08F19C13">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建设项目名称</w:t>
            </w:r>
          </w:p>
        </w:tc>
        <w:tc>
          <w:tcPr>
            <w:tcW w:w="8258" w:type="dxa"/>
            <w:gridSpan w:val="3"/>
            <w:noWrap w:val="0"/>
            <w:vAlign w:val="center"/>
          </w:tcPr>
          <w:p w14:paraId="12D16AEC">
            <w:pPr>
              <w:keepNext w:val="0"/>
              <w:keepLines w:val="0"/>
              <w:pageBreakBefore w:val="0"/>
              <w:widowControl/>
              <w:suppressLineNumbers w:val="0"/>
              <w:kinsoku/>
              <w:overflowPunct/>
              <w:topLinePunct w:val="0"/>
              <w:bidi w:val="0"/>
              <w:spacing w:line="240" w:lineRule="auto"/>
              <w:ind w:left="0" w:firstLine="0" w:firstLineChars="0"/>
              <w:jc w:val="center"/>
              <w:rPr>
                <w:color w:val="000000" w:themeColor="text1"/>
                <w:sz w:val="24"/>
                <w:highlight w:val="none"/>
              </w:rPr>
            </w:pPr>
            <w:r>
              <w:rPr>
                <w:rFonts w:hint="eastAsia" w:ascii="宋体" w:hAnsi="宋体" w:cs="宋体"/>
                <w:color w:val="000000" w:themeColor="text1"/>
                <w:kern w:val="0"/>
                <w:sz w:val="24"/>
                <w:szCs w:val="24"/>
                <w:lang w:val="en-US" w:eastAsia="zh-CN" w:bidi="ar"/>
              </w:rPr>
              <w:t>江西雷亚特导电碳黑有限公司年</w:t>
            </w:r>
            <w:r>
              <w:rPr>
                <w:rFonts w:hint="eastAsia"/>
                <w:color w:val="000000" w:themeColor="text1"/>
                <w:sz w:val="24"/>
                <w:highlight w:val="none"/>
                <w:lang w:val="en-US" w:eastAsia="zh-CN"/>
              </w:rPr>
              <w:t>产1500吨黑色</w:t>
            </w:r>
            <w:r>
              <w:rPr>
                <w:rFonts w:hint="eastAsia" w:ascii="宋体" w:hAnsi="宋体" w:cs="宋体"/>
                <w:color w:val="000000" w:themeColor="text1"/>
                <w:kern w:val="0"/>
                <w:sz w:val="24"/>
                <w:szCs w:val="24"/>
                <w:lang w:val="en-US" w:eastAsia="zh-CN" w:bidi="ar"/>
              </w:rPr>
              <w:t>色母粒项目</w:t>
            </w:r>
          </w:p>
        </w:tc>
      </w:tr>
      <w:tr w14:paraId="5A5D7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66B4CB71">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项目代码</w:t>
            </w:r>
          </w:p>
        </w:tc>
        <w:tc>
          <w:tcPr>
            <w:tcW w:w="8258" w:type="dxa"/>
            <w:gridSpan w:val="3"/>
            <w:noWrap w:val="0"/>
            <w:vAlign w:val="center"/>
          </w:tcPr>
          <w:p w14:paraId="01D5439B">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2504-360421-07-02-690797</w:t>
            </w:r>
          </w:p>
        </w:tc>
      </w:tr>
      <w:tr w14:paraId="480CD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58309F3D">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建设单位联系人</w:t>
            </w:r>
          </w:p>
        </w:tc>
        <w:tc>
          <w:tcPr>
            <w:tcW w:w="2853" w:type="dxa"/>
            <w:noWrap w:val="0"/>
            <w:vAlign w:val="center"/>
          </w:tcPr>
          <w:p w14:paraId="0D74E0B9">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杨勇</w:t>
            </w:r>
          </w:p>
        </w:tc>
        <w:tc>
          <w:tcPr>
            <w:tcW w:w="1889" w:type="dxa"/>
            <w:noWrap w:val="0"/>
            <w:vAlign w:val="center"/>
          </w:tcPr>
          <w:p w14:paraId="524BC143">
            <w:pPr>
              <w:pageBreakBefore w:val="0"/>
              <w:kinsoku/>
              <w:overflowPunct/>
              <w:topLinePunct w:val="0"/>
              <w:bidi w:val="0"/>
              <w:adjustRightInd w:val="0"/>
              <w:snapToGrid w:val="0"/>
              <w:spacing w:line="240" w:lineRule="auto"/>
              <w:ind w:left="0" w:firstLine="0" w:firstLineChars="0"/>
              <w:jc w:val="center"/>
              <w:rPr>
                <w:color w:val="000000" w:themeColor="text1"/>
                <w:sz w:val="24"/>
                <w:highlight w:val="none"/>
              </w:rPr>
            </w:pPr>
            <w:r>
              <w:rPr>
                <w:color w:val="000000" w:themeColor="text1"/>
                <w:sz w:val="24"/>
                <w:highlight w:val="none"/>
              </w:rPr>
              <w:t>联系方式</w:t>
            </w:r>
          </w:p>
        </w:tc>
        <w:tc>
          <w:tcPr>
            <w:tcW w:w="3516" w:type="dxa"/>
            <w:noWrap w:val="0"/>
            <w:vAlign w:val="center"/>
          </w:tcPr>
          <w:p w14:paraId="56498BE9">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13133663888</w:t>
            </w:r>
          </w:p>
        </w:tc>
      </w:tr>
      <w:tr w14:paraId="67390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6AF49D2F">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建设地点</w:t>
            </w:r>
          </w:p>
        </w:tc>
        <w:tc>
          <w:tcPr>
            <w:tcW w:w="8258" w:type="dxa"/>
            <w:gridSpan w:val="3"/>
            <w:noWrap w:val="0"/>
            <w:vAlign w:val="center"/>
          </w:tcPr>
          <w:p w14:paraId="1FA07647">
            <w:pPr>
              <w:pageBreakBefore w:val="0"/>
              <w:widowControl/>
              <w:kinsoku/>
              <w:overflowPunct/>
              <w:topLinePunct w:val="0"/>
              <w:bidi w:val="0"/>
              <w:spacing w:line="240" w:lineRule="auto"/>
              <w:ind w:left="0" w:firstLine="0" w:firstLineChars="0"/>
              <w:jc w:val="center"/>
              <w:rPr>
                <w:rFonts w:hint="eastAsia"/>
                <w:color w:val="000000" w:themeColor="text1"/>
                <w:sz w:val="24"/>
                <w:highlight w:val="none"/>
              </w:rPr>
            </w:pPr>
            <w:r>
              <w:rPr>
                <w:rFonts w:ascii="宋体" w:hAnsi="宋体"/>
                <w:color w:val="000000" w:themeColor="text1"/>
                <w:sz w:val="24"/>
                <w:highlight w:val="none"/>
              </w:rPr>
              <w:t>九江市柴桑区</w:t>
            </w:r>
            <w:r>
              <w:rPr>
                <w:rFonts w:hint="eastAsia" w:ascii="宋体" w:hAnsi="宋体"/>
                <w:color w:val="000000" w:themeColor="text1"/>
                <w:sz w:val="24"/>
                <w:highlight w:val="none"/>
                <w:lang w:val="en-US" w:eastAsia="zh-CN"/>
              </w:rPr>
              <w:t>赤湖</w:t>
            </w:r>
            <w:r>
              <w:rPr>
                <w:rFonts w:ascii="宋体" w:hAnsi="宋体"/>
                <w:color w:val="000000" w:themeColor="text1"/>
                <w:sz w:val="24"/>
                <w:highlight w:val="none"/>
              </w:rPr>
              <w:t>工业园</w:t>
            </w:r>
            <w:r>
              <w:rPr>
                <w:rFonts w:hint="eastAsia" w:cs="Times New Roman"/>
                <w:color w:val="000000" w:themeColor="text1"/>
                <w:sz w:val="24"/>
                <w:highlight w:val="none"/>
                <w:lang w:val="en-US" w:eastAsia="zh-CN"/>
              </w:rPr>
              <w:t>兴业大道以南、通江东路以东</w:t>
            </w:r>
          </w:p>
        </w:tc>
      </w:tr>
      <w:tr w14:paraId="4E15F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71192464">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地理坐标</w:t>
            </w:r>
          </w:p>
        </w:tc>
        <w:tc>
          <w:tcPr>
            <w:tcW w:w="8258" w:type="dxa"/>
            <w:gridSpan w:val="3"/>
            <w:noWrap w:val="0"/>
            <w:vAlign w:val="center"/>
          </w:tcPr>
          <w:p w14:paraId="2E1132C9">
            <w:pPr>
              <w:pageBreakBefore w:val="0"/>
              <w:kinsoku/>
              <w:overflowPunct/>
              <w:topLinePunct w:val="0"/>
              <w:bidi w:val="0"/>
              <w:spacing w:line="240" w:lineRule="auto"/>
              <w:ind w:left="0" w:firstLine="0" w:firstLineChars="0"/>
              <w:jc w:val="center"/>
              <w:rPr>
                <w:color w:val="000000" w:themeColor="text1"/>
                <w:sz w:val="24"/>
                <w:highlight w:val="none"/>
              </w:rPr>
            </w:pPr>
            <w:r>
              <w:rPr>
                <w:color w:val="000000" w:themeColor="text1"/>
                <w:sz w:val="24"/>
                <w:highlight w:val="none"/>
              </w:rPr>
              <w:t>（</w:t>
            </w:r>
            <w:r>
              <w:rPr>
                <w:rFonts w:hint="eastAsia"/>
                <w:color w:val="000000" w:themeColor="text1"/>
                <w:sz w:val="24"/>
                <w:highlight w:val="none"/>
                <w:lang w:val="en-US" w:eastAsia="zh-CN"/>
              </w:rPr>
              <w:t>东经</w:t>
            </w:r>
            <w:r>
              <w:rPr>
                <w:color w:val="000000" w:themeColor="text1"/>
                <w:sz w:val="24"/>
                <w:highlight w:val="none"/>
                <w:u w:val="single"/>
              </w:rPr>
              <w:t xml:space="preserve">  115  </w:t>
            </w:r>
            <w:r>
              <w:rPr>
                <w:color w:val="000000" w:themeColor="text1"/>
                <w:sz w:val="24"/>
                <w:highlight w:val="none"/>
              </w:rPr>
              <w:t>度</w:t>
            </w:r>
            <w:r>
              <w:rPr>
                <w:color w:val="000000" w:themeColor="text1"/>
                <w:sz w:val="24"/>
                <w:highlight w:val="none"/>
                <w:u w:val="single"/>
              </w:rPr>
              <w:t xml:space="preserve">  </w:t>
            </w:r>
            <w:r>
              <w:rPr>
                <w:rFonts w:hint="eastAsia"/>
                <w:color w:val="000000" w:themeColor="text1"/>
                <w:sz w:val="24"/>
                <w:highlight w:val="none"/>
                <w:u w:val="single"/>
                <w:lang w:val="en-US" w:eastAsia="zh-CN"/>
              </w:rPr>
              <w:t>44</w:t>
            </w:r>
            <w:r>
              <w:rPr>
                <w:color w:val="000000" w:themeColor="text1"/>
                <w:sz w:val="24"/>
                <w:highlight w:val="none"/>
                <w:u w:val="single"/>
              </w:rPr>
              <w:t xml:space="preserve">  </w:t>
            </w:r>
            <w:r>
              <w:rPr>
                <w:color w:val="000000" w:themeColor="text1"/>
                <w:sz w:val="24"/>
                <w:highlight w:val="none"/>
              </w:rPr>
              <w:t>分</w:t>
            </w:r>
            <w:r>
              <w:rPr>
                <w:color w:val="000000" w:themeColor="text1"/>
                <w:sz w:val="24"/>
                <w:highlight w:val="none"/>
                <w:u w:val="single"/>
              </w:rPr>
              <w:t xml:space="preserve">  </w:t>
            </w:r>
            <w:r>
              <w:rPr>
                <w:rFonts w:hint="eastAsia"/>
                <w:color w:val="000000" w:themeColor="text1"/>
                <w:sz w:val="24"/>
                <w:highlight w:val="none"/>
                <w:u w:val="single"/>
                <w:lang w:val="en-US" w:eastAsia="zh-CN"/>
              </w:rPr>
              <w:t>55.135</w:t>
            </w:r>
            <w:r>
              <w:rPr>
                <w:color w:val="000000" w:themeColor="text1"/>
                <w:sz w:val="24"/>
                <w:highlight w:val="none"/>
                <w:u w:val="single"/>
              </w:rPr>
              <w:t xml:space="preserve"> </w:t>
            </w:r>
            <w:r>
              <w:rPr>
                <w:color w:val="000000" w:themeColor="text1"/>
                <w:sz w:val="24"/>
                <w:highlight w:val="none"/>
              </w:rPr>
              <w:t>秒，</w:t>
            </w:r>
            <w:r>
              <w:rPr>
                <w:rFonts w:hint="eastAsia"/>
                <w:color w:val="000000" w:themeColor="text1"/>
                <w:sz w:val="24"/>
                <w:highlight w:val="none"/>
                <w:lang w:val="en-US" w:eastAsia="zh-CN"/>
              </w:rPr>
              <w:t>北纬</w:t>
            </w:r>
            <w:r>
              <w:rPr>
                <w:color w:val="000000" w:themeColor="text1"/>
                <w:sz w:val="24"/>
                <w:highlight w:val="none"/>
                <w:u w:val="single"/>
              </w:rPr>
              <w:t xml:space="preserve">  2</w:t>
            </w:r>
            <w:r>
              <w:rPr>
                <w:rFonts w:hint="eastAsia"/>
                <w:color w:val="000000" w:themeColor="text1"/>
                <w:sz w:val="24"/>
                <w:highlight w:val="none"/>
                <w:u w:val="single"/>
              </w:rPr>
              <w:t>9</w:t>
            </w:r>
            <w:r>
              <w:rPr>
                <w:color w:val="000000" w:themeColor="text1"/>
                <w:sz w:val="24"/>
                <w:highlight w:val="none"/>
                <w:u w:val="single"/>
              </w:rPr>
              <w:t xml:space="preserve"> </w:t>
            </w:r>
            <w:r>
              <w:rPr>
                <w:color w:val="000000" w:themeColor="text1"/>
                <w:sz w:val="24"/>
                <w:highlight w:val="none"/>
              </w:rPr>
              <w:t>度</w:t>
            </w:r>
            <w:r>
              <w:rPr>
                <w:color w:val="000000" w:themeColor="text1"/>
                <w:sz w:val="24"/>
                <w:highlight w:val="none"/>
                <w:u w:val="single"/>
              </w:rPr>
              <w:t xml:space="preserve">  </w:t>
            </w:r>
            <w:r>
              <w:rPr>
                <w:rFonts w:hint="eastAsia"/>
                <w:color w:val="000000" w:themeColor="text1"/>
                <w:sz w:val="24"/>
                <w:highlight w:val="none"/>
                <w:u w:val="single"/>
                <w:lang w:val="en-US" w:eastAsia="zh-CN"/>
              </w:rPr>
              <w:t xml:space="preserve">46 </w:t>
            </w:r>
            <w:r>
              <w:rPr>
                <w:color w:val="000000" w:themeColor="text1"/>
                <w:sz w:val="24"/>
                <w:highlight w:val="none"/>
              </w:rPr>
              <w:t>分</w:t>
            </w:r>
            <w:r>
              <w:rPr>
                <w:color w:val="000000" w:themeColor="text1"/>
                <w:sz w:val="24"/>
                <w:highlight w:val="none"/>
                <w:u w:val="single"/>
              </w:rPr>
              <w:t xml:space="preserve"> </w:t>
            </w:r>
            <w:r>
              <w:rPr>
                <w:rFonts w:hint="eastAsia"/>
                <w:color w:val="000000" w:themeColor="text1"/>
                <w:sz w:val="24"/>
                <w:highlight w:val="none"/>
                <w:u w:val="single"/>
                <w:lang w:val="en-US" w:eastAsia="zh-CN"/>
              </w:rPr>
              <w:t>36.516</w:t>
            </w:r>
            <w:r>
              <w:rPr>
                <w:color w:val="000000" w:themeColor="text1"/>
                <w:sz w:val="24"/>
                <w:highlight w:val="none"/>
                <w:u w:val="single"/>
              </w:rPr>
              <w:t xml:space="preserve">  </w:t>
            </w:r>
            <w:r>
              <w:rPr>
                <w:color w:val="000000" w:themeColor="text1"/>
                <w:sz w:val="24"/>
                <w:highlight w:val="none"/>
              </w:rPr>
              <w:t>秒）</w:t>
            </w:r>
          </w:p>
        </w:tc>
      </w:tr>
      <w:tr w14:paraId="1C4B0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66" w:type="dxa"/>
            <w:noWrap w:val="0"/>
            <w:tcMar>
              <w:top w:w="16" w:type="dxa"/>
              <w:left w:w="16" w:type="dxa"/>
              <w:right w:w="16" w:type="dxa"/>
            </w:tcMar>
            <w:vAlign w:val="center"/>
          </w:tcPr>
          <w:p w14:paraId="38E1D972">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国民经济</w:t>
            </w:r>
          </w:p>
          <w:p w14:paraId="5433F240">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行业类别</w:t>
            </w:r>
          </w:p>
        </w:tc>
        <w:tc>
          <w:tcPr>
            <w:tcW w:w="2853" w:type="dxa"/>
            <w:noWrap w:val="0"/>
            <w:vAlign w:val="center"/>
          </w:tcPr>
          <w:p w14:paraId="60516F78">
            <w:pPr>
              <w:pageBreakBefore w:val="0"/>
              <w:kinsoku/>
              <w:overflowPunct/>
              <w:topLinePunct w:val="0"/>
              <w:bidi w:val="0"/>
              <w:spacing w:line="240" w:lineRule="auto"/>
              <w:ind w:left="0" w:firstLine="0" w:firstLineChars="0"/>
              <w:jc w:val="left"/>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 xml:space="preserve">C2929 塑料零件及其他塑料制品制造 </w:t>
            </w:r>
          </w:p>
          <w:p w14:paraId="4095183E">
            <w:pPr>
              <w:pageBreakBefore w:val="0"/>
              <w:kinsoku/>
              <w:overflowPunct/>
              <w:topLinePunct w:val="0"/>
              <w:bidi w:val="0"/>
              <w:spacing w:line="240" w:lineRule="auto"/>
              <w:ind w:left="0" w:firstLine="0" w:firstLineChars="0"/>
              <w:jc w:val="left"/>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C</w:t>
            </w:r>
            <w:r>
              <w:rPr>
                <w:rFonts w:hint="eastAsia" w:ascii="Times New Roman" w:hAnsi="Times New Roman" w:eastAsia="宋体" w:cs="Times New Roman"/>
                <w:color w:val="000000" w:themeColor="text1"/>
                <w:sz w:val="24"/>
                <w:highlight w:val="none"/>
                <w:lang w:val="en-US" w:eastAsia="zh-CN"/>
              </w:rPr>
              <w:t>4220非金属废料和碎屑加工处理</w:t>
            </w:r>
            <w:r>
              <w:rPr>
                <w:rFonts w:hint="default" w:ascii="Times New Roman" w:hAnsi="Times New Roman" w:eastAsia="宋体" w:cs="Times New Roman"/>
                <w:color w:val="000000" w:themeColor="text1"/>
                <w:sz w:val="24"/>
                <w:highlight w:val="none"/>
                <w:lang w:val="en-US" w:eastAsia="zh-CN"/>
              </w:rPr>
              <w:t xml:space="preserve"> </w:t>
            </w:r>
          </w:p>
          <w:p w14:paraId="1939E044">
            <w:pPr>
              <w:pageBreakBefore w:val="0"/>
              <w:kinsoku/>
              <w:overflowPunct/>
              <w:topLinePunct w:val="0"/>
              <w:bidi w:val="0"/>
              <w:spacing w:line="240" w:lineRule="auto"/>
              <w:ind w:left="0" w:firstLine="0" w:firstLineChars="0"/>
              <w:jc w:val="left"/>
              <w:rPr>
                <w:rFonts w:hint="default" w:ascii="Times New Roman" w:hAnsi="Times New Roman" w:eastAsia="宋体" w:cs="Times New Roman"/>
                <w:color w:val="000000" w:themeColor="text1"/>
                <w:sz w:val="24"/>
                <w:highlight w:val="none"/>
                <w:lang w:val="en-US" w:eastAsia="zh-CN"/>
              </w:rPr>
            </w:pPr>
            <w:r>
              <w:rPr>
                <w:rFonts w:hint="eastAsia"/>
                <w:color w:val="000000" w:themeColor="text1"/>
                <w:sz w:val="24"/>
                <w:szCs w:val="24"/>
              </w:rPr>
              <w:t>N7723固体废物治理</w:t>
            </w:r>
          </w:p>
        </w:tc>
        <w:tc>
          <w:tcPr>
            <w:tcW w:w="1889" w:type="dxa"/>
            <w:noWrap w:val="0"/>
            <w:vAlign w:val="center"/>
          </w:tcPr>
          <w:p w14:paraId="735BCB86">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bookmarkStart w:id="1" w:name="_Hlk49843745"/>
            <w:r>
              <w:rPr>
                <w:b/>
                <w:bCs/>
                <w:color w:val="000000" w:themeColor="text1"/>
                <w:sz w:val="24"/>
                <w:highlight w:val="none"/>
              </w:rPr>
              <w:t>建设项目</w:t>
            </w:r>
          </w:p>
          <w:p w14:paraId="44F7569A">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行业类别</w:t>
            </w:r>
            <w:bookmarkEnd w:id="1"/>
          </w:p>
        </w:tc>
        <w:tc>
          <w:tcPr>
            <w:tcW w:w="3516" w:type="dxa"/>
            <w:noWrap w:val="0"/>
            <w:vAlign w:val="center"/>
          </w:tcPr>
          <w:p w14:paraId="5BC219FB">
            <w:pPr>
              <w:pageBreakBefore w:val="0"/>
              <w:kinsoku/>
              <w:overflowPunct/>
              <w:topLinePunct w:val="0"/>
              <w:bidi w:val="0"/>
              <w:spacing w:line="240" w:lineRule="auto"/>
              <w:ind w:left="0" w:firstLine="0" w:firstLineChars="0"/>
              <w:jc w:val="left"/>
              <w:rPr>
                <w:rFonts w:hint="default" w:ascii="Times New Roman" w:hAnsi="Times New Roman" w:eastAsia="宋体" w:cs="Times New Roman"/>
                <w:color w:val="000000" w:themeColor="text1"/>
                <w:sz w:val="24"/>
                <w:highlight w:val="none"/>
                <w:lang w:val="en-US" w:eastAsia="zh-CN"/>
              </w:rPr>
            </w:pPr>
            <w:r>
              <w:rPr>
                <w:rFonts w:hint="eastAsia" w:ascii="Times New Roman" w:hAnsi="Times New Roman" w:eastAsia="宋体" w:cs="Times New Roman"/>
                <w:color w:val="000000" w:themeColor="text1"/>
                <w:sz w:val="24"/>
                <w:highlight w:val="none"/>
                <w:lang w:val="en-US" w:eastAsia="zh-CN"/>
              </w:rPr>
              <w:t>二十六</w:t>
            </w:r>
            <w:r>
              <w:rPr>
                <w:rFonts w:ascii="Times New Roman" w:hAnsi="Times New Roman" w:eastAsia="宋体" w:cs="Times New Roman"/>
                <w:color w:val="000000" w:themeColor="text1"/>
                <w:sz w:val="24"/>
                <w:highlight w:val="none"/>
              </w:rPr>
              <w:t>、</w:t>
            </w:r>
            <w:r>
              <w:rPr>
                <w:rFonts w:hint="eastAsia" w:ascii="Times New Roman" w:hAnsi="Times New Roman" w:eastAsia="宋体" w:cs="Times New Roman"/>
                <w:color w:val="000000" w:themeColor="text1"/>
                <w:sz w:val="24"/>
                <w:highlight w:val="none"/>
                <w:lang w:val="en-US" w:eastAsia="zh-CN"/>
              </w:rPr>
              <w:t xml:space="preserve">橡胶和塑料制品业 29 </w:t>
            </w:r>
            <w:r>
              <w:rPr>
                <w:rFonts w:hint="default" w:ascii="Times New Roman" w:hAnsi="Times New Roman" w:eastAsia="宋体" w:cs="Times New Roman"/>
                <w:color w:val="000000" w:themeColor="text1"/>
                <w:sz w:val="24"/>
                <w:highlight w:val="none"/>
                <w:lang w:val="en-US" w:eastAsia="zh-CN"/>
              </w:rPr>
              <w:t xml:space="preserve"> 塑料制品业292</w:t>
            </w:r>
          </w:p>
          <w:p w14:paraId="38217C62">
            <w:pPr>
              <w:pageBreakBefore w:val="0"/>
              <w:kinsoku/>
              <w:overflowPunct/>
              <w:topLinePunct w:val="0"/>
              <w:bidi w:val="0"/>
              <w:spacing w:line="240" w:lineRule="auto"/>
              <w:ind w:left="0" w:firstLine="0" w:firstLineChars="0"/>
              <w:jc w:val="left"/>
              <w:rPr>
                <w:rFonts w:hint="eastAsia" w:ascii="Times New Roman" w:hAnsi="Times New Roman" w:eastAsia="宋体" w:cs="Times New Roman"/>
                <w:color w:val="000000" w:themeColor="text1"/>
                <w:sz w:val="24"/>
                <w:highlight w:val="none"/>
                <w:lang w:val="en-US" w:eastAsia="zh-CN"/>
              </w:rPr>
            </w:pPr>
            <w:r>
              <w:rPr>
                <w:rFonts w:hint="eastAsia" w:ascii="Times New Roman" w:hAnsi="Times New Roman" w:eastAsia="宋体" w:cs="Times New Roman"/>
                <w:color w:val="000000" w:themeColor="text1"/>
                <w:sz w:val="24"/>
                <w:highlight w:val="none"/>
                <w:lang w:val="en-US" w:eastAsia="zh-CN"/>
              </w:rPr>
              <w:t>三十九、废弃资源综合利用业 42  非金属废料和碎屑加工处理 422</w:t>
            </w:r>
          </w:p>
          <w:p w14:paraId="167C390F">
            <w:pPr>
              <w:pageBreakBefore w:val="0"/>
              <w:kinsoku/>
              <w:overflowPunct/>
              <w:topLinePunct w:val="0"/>
              <w:bidi w:val="0"/>
              <w:spacing w:line="240" w:lineRule="auto"/>
              <w:ind w:left="0" w:firstLine="0" w:firstLineChars="0"/>
              <w:jc w:val="left"/>
              <w:rPr>
                <w:rFonts w:hint="default" w:ascii="Times New Roman" w:hAnsi="Times New Roman" w:eastAsia="宋体" w:cs="Times New Roman"/>
                <w:color w:val="000000" w:themeColor="text1"/>
                <w:sz w:val="24"/>
                <w:highlight w:val="none"/>
                <w:lang w:val="en-US" w:eastAsia="zh-CN"/>
              </w:rPr>
            </w:pPr>
            <w:r>
              <w:rPr>
                <w:rFonts w:hint="eastAsia"/>
                <w:color w:val="000000" w:themeColor="text1"/>
                <w:sz w:val="24"/>
                <w:szCs w:val="24"/>
              </w:rPr>
              <w:t>四十七、生态保护和环境治理业；103一般工业固体废物（含污水处理污泥）、建筑施工废弃物处置及</w:t>
            </w:r>
            <w:r>
              <w:rPr>
                <w:color w:val="000000" w:themeColor="text1"/>
                <w:sz w:val="24"/>
                <w:szCs w:val="24"/>
              </w:rPr>
              <w:t>综合利用</w:t>
            </w:r>
            <w:r>
              <w:rPr>
                <w:rFonts w:hint="eastAsia"/>
                <w:color w:val="000000" w:themeColor="text1"/>
                <w:sz w:val="24"/>
                <w:szCs w:val="24"/>
                <w:lang w:eastAsia="zh-CN"/>
              </w:rPr>
              <w:t>：</w:t>
            </w:r>
            <w:r>
              <w:rPr>
                <w:rFonts w:hint="eastAsia"/>
                <w:color w:val="000000" w:themeColor="text1"/>
                <w:sz w:val="24"/>
                <w:szCs w:val="24"/>
              </w:rPr>
              <w:t>其他</w:t>
            </w:r>
          </w:p>
        </w:tc>
      </w:tr>
      <w:tr w14:paraId="67B8F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66" w:type="dxa"/>
            <w:noWrap w:val="0"/>
            <w:tcMar>
              <w:top w:w="16" w:type="dxa"/>
              <w:left w:w="16" w:type="dxa"/>
              <w:right w:w="16" w:type="dxa"/>
            </w:tcMar>
            <w:vAlign w:val="center"/>
          </w:tcPr>
          <w:p w14:paraId="3AD94B1A">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建设性质</w:t>
            </w:r>
          </w:p>
        </w:tc>
        <w:tc>
          <w:tcPr>
            <w:tcW w:w="2853" w:type="dxa"/>
            <w:noWrap w:val="0"/>
            <w:vAlign w:val="center"/>
          </w:tcPr>
          <w:p w14:paraId="6895485F">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A3"/>
            </w:r>
            <w:r>
              <w:rPr>
                <w:color w:val="000000" w:themeColor="text1"/>
                <w:sz w:val="24"/>
                <w:highlight w:val="none"/>
              </w:rPr>
              <w:t>新建（迁建）</w:t>
            </w:r>
          </w:p>
          <w:p w14:paraId="4AD99900">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52"/>
            </w:r>
            <w:r>
              <w:rPr>
                <w:color w:val="000000" w:themeColor="text1"/>
                <w:sz w:val="24"/>
                <w:highlight w:val="none"/>
              </w:rPr>
              <w:t>改</w:t>
            </w:r>
            <w:r>
              <w:rPr>
                <w:rFonts w:hint="eastAsia"/>
                <w:color w:val="000000" w:themeColor="text1"/>
                <w:sz w:val="24"/>
                <w:highlight w:val="none"/>
              </w:rPr>
              <w:t>、</w:t>
            </w:r>
            <w:r>
              <w:rPr>
                <w:color w:val="000000" w:themeColor="text1"/>
                <w:sz w:val="24"/>
                <w:highlight w:val="none"/>
              </w:rPr>
              <w:t>扩建</w:t>
            </w:r>
          </w:p>
          <w:p w14:paraId="288D26CA">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A3"/>
            </w:r>
            <w:r>
              <w:rPr>
                <w:color w:val="000000" w:themeColor="text1"/>
                <w:sz w:val="24"/>
                <w:highlight w:val="none"/>
              </w:rPr>
              <w:t>技术改造</w:t>
            </w:r>
          </w:p>
        </w:tc>
        <w:tc>
          <w:tcPr>
            <w:tcW w:w="1889" w:type="dxa"/>
            <w:noWrap w:val="0"/>
            <w:vAlign w:val="center"/>
          </w:tcPr>
          <w:p w14:paraId="365E14AF">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建设项目</w:t>
            </w:r>
          </w:p>
          <w:p w14:paraId="682A6628">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申报情形</w:t>
            </w:r>
          </w:p>
        </w:tc>
        <w:tc>
          <w:tcPr>
            <w:tcW w:w="3516" w:type="dxa"/>
            <w:noWrap w:val="0"/>
            <w:vAlign w:val="center"/>
          </w:tcPr>
          <w:p w14:paraId="20E01DBC">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52"/>
            </w:r>
            <w:r>
              <w:rPr>
                <w:color w:val="000000" w:themeColor="text1"/>
                <w:sz w:val="24"/>
                <w:highlight w:val="none"/>
              </w:rPr>
              <w:t xml:space="preserve">首次申报项目             </w:t>
            </w:r>
          </w:p>
          <w:p w14:paraId="2389D3CC">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A3"/>
            </w:r>
            <w:r>
              <w:rPr>
                <w:color w:val="000000" w:themeColor="text1"/>
                <w:sz w:val="24"/>
                <w:highlight w:val="none"/>
              </w:rPr>
              <w:t>不予批准后再次申报项目</w:t>
            </w:r>
          </w:p>
          <w:p w14:paraId="20E29283">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A3"/>
            </w:r>
            <w:r>
              <w:rPr>
                <w:color w:val="000000" w:themeColor="text1"/>
                <w:sz w:val="24"/>
                <w:highlight w:val="none"/>
              </w:rPr>
              <w:t xml:space="preserve">超五年重新审核项目     </w:t>
            </w:r>
          </w:p>
          <w:p w14:paraId="108EC38B">
            <w:pPr>
              <w:pageBreakBefore w:val="0"/>
              <w:kinsoku/>
              <w:overflowPunct/>
              <w:topLinePunct w:val="0"/>
              <w:bidi w:val="0"/>
              <w:spacing w:line="240" w:lineRule="auto"/>
              <w:ind w:left="0" w:firstLine="0" w:firstLineChars="0"/>
              <w:jc w:val="left"/>
              <w:rPr>
                <w:color w:val="000000" w:themeColor="text1"/>
                <w:sz w:val="24"/>
                <w:highlight w:val="none"/>
              </w:rPr>
            </w:pPr>
            <w:r>
              <w:rPr>
                <w:color w:val="000000" w:themeColor="text1"/>
                <w:sz w:val="24"/>
                <w:highlight w:val="none"/>
              </w:rPr>
              <w:sym w:font="Wingdings 2" w:char="00A3"/>
            </w:r>
            <w:r>
              <w:rPr>
                <w:color w:val="000000" w:themeColor="text1"/>
                <w:sz w:val="24"/>
                <w:highlight w:val="none"/>
              </w:rPr>
              <w:t>重大变动重新报批项目</w:t>
            </w:r>
          </w:p>
        </w:tc>
      </w:tr>
      <w:tr w14:paraId="5327D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66" w:type="dxa"/>
            <w:noWrap w:val="0"/>
            <w:tcMar>
              <w:top w:w="16" w:type="dxa"/>
              <w:left w:w="16" w:type="dxa"/>
              <w:right w:w="16" w:type="dxa"/>
            </w:tcMar>
            <w:vAlign w:val="center"/>
          </w:tcPr>
          <w:p w14:paraId="759778C4">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项目审批（核准/</w:t>
            </w:r>
          </w:p>
          <w:p w14:paraId="5359D2B4">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备案）部门（选填）</w:t>
            </w:r>
          </w:p>
        </w:tc>
        <w:tc>
          <w:tcPr>
            <w:tcW w:w="2853" w:type="dxa"/>
            <w:noWrap w:val="0"/>
            <w:vAlign w:val="center"/>
          </w:tcPr>
          <w:p w14:paraId="17CA67CA">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江西九江沙城工业园区管理委员会</w:t>
            </w:r>
          </w:p>
        </w:tc>
        <w:tc>
          <w:tcPr>
            <w:tcW w:w="1889" w:type="dxa"/>
            <w:noWrap w:val="0"/>
            <w:vAlign w:val="center"/>
          </w:tcPr>
          <w:p w14:paraId="39018C54">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项目审批（核准/</w:t>
            </w:r>
          </w:p>
          <w:p w14:paraId="465B8D30">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备案）文号（选填）</w:t>
            </w:r>
          </w:p>
        </w:tc>
        <w:tc>
          <w:tcPr>
            <w:tcW w:w="3516" w:type="dxa"/>
            <w:noWrap w:val="0"/>
            <w:vAlign w:val="center"/>
          </w:tcPr>
          <w:p w14:paraId="5DAB0755">
            <w:pPr>
              <w:pageBreakBefore w:val="0"/>
              <w:kinsoku/>
              <w:overflowPunct/>
              <w:topLinePunct w:val="0"/>
              <w:bidi w:val="0"/>
              <w:adjustRightInd w:val="0"/>
              <w:snapToGrid w:val="0"/>
              <w:spacing w:line="240" w:lineRule="auto"/>
              <w:ind w:left="0" w:firstLine="0" w:firstLineChars="0"/>
              <w:jc w:val="center"/>
              <w:rPr>
                <w:color w:val="000000" w:themeColor="text1"/>
                <w:sz w:val="24"/>
                <w:highlight w:val="none"/>
              </w:rPr>
            </w:pPr>
            <w:r>
              <w:rPr>
                <w:rFonts w:hint="eastAsia"/>
                <w:color w:val="000000" w:themeColor="text1"/>
                <w:sz w:val="24"/>
                <w:highlight w:val="none"/>
                <w:lang w:val="en-US" w:eastAsia="zh-CN"/>
              </w:rPr>
              <w:t>2504-360421-07-02-690797</w:t>
            </w:r>
          </w:p>
        </w:tc>
      </w:tr>
      <w:tr w14:paraId="28B27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63F6ECCE">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总投资（万元）</w:t>
            </w:r>
          </w:p>
        </w:tc>
        <w:tc>
          <w:tcPr>
            <w:tcW w:w="2853" w:type="dxa"/>
            <w:noWrap w:val="0"/>
            <w:vAlign w:val="center"/>
          </w:tcPr>
          <w:p w14:paraId="01372ECA">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4000</w:t>
            </w:r>
          </w:p>
        </w:tc>
        <w:tc>
          <w:tcPr>
            <w:tcW w:w="1889" w:type="dxa"/>
            <w:noWrap w:val="0"/>
            <w:tcMar>
              <w:top w:w="16" w:type="dxa"/>
              <w:left w:w="16" w:type="dxa"/>
              <w:right w:w="16" w:type="dxa"/>
            </w:tcMar>
            <w:vAlign w:val="center"/>
          </w:tcPr>
          <w:p w14:paraId="460C6A41">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环保投资（万元）</w:t>
            </w:r>
          </w:p>
        </w:tc>
        <w:tc>
          <w:tcPr>
            <w:tcW w:w="3516" w:type="dxa"/>
            <w:noWrap w:val="0"/>
            <w:vAlign w:val="center"/>
          </w:tcPr>
          <w:p w14:paraId="2F12B6D6">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50</w:t>
            </w:r>
          </w:p>
        </w:tc>
      </w:tr>
      <w:tr w14:paraId="77586A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742A8918">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环保投资占比（%）</w:t>
            </w:r>
          </w:p>
        </w:tc>
        <w:tc>
          <w:tcPr>
            <w:tcW w:w="2853" w:type="dxa"/>
            <w:noWrap w:val="0"/>
            <w:vAlign w:val="center"/>
          </w:tcPr>
          <w:p w14:paraId="6DD0E8E4">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1.25</w:t>
            </w:r>
          </w:p>
        </w:tc>
        <w:tc>
          <w:tcPr>
            <w:tcW w:w="1889" w:type="dxa"/>
            <w:noWrap w:val="0"/>
            <w:tcMar>
              <w:top w:w="16" w:type="dxa"/>
              <w:left w:w="16" w:type="dxa"/>
              <w:right w:w="16" w:type="dxa"/>
            </w:tcMar>
            <w:vAlign w:val="center"/>
          </w:tcPr>
          <w:p w14:paraId="13AF365A">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施工工期</w:t>
            </w:r>
          </w:p>
        </w:tc>
        <w:tc>
          <w:tcPr>
            <w:tcW w:w="3516" w:type="dxa"/>
            <w:noWrap w:val="0"/>
            <w:vAlign w:val="center"/>
          </w:tcPr>
          <w:p w14:paraId="4B6CB732">
            <w:pPr>
              <w:pageBreakBefore w:val="0"/>
              <w:kinsoku/>
              <w:overflowPunct/>
              <w:topLinePunct w:val="0"/>
              <w:bidi w:val="0"/>
              <w:adjustRightInd w:val="0"/>
              <w:snapToGrid w:val="0"/>
              <w:spacing w:line="240" w:lineRule="auto"/>
              <w:ind w:left="0" w:firstLine="0" w:firstLineChars="0"/>
              <w:jc w:val="center"/>
              <w:rPr>
                <w:rFonts w:hint="eastAsia" w:eastAsia="宋体"/>
                <w:color w:val="000000" w:themeColor="text1"/>
                <w:sz w:val="24"/>
                <w:highlight w:val="none"/>
                <w:lang w:val="en-US" w:eastAsia="zh-CN"/>
              </w:rPr>
            </w:pPr>
            <w:r>
              <w:rPr>
                <w:rFonts w:hint="eastAsia"/>
                <w:color w:val="000000" w:themeColor="text1"/>
                <w:sz w:val="24"/>
                <w:highlight w:val="none"/>
                <w:lang w:val="en-US" w:eastAsia="zh-CN"/>
              </w:rPr>
              <w:t>6</w:t>
            </w:r>
          </w:p>
        </w:tc>
      </w:tr>
      <w:tr w14:paraId="525BF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66" w:type="dxa"/>
            <w:noWrap w:val="0"/>
            <w:tcMar>
              <w:top w:w="16" w:type="dxa"/>
              <w:left w:w="16" w:type="dxa"/>
              <w:right w:w="16" w:type="dxa"/>
            </w:tcMar>
            <w:vAlign w:val="center"/>
          </w:tcPr>
          <w:p w14:paraId="4399E4D4">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是否开工建设</w:t>
            </w:r>
          </w:p>
        </w:tc>
        <w:tc>
          <w:tcPr>
            <w:tcW w:w="2853" w:type="dxa"/>
            <w:noWrap w:val="0"/>
            <w:vAlign w:val="center"/>
          </w:tcPr>
          <w:p w14:paraId="6328A016">
            <w:pPr>
              <w:pageBreakBefore w:val="0"/>
              <w:kinsoku/>
              <w:overflowPunct/>
              <w:topLinePunct w:val="0"/>
              <w:bidi w:val="0"/>
              <w:adjustRightInd w:val="0"/>
              <w:snapToGrid w:val="0"/>
              <w:spacing w:line="240" w:lineRule="auto"/>
              <w:ind w:left="0" w:firstLine="0" w:firstLineChars="0"/>
              <w:jc w:val="center"/>
              <w:rPr>
                <w:color w:val="000000" w:themeColor="text1"/>
                <w:sz w:val="24"/>
                <w:highlight w:val="none"/>
              </w:rPr>
            </w:pPr>
            <w:r>
              <w:rPr>
                <w:color w:val="000000" w:themeColor="text1"/>
                <w:sz w:val="24"/>
                <w:highlight w:val="none"/>
              </w:rPr>
              <w:t>否</w:t>
            </w:r>
          </w:p>
        </w:tc>
        <w:tc>
          <w:tcPr>
            <w:tcW w:w="1889" w:type="dxa"/>
            <w:noWrap w:val="0"/>
            <w:tcMar>
              <w:top w:w="16" w:type="dxa"/>
              <w:left w:w="16" w:type="dxa"/>
              <w:right w:w="16" w:type="dxa"/>
            </w:tcMar>
            <w:vAlign w:val="center"/>
          </w:tcPr>
          <w:p w14:paraId="6061BDB4">
            <w:pPr>
              <w:pageBreakBefore w:val="0"/>
              <w:kinsoku/>
              <w:overflowPunct/>
              <w:topLinePunct w:val="0"/>
              <w:bidi w:val="0"/>
              <w:adjustRightInd w:val="0"/>
              <w:snapToGrid w:val="0"/>
              <w:spacing w:line="240" w:lineRule="auto"/>
              <w:ind w:left="0" w:firstLine="0" w:firstLineChars="0"/>
              <w:jc w:val="center"/>
              <w:rPr>
                <w:b/>
                <w:bCs/>
                <w:color w:val="000000" w:themeColor="text1"/>
                <w:spacing w:val="-6"/>
                <w:sz w:val="24"/>
                <w:highlight w:val="none"/>
              </w:rPr>
            </w:pPr>
            <w:r>
              <w:rPr>
                <w:b/>
                <w:bCs/>
                <w:color w:val="000000" w:themeColor="text1"/>
                <w:spacing w:val="-6"/>
                <w:sz w:val="24"/>
                <w:highlight w:val="none"/>
              </w:rPr>
              <w:t>用地（用海）</w:t>
            </w:r>
          </w:p>
          <w:p w14:paraId="6C0C17C9">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pacing w:val="-6"/>
                <w:sz w:val="24"/>
                <w:highlight w:val="none"/>
              </w:rPr>
              <w:t>面积（m</w:t>
            </w:r>
            <w:r>
              <w:rPr>
                <w:b/>
                <w:bCs/>
                <w:color w:val="000000" w:themeColor="text1"/>
                <w:spacing w:val="-6"/>
                <w:sz w:val="24"/>
                <w:highlight w:val="none"/>
                <w:vertAlign w:val="superscript"/>
              </w:rPr>
              <w:t>2</w:t>
            </w:r>
            <w:r>
              <w:rPr>
                <w:b/>
                <w:bCs/>
                <w:color w:val="000000" w:themeColor="text1"/>
                <w:spacing w:val="-6"/>
                <w:sz w:val="24"/>
                <w:highlight w:val="none"/>
              </w:rPr>
              <w:t>）</w:t>
            </w:r>
          </w:p>
        </w:tc>
        <w:tc>
          <w:tcPr>
            <w:tcW w:w="3516" w:type="dxa"/>
            <w:noWrap w:val="0"/>
            <w:vAlign w:val="center"/>
          </w:tcPr>
          <w:p w14:paraId="1CAFBF1C">
            <w:pPr>
              <w:pageBreakBefore w:val="0"/>
              <w:kinsoku/>
              <w:overflowPunct/>
              <w:topLinePunct w:val="0"/>
              <w:bidi w:val="0"/>
              <w:adjustRightInd w:val="0"/>
              <w:snapToGrid w:val="0"/>
              <w:spacing w:line="240" w:lineRule="auto"/>
              <w:ind w:left="0" w:firstLine="0" w:firstLineChars="0"/>
              <w:jc w:val="center"/>
              <w:rPr>
                <w:rFonts w:hint="default" w:eastAsia="宋体"/>
                <w:color w:val="000000" w:themeColor="text1"/>
                <w:sz w:val="24"/>
                <w:highlight w:val="none"/>
                <w:lang w:val="en-US" w:eastAsia="zh-CN"/>
              </w:rPr>
            </w:pPr>
            <w:r>
              <w:rPr>
                <w:rFonts w:hint="eastAsia"/>
                <w:color w:val="000000" w:themeColor="text1"/>
                <w:sz w:val="24"/>
                <w:highlight w:val="none"/>
                <w:lang w:val="en-US" w:eastAsia="zh-CN"/>
              </w:rPr>
              <w:t>15100</w:t>
            </w:r>
          </w:p>
        </w:tc>
      </w:tr>
      <w:tr w14:paraId="156B4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66" w:type="dxa"/>
            <w:noWrap w:val="0"/>
            <w:vAlign w:val="center"/>
          </w:tcPr>
          <w:p w14:paraId="5ED3A9F3">
            <w:pPr>
              <w:pageBreakBefore w:val="0"/>
              <w:kinsoku/>
              <w:overflowPunct/>
              <w:topLinePunct w:val="0"/>
              <w:autoSpaceDE w:val="0"/>
              <w:autoSpaceDN w:val="0"/>
              <w:bidi w:val="0"/>
              <w:adjustRightInd w:val="0"/>
              <w:snapToGrid w:val="0"/>
              <w:spacing w:line="240" w:lineRule="auto"/>
              <w:ind w:left="0" w:firstLine="0" w:firstLineChars="0"/>
              <w:jc w:val="center"/>
              <w:rPr>
                <w:color w:val="000000" w:themeColor="text1"/>
                <w:kern w:val="0"/>
                <w:sz w:val="24"/>
                <w:highlight w:val="none"/>
              </w:rPr>
            </w:pPr>
            <w:r>
              <w:rPr>
                <w:b/>
                <w:bCs/>
                <w:color w:val="000000" w:themeColor="text1"/>
                <w:kern w:val="0"/>
                <w:sz w:val="24"/>
                <w:highlight w:val="none"/>
              </w:rPr>
              <w:t>专项评价设置情况</w:t>
            </w:r>
          </w:p>
        </w:tc>
        <w:tc>
          <w:tcPr>
            <w:tcW w:w="8258" w:type="dxa"/>
            <w:gridSpan w:val="3"/>
            <w:noWrap w:val="0"/>
            <w:vAlign w:val="center"/>
          </w:tcPr>
          <w:p w14:paraId="6EC2A9AF">
            <w:pPr>
              <w:pStyle w:val="136"/>
              <w:keepNext w:val="0"/>
              <w:keepLines w:val="0"/>
              <w:pageBreakBefore w:val="0"/>
              <w:widowControl w:val="0"/>
              <w:kinsoku/>
              <w:wordWrap/>
              <w:overflowPunct/>
              <w:topLinePunct w:val="0"/>
              <w:autoSpaceDE/>
              <w:autoSpaceDN/>
              <w:bidi w:val="0"/>
              <w:adjustRightInd/>
              <w:snapToGrid/>
              <w:spacing w:before="157" w:beforeLines="50" w:after="0" w:line="240" w:lineRule="auto"/>
              <w:ind w:left="0" w:firstLine="0" w:firstLineChars="0"/>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表1-1  专项评价设置情况表</w:t>
            </w:r>
          </w:p>
          <w:tbl>
            <w:tblPr>
              <w:tblStyle w:val="3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3443"/>
              <w:gridCol w:w="2743"/>
              <w:gridCol w:w="841"/>
            </w:tblGrid>
            <w:tr w14:paraId="53B284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15FC2A8F">
                  <w:pPr>
                    <w:pStyle w:val="169"/>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专项评价的类别</w:t>
                  </w:r>
                </w:p>
              </w:tc>
              <w:tc>
                <w:tcPr>
                  <w:tcW w:w="2140" w:type="pct"/>
                  <w:tcBorders>
                    <w:tl2br w:val="nil"/>
                    <w:tr2bl w:val="nil"/>
                  </w:tcBorders>
                  <w:noWrap w:val="0"/>
                  <w:vAlign w:val="center"/>
                </w:tcPr>
                <w:p w14:paraId="65715802">
                  <w:pPr>
                    <w:pStyle w:val="169"/>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设置原则</w:t>
                  </w:r>
                </w:p>
              </w:tc>
              <w:tc>
                <w:tcPr>
                  <w:tcW w:w="1705" w:type="pct"/>
                  <w:tcBorders>
                    <w:tl2br w:val="nil"/>
                    <w:tr2bl w:val="nil"/>
                  </w:tcBorders>
                  <w:noWrap w:val="0"/>
                  <w:vAlign w:val="center"/>
                </w:tcPr>
                <w:p w14:paraId="7F1C7A70">
                  <w:pPr>
                    <w:pStyle w:val="169"/>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本项目情况</w:t>
                  </w:r>
                </w:p>
              </w:tc>
              <w:tc>
                <w:tcPr>
                  <w:tcW w:w="522" w:type="pct"/>
                  <w:tcBorders>
                    <w:tl2br w:val="nil"/>
                    <w:tr2bl w:val="nil"/>
                  </w:tcBorders>
                  <w:noWrap w:val="0"/>
                  <w:vAlign w:val="center"/>
                </w:tcPr>
                <w:p w14:paraId="7180C825">
                  <w:pPr>
                    <w:pStyle w:val="169"/>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设置情况</w:t>
                  </w:r>
                </w:p>
              </w:tc>
            </w:tr>
            <w:tr w14:paraId="0778E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23D84F8B">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大气</w:t>
                  </w:r>
                </w:p>
              </w:tc>
              <w:tc>
                <w:tcPr>
                  <w:tcW w:w="2140" w:type="pct"/>
                  <w:tcBorders>
                    <w:tl2br w:val="nil"/>
                    <w:tr2bl w:val="nil"/>
                  </w:tcBorders>
                  <w:noWrap w:val="0"/>
                  <w:vAlign w:val="center"/>
                </w:tcPr>
                <w:p w14:paraId="63F346A0">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排放废气含有毒有害污染物1、二噁英、苯并[a]芘、氰化物、氯气且厂界外500米范围内有环境空气保护目标2的建设项目</w:t>
                  </w:r>
                </w:p>
              </w:tc>
              <w:tc>
                <w:tcPr>
                  <w:tcW w:w="1705" w:type="pct"/>
                  <w:tcBorders>
                    <w:tl2br w:val="nil"/>
                    <w:tr2bl w:val="nil"/>
                  </w:tcBorders>
                  <w:noWrap w:val="0"/>
                  <w:vAlign w:val="center"/>
                </w:tcPr>
                <w:p w14:paraId="06134CFC">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本项目废气</w:t>
                  </w:r>
                  <w:r>
                    <w:rPr>
                      <w:rFonts w:hint="eastAsia" w:cs="Times New Roman"/>
                      <w:bCs/>
                      <w:color w:val="000000" w:themeColor="text1"/>
                      <w:sz w:val="21"/>
                      <w:szCs w:val="21"/>
                      <w:lang w:val="en-US" w:eastAsia="zh-CN"/>
                    </w:rPr>
                    <w:t>不</w:t>
                  </w:r>
                  <w:r>
                    <w:rPr>
                      <w:rFonts w:hint="default" w:ascii="Times New Roman" w:hAnsi="Times New Roman" w:eastAsia="宋体" w:cs="Times New Roman"/>
                      <w:bCs/>
                      <w:color w:val="000000" w:themeColor="text1"/>
                      <w:sz w:val="21"/>
                      <w:szCs w:val="21"/>
                    </w:rPr>
                    <w:t>涉及有毒有害污染物、二噁英、苯并[a]芘、氰化物、氯气且厂界外500米范围内</w:t>
                  </w:r>
                  <w:r>
                    <w:rPr>
                      <w:rFonts w:hint="eastAsia" w:cs="Times New Roman"/>
                      <w:bCs/>
                      <w:color w:val="000000" w:themeColor="text1"/>
                      <w:sz w:val="21"/>
                      <w:szCs w:val="21"/>
                      <w:lang w:val="en-US" w:eastAsia="zh-CN"/>
                    </w:rPr>
                    <w:t>无</w:t>
                  </w:r>
                  <w:r>
                    <w:rPr>
                      <w:rFonts w:hint="default" w:ascii="Times New Roman" w:hAnsi="Times New Roman" w:eastAsia="宋体" w:cs="Times New Roman"/>
                      <w:bCs/>
                      <w:color w:val="000000" w:themeColor="text1"/>
                      <w:sz w:val="21"/>
                      <w:szCs w:val="21"/>
                    </w:rPr>
                    <w:t>环境空气保护目标</w:t>
                  </w:r>
                </w:p>
              </w:tc>
              <w:tc>
                <w:tcPr>
                  <w:tcW w:w="522" w:type="pct"/>
                  <w:tcBorders>
                    <w:tl2br w:val="nil"/>
                    <w:tr2bl w:val="nil"/>
                  </w:tcBorders>
                  <w:noWrap w:val="0"/>
                  <w:vAlign w:val="center"/>
                </w:tcPr>
                <w:p w14:paraId="3B2FDABC">
                  <w:pPr>
                    <w:pStyle w:val="55"/>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Cs/>
                      <w:color w:val="000000" w:themeColor="text1"/>
                      <w:sz w:val="21"/>
                      <w:szCs w:val="21"/>
                    </w:rPr>
                  </w:pPr>
                  <w:r>
                    <w:rPr>
                      <w:rFonts w:hint="eastAsia" w:cs="Times New Roman"/>
                      <w:bCs/>
                      <w:color w:val="000000" w:themeColor="text1"/>
                      <w:sz w:val="21"/>
                      <w:szCs w:val="21"/>
                      <w:lang w:val="en-US" w:eastAsia="zh-CN"/>
                    </w:rPr>
                    <w:t>不</w:t>
                  </w:r>
                  <w:r>
                    <w:rPr>
                      <w:rFonts w:hint="default" w:ascii="Times New Roman" w:hAnsi="Times New Roman" w:eastAsia="宋体" w:cs="Times New Roman"/>
                      <w:bCs/>
                      <w:color w:val="000000" w:themeColor="text1"/>
                      <w:sz w:val="21"/>
                      <w:szCs w:val="21"/>
                    </w:rPr>
                    <w:t>开展</w:t>
                  </w:r>
                </w:p>
              </w:tc>
            </w:tr>
            <w:tr w14:paraId="202B61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64AC76F5">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地表水</w:t>
                  </w:r>
                </w:p>
              </w:tc>
              <w:tc>
                <w:tcPr>
                  <w:tcW w:w="2140" w:type="pct"/>
                  <w:tcBorders>
                    <w:tl2br w:val="nil"/>
                    <w:tr2bl w:val="nil"/>
                  </w:tcBorders>
                  <w:noWrap w:val="0"/>
                  <w:vAlign w:val="center"/>
                </w:tcPr>
                <w:p w14:paraId="16169A45">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新增工业废水直排建设项目（槽罐车外送污水处理厂的除外</w:t>
                  </w:r>
                  <w:r>
                    <w:rPr>
                      <w:rFonts w:hint="eastAsia"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；新增废水直排的污水集中处理厂</w:t>
                  </w:r>
                </w:p>
              </w:tc>
              <w:tc>
                <w:tcPr>
                  <w:tcW w:w="1705" w:type="pct"/>
                  <w:tcBorders>
                    <w:tl2br w:val="nil"/>
                    <w:tr2bl w:val="nil"/>
                  </w:tcBorders>
                  <w:noWrap w:val="0"/>
                  <w:vAlign w:val="center"/>
                </w:tcPr>
                <w:p w14:paraId="462ADDCD">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Times New Roman" w:hAnsi="Times New Roman" w:eastAsia="宋体" w:cs="Times New Roman"/>
                      <w:bCs/>
                      <w:color w:val="000000" w:themeColor="text1"/>
                      <w:sz w:val="21"/>
                      <w:szCs w:val="21"/>
                      <w:lang w:eastAsia="zh-CN"/>
                    </w:rPr>
                  </w:pPr>
                  <w:r>
                    <w:rPr>
                      <w:rFonts w:hint="eastAsia" w:ascii="Times New Roman" w:hAnsi="Times New Roman" w:eastAsia="宋体" w:cs="Times New Roman"/>
                      <w:color w:val="000000" w:themeColor="text1"/>
                      <w:sz w:val="21"/>
                      <w:szCs w:val="21"/>
                      <w:highlight w:val="none"/>
                      <w:lang w:val="en-US" w:eastAsia="zh-CN"/>
                    </w:rPr>
                    <w:t>本项目废水为地面清洗水，经厂内化粪池处理后通过园区管网汇入赤湖工业园污水处理厂深度处理，经赤湖工业园污水处理厂</w:t>
                  </w:r>
                  <w:r>
                    <w:rPr>
                      <w:rFonts w:hint="default" w:ascii="Times New Roman" w:hAnsi="Times New Roman" w:eastAsia="宋体" w:cs="Times New Roman"/>
                      <w:color w:val="000000" w:themeColor="text1"/>
                      <w:sz w:val="21"/>
                      <w:szCs w:val="21"/>
                      <w:highlight w:val="none"/>
                      <w:lang w:val="en-US" w:eastAsia="zh-CN"/>
                    </w:rPr>
                    <w:t>处理</w:t>
                  </w:r>
                  <w:r>
                    <w:rPr>
                      <w:rFonts w:hint="eastAsia" w:cs="Times New Roman"/>
                      <w:color w:val="000000" w:themeColor="text1"/>
                      <w:sz w:val="21"/>
                      <w:szCs w:val="21"/>
                      <w:highlight w:val="none"/>
                      <w:lang w:val="en-US" w:eastAsia="zh-CN"/>
                    </w:rPr>
                    <w:t>达到</w:t>
                  </w:r>
                  <w:r>
                    <w:rPr>
                      <w:rFonts w:hint="default" w:ascii="Times New Roman" w:hAnsi="Times New Roman" w:eastAsia="宋体" w:cs="Times New Roman"/>
                      <w:color w:val="000000" w:themeColor="text1"/>
                      <w:sz w:val="21"/>
                      <w:szCs w:val="21"/>
                      <w:highlight w:val="none"/>
                      <w:lang w:val="en-US" w:eastAsia="zh-CN"/>
                    </w:rPr>
                    <w:t>《城镇污水处理厂污染物排放标准》（GB18918-2002）中的</w:t>
                  </w:r>
                  <w:r>
                    <w:rPr>
                      <w:rFonts w:hint="eastAsia" w:cs="Times New Roman"/>
                      <w:color w:val="000000" w:themeColor="text1"/>
                      <w:sz w:val="21"/>
                      <w:szCs w:val="21"/>
                      <w:highlight w:val="none"/>
                      <w:lang w:val="en-US" w:eastAsia="zh-CN"/>
                    </w:rPr>
                    <w:t>一级A</w:t>
                  </w:r>
                  <w:r>
                    <w:rPr>
                      <w:rFonts w:hint="default" w:ascii="Times New Roman" w:hAnsi="Times New Roman" w:eastAsia="宋体" w:cs="Times New Roman"/>
                      <w:color w:val="000000" w:themeColor="text1"/>
                      <w:sz w:val="21"/>
                      <w:szCs w:val="21"/>
                      <w:highlight w:val="none"/>
                      <w:lang w:val="en-US" w:eastAsia="zh-CN"/>
                    </w:rPr>
                    <w:t>标准后，最终排入长江</w:t>
                  </w:r>
                  <w:r>
                    <w:rPr>
                      <w:rFonts w:hint="eastAsia" w:ascii="Times New Roman" w:hAnsi="Times New Roman" w:eastAsia="宋体" w:cs="Times New Roman"/>
                      <w:color w:val="000000" w:themeColor="text1"/>
                      <w:sz w:val="21"/>
                      <w:szCs w:val="21"/>
                      <w:highlight w:val="none"/>
                      <w:lang w:val="en-US" w:eastAsia="zh-CN"/>
                    </w:rPr>
                    <w:t>。</w:t>
                  </w:r>
                </w:p>
              </w:tc>
              <w:tc>
                <w:tcPr>
                  <w:tcW w:w="522" w:type="pct"/>
                  <w:tcBorders>
                    <w:tl2br w:val="nil"/>
                    <w:tr2bl w:val="nil"/>
                  </w:tcBorders>
                  <w:noWrap w:val="0"/>
                  <w:vAlign w:val="center"/>
                </w:tcPr>
                <w:p w14:paraId="6F48B334">
                  <w:pPr>
                    <w:pStyle w:val="55"/>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不开展</w:t>
                  </w:r>
                </w:p>
              </w:tc>
            </w:tr>
            <w:tr w14:paraId="48DDC2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78FD0311">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环境风险</w:t>
                  </w:r>
                </w:p>
              </w:tc>
              <w:tc>
                <w:tcPr>
                  <w:tcW w:w="2140" w:type="pct"/>
                  <w:tcBorders>
                    <w:tl2br w:val="nil"/>
                    <w:tr2bl w:val="nil"/>
                  </w:tcBorders>
                  <w:noWrap w:val="0"/>
                  <w:vAlign w:val="center"/>
                </w:tcPr>
                <w:p w14:paraId="245FAE38">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有毒有害和易燃易爆危险物质存储量超过临界量的建设项目</w:t>
                  </w:r>
                </w:p>
              </w:tc>
              <w:tc>
                <w:tcPr>
                  <w:tcW w:w="1705" w:type="pct"/>
                  <w:tcBorders>
                    <w:tl2br w:val="nil"/>
                    <w:tr2bl w:val="nil"/>
                  </w:tcBorders>
                  <w:noWrap w:val="0"/>
                  <w:vAlign w:val="center"/>
                </w:tcPr>
                <w:p w14:paraId="56524913">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未超过临界量</w:t>
                  </w:r>
                </w:p>
              </w:tc>
              <w:tc>
                <w:tcPr>
                  <w:tcW w:w="522" w:type="pct"/>
                  <w:tcBorders>
                    <w:tl2br w:val="nil"/>
                    <w:tr2bl w:val="nil"/>
                  </w:tcBorders>
                  <w:noWrap w:val="0"/>
                  <w:vAlign w:val="center"/>
                </w:tcPr>
                <w:p w14:paraId="66D841A0">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不开展</w:t>
                  </w:r>
                </w:p>
              </w:tc>
            </w:tr>
            <w:tr w14:paraId="2CFA02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28827C20">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生态</w:t>
                  </w:r>
                </w:p>
              </w:tc>
              <w:tc>
                <w:tcPr>
                  <w:tcW w:w="2140" w:type="pct"/>
                  <w:tcBorders>
                    <w:tl2br w:val="nil"/>
                    <w:tr2bl w:val="nil"/>
                  </w:tcBorders>
                  <w:noWrap w:val="0"/>
                  <w:vAlign w:val="center"/>
                </w:tcPr>
                <w:p w14:paraId="5AEC05A2">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取水口下游500米范围内有重要水生生物的自然产卵场、索饵场、越冬场和洄游通道的新增河道取水的污染类建设项目</w:t>
                  </w:r>
                </w:p>
              </w:tc>
              <w:tc>
                <w:tcPr>
                  <w:tcW w:w="1705" w:type="pct"/>
                  <w:tcBorders>
                    <w:tl2br w:val="nil"/>
                    <w:tr2bl w:val="nil"/>
                  </w:tcBorders>
                  <w:noWrap w:val="0"/>
                  <w:vAlign w:val="center"/>
                </w:tcPr>
                <w:p w14:paraId="1D8EEA76">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不涉及</w:t>
                  </w:r>
                </w:p>
              </w:tc>
              <w:tc>
                <w:tcPr>
                  <w:tcW w:w="522" w:type="pct"/>
                  <w:tcBorders>
                    <w:tl2br w:val="nil"/>
                    <w:tr2bl w:val="nil"/>
                  </w:tcBorders>
                  <w:noWrap w:val="0"/>
                  <w:vAlign w:val="center"/>
                </w:tcPr>
                <w:p w14:paraId="7D0BA971">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不开展</w:t>
                  </w:r>
                </w:p>
              </w:tc>
            </w:tr>
            <w:tr w14:paraId="40BC41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631" w:type="pct"/>
                  <w:tcBorders>
                    <w:tl2br w:val="nil"/>
                    <w:tr2bl w:val="nil"/>
                  </w:tcBorders>
                  <w:noWrap w:val="0"/>
                  <w:vAlign w:val="center"/>
                </w:tcPr>
                <w:p w14:paraId="62A2D8B6">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海洋</w:t>
                  </w:r>
                </w:p>
              </w:tc>
              <w:tc>
                <w:tcPr>
                  <w:tcW w:w="2140" w:type="pct"/>
                  <w:tcBorders>
                    <w:tl2br w:val="nil"/>
                    <w:tr2bl w:val="nil"/>
                  </w:tcBorders>
                  <w:noWrap w:val="0"/>
                  <w:vAlign w:val="center"/>
                </w:tcPr>
                <w:p w14:paraId="1A6908F8">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直接向海排放污染物的海洋工程建设项目</w:t>
                  </w:r>
                </w:p>
              </w:tc>
              <w:tc>
                <w:tcPr>
                  <w:tcW w:w="1705" w:type="pct"/>
                  <w:tcBorders>
                    <w:tl2br w:val="nil"/>
                    <w:tr2bl w:val="nil"/>
                  </w:tcBorders>
                  <w:noWrap w:val="0"/>
                  <w:vAlign w:val="center"/>
                </w:tcPr>
                <w:p w14:paraId="0DE9B1B3">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不涉及</w:t>
                  </w:r>
                </w:p>
              </w:tc>
              <w:tc>
                <w:tcPr>
                  <w:tcW w:w="522" w:type="pct"/>
                  <w:tcBorders>
                    <w:tl2br w:val="nil"/>
                    <w:tr2bl w:val="nil"/>
                  </w:tcBorders>
                  <w:noWrap w:val="0"/>
                  <w:vAlign w:val="center"/>
                </w:tcPr>
                <w:p w14:paraId="1DE41977">
                  <w:pPr>
                    <w:keepNext w:val="0"/>
                    <w:keepLines w:val="0"/>
                    <w:pageBreakBefore w:val="0"/>
                    <w:widowControl w:val="0"/>
                    <w:kinsoku/>
                    <w:wordWrap/>
                    <w:overflowPunct/>
                    <w:topLinePunct w:val="0"/>
                    <w:autoSpaceDE/>
                    <w:autoSpaceDN/>
                    <w:bidi w:val="0"/>
                    <w:spacing w:line="240" w:lineRule="auto"/>
                    <w:ind w:left="0" w:leftChars="0" w:firstLine="0" w:firstLineChars="0"/>
                    <w:jc w:val="both"/>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不开展</w:t>
                  </w:r>
                </w:p>
              </w:tc>
            </w:tr>
            <w:tr w14:paraId="32C6F7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jc w:val="center"/>
              </w:trPr>
              <w:tc>
                <w:tcPr>
                  <w:tcW w:w="5000" w:type="pct"/>
                  <w:gridSpan w:val="4"/>
                  <w:tcBorders>
                    <w:tl2br w:val="nil"/>
                    <w:tr2bl w:val="nil"/>
                  </w:tcBorders>
                  <w:noWrap w:val="0"/>
                  <w:vAlign w:val="center"/>
                </w:tcPr>
                <w:p w14:paraId="19D57759">
                  <w:pPr>
                    <w:pStyle w:val="55"/>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注：1.废气中有毒有害污染物指纳入《有毒有害大气污染物名录》的污染物（不包括无排放标准的污染物</w:t>
                  </w:r>
                  <w:r>
                    <w:rPr>
                      <w:rFonts w:hint="eastAsia"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。2.环境空气保护目标指自然保护区、风景名胜区、居住区、文化区和农村地区中人群较集中的区域。3.临界量及其计算方法可参考《建设项目环境风险评价技术导则》（HJ169</w:t>
                  </w:r>
                  <w:r>
                    <w:rPr>
                      <w:rFonts w:hint="eastAsia"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附录B、附录C。</w:t>
                  </w:r>
                </w:p>
              </w:tc>
            </w:tr>
          </w:tbl>
          <w:p w14:paraId="42E9339D">
            <w:pPr>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jc w:val="both"/>
              <w:textAlignment w:val="auto"/>
              <w:rPr>
                <w:color w:val="000000" w:themeColor="text1"/>
                <w:kern w:val="0"/>
                <w:sz w:val="24"/>
                <w:highlight w:val="none"/>
              </w:rPr>
            </w:pPr>
            <w:r>
              <w:rPr>
                <w:rFonts w:hint="default" w:ascii="Times New Roman" w:hAnsi="Times New Roman" w:eastAsia="宋体" w:cs="Times New Roman"/>
                <w:color w:val="000000" w:themeColor="text1"/>
                <w:kern w:val="0"/>
                <w:sz w:val="24"/>
                <w:szCs w:val="24"/>
                <w:lang w:val="en-US" w:eastAsia="zh-CN"/>
              </w:rPr>
              <w:t>综上，本项目不需要设置专题评价</w:t>
            </w:r>
          </w:p>
        </w:tc>
      </w:tr>
      <w:tr w14:paraId="4FD1D4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6" w:type="dxa"/>
            <w:noWrap w:val="0"/>
            <w:vAlign w:val="center"/>
          </w:tcPr>
          <w:p w14:paraId="140902A4">
            <w:pPr>
              <w:pageBreakBefore w:val="0"/>
              <w:kinsoku/>
              <w:overflowPunct/>
              <w:topLinePunct w:val="0"/>
              <w:autoSpaceDE w:val="0"/>
              <w:autoSpaceDN w:val="0"/>
              <w:bidi w:val="0"/>
              <w:adjustRightInd w:val="0"/>
              <w:snapToGrid w:val="0"/>
              <w:spacing w:line="240" w:lineRule="auto"/>
              <w:ind w:left="0" w:firstLine="0" w:firstLineChars="0"/>
              <w:jc w:val="center"/>
              <w:rPr>
                <w:b/>
                <w:bCs/>
                <w:color w:val="000000" w:themeColor="text1"/>
                <w:kern w:val="0"/>
                <w:sz w:val="24"/>
                <w:highlight w:val="none"/>
              </w:rPr>
            </w:pPr>
            <w:r>
              <w:rPr>
                <w:b/>
                <w:bCs/>
                <w:color w:val="000000" w:themeColor="text1"/>
                <w:sz w:val="24"/>
                <w:highlight w:val="none"/>
              </w:rPr>
              <w:t>规划情况</w:t>
            </w:r>
          </w:p>
        </w:tc>
        <w:tc>
          <w:tcPr>
            <w:tcW w:w="8258" w:type="dxa"/>
            <w:gridSpan w:val="3"/>
            <w:noWrap w:val="0"/>
            <w:vAlign w:val="center"/>
          </w:tcPr>
          <w:p w14:paraId="1E78F1F3">
            <w:pPr>
              <w:pStyle w:val="46"/>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文件名称：《</w:t>
            </w:r>
            <w:r>
              <w:rPr>
                <w:rFonts w:ascii="宋体" w:hAnsi="宋体" w:eastAsia="宋体" w:cs="宋体"/>
                <w:color w:val="000000" w:themeColor="text1"/>
                <w:sz w:val="24"/>
                <w:szCs w:val="24"/>
                <w:highlight w:val="none"/>
              </w:rPr>
              <w:t>九江柴桑区赤湖工业园控制性详细规划</w:t>
            </w:r>
            <w:r>
              <w:rPr>
                <w:rFonts w:hint="default" w:ascii="Times New Roman" w:hAnsi="Times New Roman" w:eastAsia="宋体" w:cs="Times New Roman"/>
                <w:color w:val="000000" w:themeColor="text1"/>
                <w:sz w:val="24"/>
                <w:szCs w:val="24"/>
                <w:highlight w:val="none"/>
                <w:lang w:val="en-US" w:eastAsia="zh-CN"/>
              </w:rPr>
              <w:t>》；</w:t>
            </w:r>
          </w:p>
          <w:p w14:paraId="7913948C">
            <w:pPr>
              <w:pStyle w:val="46"/>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0" w:firstLineChars="0"/>
              <w:textAlignment w:val="auto"/>
              <w:rPr>
                <w:rFonts w:hint="eastAsia" w:ascii="Times New Roman"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审查机关：九江市人民政府</w:t>
            </w:r>
            <w:r>
              <w:rPr>
                <w:rFonts w:hint="eastAsia" w:ascii="Times New Roman" w:cs="Times New Roman"/>
                <w:color w:val="000000" w:themeColor="text1"/>
                <w:sz w:val="24"/>
                <w:szCs w:val="24"/>
                <w:highlight w:val="none"/>
                <w:lang w:val="en-US" w:eastAsia="zh-CN"/>
              </w:rPr>
              <w:t>；</w:t>
            </w:r>
          </w:p>
          <w:p w14:paraId="28D64884">
            <w:pPr>
              <w:pageBreakBefore w:val="0"/>
              <w:widowControl/>
              <w:kinsoku/>
              <w:overflowPunct/>
              <w:topLinePunct w:val="0"/>
              <w:bidi w:val="0"/>
              <w:spacing w:line="360" w:lineRule="auto"/>
              <w:ind w:left="0" w:firstLine="0" w:firstLineChars="0"/>
              <w:jc w:val="both"/>
              <w:rPr>
                <w:color w:val="000000" w:themeColor="text1"/>
                <w:highlight w:val="none"/>
              </w:rPr>
            </w:pPr>
            <w:r>
              <w:rPr>
                <w:rFonts w:hint="default" w:ascii="Times New Roman" w:hAnsi="Times New Roman" w:eastAsia="宋体" w:cs="Times New Roman"/>
                <w:color w:val="000000" w:themeColor="text1"/>
                <w:sz w:val="24"/>
                <w:szCs w:val="24"/>
                <w:highlight w:val="none"/>
                <w:lang w:val="en-US" w:eastAsia="zh-CN"/>
              </w:rPr>
              <w:t>审查文件名称及文号：《九江市人民政府关于同意九江柴桑区赤湖工业园控制性详细规划等三项规划的批复》（九府字</w:t>
            </w:r>
            <w:r>
              <w:rPr>
                <w:rFonts w:hint="eastAsia" w:cs="Times New Roman"/>
                <w:color w:val="000000" w:themeColor="text1"/>
                <w:sz w:val="24"/>
                <w:szCs w:val="24"/>
                <w:highlight w:val="none"/>
                <w:lang w:val="en-US" w:eastAsia="zh-CN"/>
              </w:rPr>
              <w:t>〔2020〕18号</w:t>
            </w:r>
            <w:r>
              <w:rPr>
                <w:rFonts w:hint="default" w:ascii="Times New Roman" w:hAnsi="Times New Roman" w:eastAsia="宋体" w:cs="Times New Roman"/>
                <w:color w:val="000000" w:themeColor="text1"/>
                <w:sz w:val="24"/>
                <w:szCs w:val="24"/>
                <w:highlight w:val="none"/>
                <w:lang w:val="en-US" w:eastAsia="zh-CN"/>
              </w:rPr>
              <w:t>）。</w:t>
            </w:r>
          </w:p>
        </w:tc>
      </w:tr>
      <w:tr w14:paraId="0488C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166" w:type="dxa"/>
            <w:noWrap w:val="0"/>
            <w:vAlign w:val="center"/>
          </w:tcPr>
          <w:p w14:paraId="26528020">
            <w:pPr>
              <w:pageBreakBefore w:val="0"/>
              <w:kinsoku/>
              <w:overflowPunct/>
              <w:topLinePunct w:val="0"/>
              <w:bidi w:val="0"/>
              <w:adjustRightInd w:val="0"/>
              <w:snapToGrid w:val="0"/>
              <w:spacing w:line="240" w:lineRule="auto"/>
              <w:ind w:left="0" w:firstLine="0" w:firstLineChars="0"/>
              <w:jc w:val="center"/>
              <w:rPr>
                <w:b/>
                <w:bCs/>
                <w:color w:val="000000" w:themeColor="text1"/>
                <w:sz w:val="24"/>
                <w:highlight w:val="none"/>
              </w:rPr>
            </w:pPr>
            <w:r>
              <w:rPr>
                <w:b/>
                <w:bCs/>
                <w:color w:val="000000" w:themeColor="text1"/>
                <w:sz w:val="24"/>
                <w:highlight w:val="none"/>
              </w:rPr>
              <w:t>规划环境影响</w:t>
            </w:r>
          </w:p>
          <w:p w14:paraId="659BC66E">
            <w:pPr>
              <w:pageBreakBefore w:val="0"/>
              <w:kinsoku/>
              <w:overflowPunct/>
              <w:topLinePunct w:val="0"/>
              <w:bidi w:val="0"/>
              <w:adjustRightInd w:val="0"/>
              <w:snapToGrid w:val="0"/>
              <w:spacing w:line="240" w:lineRule="auto"/>
              <w:ind w:left="0" w:firstLine="0" w:firstLineChars="0"/>
              <w:jc w:val="center"/>
              <w:rPr>
                <w:b/>
                <w:bCs/>
                <w:color w:val="000000" w:themeColor="text1"/>
                <w:kern w:val="0"/>
                <w:sz w:val="24"/>
                <w:highlight w:val="none"/>
              </w:rPr>
            </w:pPr>
            <w:r>
              <w:rPr>
                <w:b/>
                <w:bCs/>
                <w:color w:val="000000" w:themeColor="text1"/>
                <w:sz w:val="24"/>
                <w:highlight w:val="none"/>
              </w:rPr>
              <w:t>评价情况</w:t>
            </w:r>
          </w:p>
        </w:tc>
        <w:tc>
          <w:tcPr>
            <w:tcW w:w="8258" w:type="dxa"/>
            <w:gridSpan w:val="3"/>
            <w:noWrap w:val="0"/>
            <w:vAlign w:val="center"/>
          </w:tcPr>
          <w:p w14:paraId="1220ED53">
            <w:pPr>
              <w:pStyle w:val="46"/>
              <w:keepNext w:val="0"/>
              <w:keepLines w:val="0"/>
              <w:pageBreakBefore w:val="0"/>
              <w:widowControl w:val="0"/>
              <w:kinsoku/>
              <w:wordWrap/>
              <w:overflowPunct/>
              <w:topLinePunct w:val="0"/>
              <w:bidi w:val="0"/>
              <w:spacing w:before="0" w:after="0" w:line="360" w:lineRule="auto"/>
              <w:ind w:left="0" w:leftChars="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 xml:space="preserve">文件名称：《九江市赤湖工业园控制性详细规划环境影响报告书》； </w:t>
            </w:r>
          </w:p>
          <w:p w14:paraId="330D5C5D">
            <w:pPr>
              <w:pStyle w:val="46"/>
              <w:keepNext w:val="0"/>
              <w:keepLines w:val="0"/>
              <w:pageBreakBefore w:val="0"/>
              <w:widowControl w:val="0"/>
              <w:kinsoku/>
              <w:wordWrap/>
              <w:overflowPunct/>
              <w:topLinePunct w:val="0"/>
              <w:bidi w:val="0"/>
              <w:spacing w:before="0" w:after="0" w:line="360" w:lineRule="auto"/>
              <w:ind w:left="0" w:leftChars="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 xml:space="preserve">审查机关：九江市生态环境局； </w:t>
            </w:r>
          </w:p>
          <w:p w14:paraId="7EB778BF">
            <w:pPr>
              <w:pStyle w:val="46"/>
              <w:keepNext w:val="0"/>
              <w:keepLines w:val="0"/>
              <w:pageBreakBefore w:val="0"/>
              <w:widowControl w:val="0"/>
              <w:kinsoku/>
              <w:wordWrap/>
              <w:overflowPunct/>
              <w:topLinePunct w:val="0"/>
              <w:bidi w:val="0"/>
              <w:spacing w:before="0" w:after="0" w:line="360" w:lineRule="auto"/>
              <w:ind w:left="0" w:leftChars="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审查文件名称及文号：《关于九江市赤湖工业园控制性详细规划环境影响报告书的审查意见》（九环评字〔2022〕11号）</w:t>
            </w:r>
            <w:r>
              <w:rPr>
                <w:rFonts w:hint="eastAsia" w:ascii="Times New Roman" w:cs="Times New Roman"/>
                <w:color w:val="000000" w:themeColor="text1"/>
                <w:sz w:val="24"/>
                <w:szCs w:val="24"/>
                <w:highlight w:val="none"/>
                <w:lang w:val="en-US" w:eastAsia="zh-CN"/>
              </w:rPr>
              <w:t>。</w:t>
            </w:r>
          </w:p>
          <w:p w14:paraId="0A95A19A">
            <w:pPr>
              <w:pStyle w:val="46"/>
              <w:keepNext w:val="0"/>
              <w:keepLines w:val="0"/>
              <w:pageBreakBefore w:val="0"/>
              <w:widowControl w:val="0"/>
              <w:kinsoku/>
              <w:wordWrap/>
              <w:overflowPunct/>
              <w:topLinePunct w:val="0"/>
              <w:bidi w:val="0"/>
              <w:spacing w:before="0" w:after="0" w:line="360" w:lineRule="auto"/>
              <w:ind w:left="0" w:leftChars="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文件名称：《九江市生态环境局关于江西九江沙城工业园区扩区调区规划环境影响报告书》；</w:t>
            </w:r>
          </w:p>
          <w:p w14:paraId="0685269C">
            <w:pPr>
              <w:pStyle w:val="46"/>
              <w:keepNext w:val="0"/>
              <w:keepLines w:val="0"/>
              <w:pageBreakBefore w:val="0"/>
              <w:widowControl w:val="0"/>
              <w:kinsoku/>
              <w:wordWrap/>
              <w:overflowPunct/>
              <w:topLinePunct w:val="0"/>
              <w:bidi w:val="0"/>
              <w:spacing w:before="0" w:after="0" w:line="360" w:lineRule="auto"/>
              <w:ind w:left="0" w:leftChars="0" w:firstLine="0" w:firstLineChars="0"/>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审查机关：九江市生态环境局；</w:t>
            </w:r>
          </w:p>
          <w:p w14:paraId="6F6B2082">
            <w:pPr>
              <w:pageBreakBefore w:val="0"/>
              <w:widowControl/>
              <w:kinsoku/>
              <w:overflowPunct/>
              <w:topLinePunct w:val="0"/>
              <w:bidi w:val="0"/>
              <w:spacing w:line="360" w:lineRule="auto"/>
              <w:ind w:left="0" w:firstLine="0" w:firstLineChars="0"/>
              <w:jc w:val="both"/>
              <w:rPr>
                <w:color w:val="000000" w:themeColor="text1"/>
                <w:kern w:val="0"/>
                <w:sz w:val="24"/>
                <w:highlight w:val="none"/>
              </w:rPr>
            </w:pPr>
            <w:r>
              <w:rPr>
                <w:rFonts w:hint="default" w:ascii="Times New Roman" w:hAnsi="Times New Roman" w:eastAsia="宋体" w:cs="Times New Roman"/>
                <w:color w:val="000000" w:themeColor="text1"/>
                <w:sz w:val="24"/>
                <w:szCs w:val="24"/>
                <w:highlight w:val="none"/>
                <w:lang w:val="en-US" w:eastAsia="zh-CN"/>
              </w:rPr>
              <w:t>审查文件名称及文号：《关于九江市生态环境局关于江西九江沙城工业园区扩区调区规划环境影响报告书审查意见的函》（九环评字〔2023〕36号）。</w:t>
            </w:r>
          </w:p>
        </w:tc>
      </w:tr>
      <w:tr w14:paraId="71A155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66" w:type="dxa"/>
            <w:noWrap w:val="0"/>
            <w:vAlign w:val="center"/>
          </w:tcPr>
          <w:p w14:paraId="67A1B48F">
            <w:pPr>
              <w:pageBreakBefore w:val="0"/>
              <w:kinsoku/>
              <w:overflowPunct/>
              <w:topLinePunct w:val="0"/>
              <w:autoSpaceDE w:val="0"/>
              <w:autoSpaceDN w:val="0"/>
              <w:bidi w:val="0"/>
              <w:adjustRightInd w:val="0"/>
              <w:snapToGrid w:val="0"/>
              <w:spacing w:line="240" w:lineRule="auto"/>
              <w:ind w:left="0" w:firstLine="0" w:firstLineChars="0"/>
              <w:jc w:val="center"/>
              <w:rPr>
                <w:b/>
                <w:bCs/>
                <w:color w:val="000000" w:themeColor="text1"/>
                <w:kern w:val="0"/>
                <w:sz w:val="24"/>
                <w:highlight w:val="none"/>
              </w:rPr>
            </w:pPr>
            <w:r>
              <w:rPr>
                <w:b/>
                <w:bCs/>
                <w:color w:val="000000" w:themeColor="text1"/>
                <w:kern w:val="0"/>
                <w:sz w:val="24"/>
                <w:highlight w:val="none"/>
              </w:rPr>
              <w:t>规划及规划环境影响评价符合性分析</w:t>
            </w:r>
          </w:p>
        </w:tc>
        <w:tc>
          <w:tcPr>
            <w:tcW w:w="8258" w:type="dxa"/>
            <w:gridSpan w:val="3"/>
            <w:noWrap w:val="0"/>
            <w:vAlign w:val="center"/>
          </w:tcPr>
          <w:p w14:paraId="338E17ED">
            <w:pPr>
              <w:pStyle w:val="107"/>
              <w:bidi w:val="0"/>
              <w:rPr>
                <w:rFonts w:hint="default" w:ascii="Times New Roman" w:hAnsi="Times New Roman" w:eastAsia="宋体" w:cs="Times New Roman"/>
                <w:b/>
                <w:bCs/>
                <w:color w:val="000000" w:themeColor="text1"/>
                <w:sz w:val="24"/>
                <w:szCs w:val="24"/>
                <w:highlight w:val="none"/>
                <w:lang w:val="en-US" w:eastAsia="zh-CN"/>
              </w:rPr>
            </w:pPr>
            <w:r>
              <w:rPr>
                <w:rFonts w:hint="eastAsia" w:eastAsia="宋体" w:cs="Times New Roman"/>
                <w:b/>
                <w:bCs/>
                <w:color w:val="000000" w:themeColor="text1"/>
                <w:sz w:val="24"/>
                <w:szCs w:val="24"/>
                <w:highlight w:val="none"/>
                <w:lang w:val="en-US" w:eastAsia="zh-CN"/>
              </w:rPr>
              <w:t>1、与九江柴桑区赤湖工业园控制性详细规划相符性分析</w:t>
            </w:r>
          </w:p>
          <w:p w14:paraId="684C967E">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 xml:space="preserve">根据《九江柴桑区赤湖工业园控制性详细规划》规划采用“一线拥三区，二轴串六产”的功能结构模式。 </w:t>
            </w:r>
          </w:p>
          <w:p w14:paraId="477FF4F7">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 xml:space="preserve">“一线”：指长江、蓼湖和赤湖最美生态岸线。 </w:t>
            </w:r>
          </w:p>
          <w:p w14:paraId="7A2FF911">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“三区”：指产业功能区、综合服务区和港口物流区。</w:t>
            </w:r>
          </w:p>
          <w:p w14:paraId="7BF34C1E">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 xml:space="preserve">“二轴”：指通江河、长坪大道两条产业发展轴。 </w:t>
            </w:r>
          </w:p>
          <w:p w14:paraId="56573FC9">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 xml:space="preserve">“六产”：指产业功能区的机械电子、装备制造、新型材料、轻化工业、轻工及金属加工制造和高新科技六大产业。 </w:t>
            </w:r>
          </w:p>
          <w:p w14:paraId="4B0BF0D2">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 xml:space="preserve">规划划定的四至范围是：东以城西港区三期、望夫山生态公园西侧长坪大道为界，南至港湖大道及江西雄基建设集团有限公司，西以赤湖沿湖圩堤及蓼湖堤坝为界，北至长江赤心堤，规划用地面积约1437公顷，实际已建成面积779.44公顷。 </w:t>
            </w:r>
          </w:p>
          <w:p w14:paraId="141133F4">
            <w:pPr>
              <w:pStyle w:val="107"/>
              <w:bidi w:val="0"/>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赤湖工业园的发展定位为：依托港口码头，优先发展新型材料、机械电子、装备制造和高新科技四大产业，转型升级轻化工业、轻工及钢加工制造二大产业，通过产业升级逐步建设成为绿色生态、交通便捷、产业集群、设施齐全的临港产业园区。新材料产业：着力打造新型建材、生物医用材料、节能环保材料、冶金新材料。新型建材重点发展新型墙体材料、保温隔热材料等；生物医用材料重点发展高分子材料和复合材料等；节能环保材料重点发展长</w:t>
            </w:r>
            <w:r>
              <w:rPr>
                <w:rFonts w:hint="eastAsia" w:ascii="Times New Roman" w:hAnsi="Times New Roman" w:cs="Times New Roman"/>
                <w:b w:val="0"/>
                <w:bCs w:val="0"/>
                <w:color w:val="000000" w:themeColor="text1"/>
                <w:sz w:val="24"/>
                <w:szCs w:val="24"/>
                <w:highlight w:val="none"/>
                <w:lang w:eastAsia="zh-CN"/>
              </w:rPr>
              <w:t>辉</w:t>
            </w:r>
            <w:r>
              <w:rPr>
                <w:rFonts w:hint="default" w:ascii="Times New Roman" w:hAnsi="Times New Roman" w:eastAsia="宋体" w:cs="Times New Roman"/>
                <w:b w:val="0"/>
                <w:bCs w:val="0"/>
                <w:color w:val="000000" w:themeColor="text1"/>
                <w:sz w:val="24"/>
                <w:szCs w:val="24"/>
                <w:highlight w:val="none"/>
              </w:rPr>
              <w:t>发光材料、储能材料、环保装备材料及新型洁净环保能源材料等。冶金新材料发挥资源和产业优势，积极向产业链高端延伸，重点向铜基新材料、合金材料等方向发展。</w:t>
            </w:r>
          </w:p>
          <w:p w14:paraId="02FF87ED">
            <w:pPr>
              <w:pStyle w:val="107"/>
              <w:bidi w:val="0"/>
              <w:rPr>
                <w:rFonts w:hint="eastAsia" w:ascii="Times New Roman" w:hAnsi="Times New Roman" w:eastAsia="宋体" w:cs="Times New Roman"/>
                <w:b w:val="0"/>
                <w:bCs w:val="0"/>
                <w:color w:val="000000" w:themeColor="text1"/>
                <w:sz w:val="24"/>
                <w:szCs w:val="24"/>
                <w:highlight w:val="none"/>
                <w:lang w:val="en-US" w:eastAsia="zh-CN"/>
              </w:rPr>
            </w:pPr>
            <w:r>
              <w:rPr>
                <w:rFonts w:hint="eastAsia" w:eastAsia="宋体" w:cs="Times New Roman"/>
                <w:b w:val="0"/>
                <w:bCs w:val="0"/>
                <w:color w:val="000000" w:themeColor="text1"/>
                <w:sz w:val="24"/>
                <w:szCs w:val="24"/>
                <w:highlight w:val="none"/>
                <w:lang w:val="en-US" w:eastAsia="zh-CN"/>
              </w:rPr>
              <w:t>本项目位于江西省九江市柴桑区赤湖工业园，</w:t>
            </w:r>
            <w:r>
              <w:rPr>
                <w:rFonts w:hint="eastAsia" w:ascii="宋体" w:hAnsi="宋体" w:eastAsia="宋体" w:cs="Times New Roman"/>
                <w:b w:val="0"/>
                <w:bCs w:val="0"/>
                <w:color w:val="000000" w:themeColor="text1"/>
                <w:sz w:val="24"/>
                <w:szCs w:val="24"/>
                <w:highlight w:val="none"/>
                <w:lang w:val="en-US" w:eastAsia="zh-CN"/>
              </w:rPr>
              <w:t>本项目为</w:t>
            </w:r>
            <w:r>
              <w:rPr>
                <w:rFonts w:hint="default" w:ascii="宋体" w:hAnsi="宋体" w:eastAsia="宋体" w:cs="Times New Roman"/>
                <w:b w:val="0"/>
                <w:bCs w:val="0"/>
                <w:color w:val="000000" w:themeColor="text1"/>
                <w:sz w:val="24"/>
                <w:szCs w:val="24"/>
                <w:highlight w:val="none"/>
                <w:lang w:val="en-US" w:eastAsia="zh-CN"/>
              </w:rPr>
              <w:t>塑料零件及其他塑料制品制造</w:t>
            </w:r>
            <w:r>
              <w:rPr>
                <w:rFonts w:hint="eastAsia" w:ascii="宋体" w:hAnsi="宋体" w:eastAsia="宋体" w:cs="Times New Roman"/>
                <w:b w:val="0"/>
                <w:bCs w:val="0"/>
                <w:color w:val="000000" w:themeColor="text1"/>
                <w:sz w:val="24"/>
                <w:szCs w:val="24"/>
                <w:highlight w:val="none"/>
                <w:lang w:val="en-US" w:eastAsia="zh-CN"/>
              </w:rPr>
              <w:t>、非金属废料和碎屑加工处理</w:t>
            </w:r>
            <w:r>
              <w:rPr>
                <w:rFonts w:hint="eastAsia" w:cs="Times New Roman"/>
                <w:b w:val="0"/>
                <w:bCs w:val="0"/>
                <w:color w:val="000000" w:themeColor="text1"/>
                <w:sz w:val="24"/>
                <w:szCs w:val="24"/>
                <w:highlight w:val="none"/>
                <w:lang w:val="en-US" w:eastAsia="zh-CN"/>
              </w:rPr>
              <w:t>、</w:t>
            </w:r>
            <w:r>
              <w:rPr>
                <w:rFonts w:hint="eastAsia"/>
                <w:color w:val="000000" w:themeColor="text1"/>
                <w:sz w:val="24"/>
                <w:szCs w:val="24"/>
              </w:rPr>
              <w:t>固体废物治理</w:t>
            </w:r>
            <w:r>
              <w:rPr>
                <w:rFonts w:hint="eastAsia" w:ascii="宋体" w:hAnsi="宋体" w:eastAsia="宋体" w:cs="Times New Roman"/>
                <w:b w:val="0"/>
                <w:bCs w:val="0"/>
                <w:color w:val="000000" w:themeColor="text1"/>
                <w:sz w:val="24"/>
                <w:szCs w:val="24"/>
                <w:highlight w:val="none"/>
                <w:lang w:val="en-US" w:eastAsia="zh-CN"/>
              </w:rPr>
              <w:t>项目，</w:t>
            </w:r>
            <w:r>
              <w:rPr>
                <w:rFonts w:hint="eastAsia" w:cs="Times New Roman"/>
                <w:b w:val="0"/>
                <w:bCs w:val="0"/>
                <w:color w:val="000000" w:themeColor="text1"/>
                <w:sz w:val="24"/>
                <w:szCs w:val="24"/>
                <w:highlight w:val="none"/>
                <w:lang w:val="en-US" w:eastAsia="zh-CN"/>
              </w:rPr>
              <w:t>属于轻工，</w:t>
            </w:r>
            <w:r>
              <w:rPr>
                <w:rFonts w:hint="eastAsia" w:ascii="宋体" w:hAnsi="宋体" w:eastAsia="宋体" w:cs="Times New Roman"/>
                <w:b w:val="0"/>
                <w:bCs w:val="0"/>
                <w:color w:val="000000" w:themeColor="text1"/>
                <w:sz w:val="24"/>
                <w:szCs w:val="24"/>
                <w:highlight w:val="none"/>
                <w:lang w:val="en-US" w:eastAsia="zh-CN"/>
              </w:rPr>
              <w:t>与工业园规划相容。根据</w:t>
            </w:r>
            <w:r>
              <w:rPr>
                <w:rFonts w:hint="eastAsia" w:ascii="Times New Roman" w:hAnsi="Times New Roman" w:eastAsia="宋体" w:cs="Times New Roman"/>
                <w:b w:val="0"/>
                <w:bCs w:val="0"/>
                <w:color w:val="000000" w:themeColor="text1"/>
                <w:sz w:val="24"/>
                <w:szCs w:val="24"/>
                <w:highlight w:val="none"/>
                <w:lang w:val="en-US" w:eastAsia="zh-CN"/>
              </w:rPr>
              <w:t>《九江市柴桑区赤湖工业园控制性详细规划》土地利用规划图，项目所在区域为规划工业用地，因此项目建设符合九江市柴桑区赤湖工业园控制性详细规划。</w:t>
            </w:r>
          </w:p>
          <w:p w14:paraId="6B67E74C">
            <w:pPr>
              <w:pStyle w:val="173"/>
              <w:shd w:val="clear" w:color="auto" w:fill="auto"/>
              <w:ind w:firstLine="480"/>
              <w:rPr>
                <w:rFonts w:hint="eastAsia" w:ascii="Times New Roman" w:hAnsi="Times New Roman" w:eastAsia="宋体" w:cs="Times New Roman"/>
                <w:color w:val="000000" w:themeColor="text1"/>
                <w:kern w:val="2"/>
                <w:sz w:val="24"/>
                <w:szCs w:val="24"/>
                <w:lang w:val="en-US" w:eastAsia="zh-CN" w:bidi="en-US"/>
              </w:rPr>
            </w:pPr>
            <w:r>
              <w:rPr>
                <w:rFonts w:hint="eastAsia" w:ascii="Times New Roman" w:hAnsi="Times New Roman" w:cs="Times New Roman"/>
                <w:color w:val="000000" w:themeColor="text1"/>
                <w:kern w:val="2"/>
                <w:sz w:val="24"/>
                <w:szCs w:val="24"/>
                <w:lang w:val="en-US" w:eastAsia="zh-CN" w:bidi="en-US"/>
              </w:rPr>
              <w:t>本项目</w:t>
            </w:r>
            <w:r>
              <w:rPr>
                <w:rFonts w:hint="eastAsia" w:ascii="Times New Roman" w:hAnsi="Times New Roman" w:cs="Times New Roman"/>
                <w:color w:val="000000" w:themeColor="text1"/>
                <w:kern w:val="2"/>
                <w:sz w:val="24"/>
                <w:szCs w:val="24"/>
                <w:lang w:val="en-US" w:bidi="en-US"/>
              </w:rPr>
              <w:t>与赤湖工业园总体环境准入相符性分析</w:t>
            </w:r>
            <w:r>
              <w:rPr>
                <w:rFonts w:hint="eastAsia" w:ascii="Times New Roman" w:hAnsi="Times New Roman" w:cs="Times New Roman"/>
                <w:color w:val="000000" w:themeColor="text1"/>
                <w:kern w:val="2"/>
                <w:sz w:val="24"/>
                <w:szCs w:val="24"/>
                <w:lang w:val="en-US" w:eastAsia="zh-CN" w:bidi="en-US"/>
              </w:rPr>
              <w:t>详</w:t>
            </w:r>
            <w:r>
              <w:rPr>
                <w:rFonts w:hint="eastAsia" w:ascii="Times New Roman" w:hAnsi="Times New Roman" w:cs="Times New Roman"/>
                <w:color w:val="000000" w:themeColor="text1"/>
                <w:kern w:val="2"/>
                <w:sz w:val="24"/>
                <w:szCs w:val="24"/>
                <w:lang w:val="en-US" w:bidi="en-US"/>
              </w:rPr>
              <w:t>见表</w:t>
            </w:r>
            <w:r>
              <w:rPr>
                <w:rFonts w:hint="eastAsia" w:ascii="Times New Roman" w:hAnsi="Times New Roman" w:cs="Times New Roman"/>
                <w:color w:val="000000" w:themeColor="text1"/>
                <w:kern w:val="2"/>
                <w:sz w:val="24"/>
                <w:szCs w:val="24"/>
                <w:lang w:val="en-US" w:eastAsia="zh-CN" w:bidi="en-US"/>
              </w:rPr>
              <w:t>1-2。</w:t>
            </w:r>
          </w:p>
          <w:p w14:paraId="493B3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w:t>
            </w:r>
            <w:r>
              <w:rPr>
                <w:rFonts w:hint="eastAsia" w:ascii="Times New Roman" w:hAnsi="Times New Roman" w:eastAsia="宋体" w:cs="Times New Roman"/>
                <w:b/>
                <w:bCs/>
                <w:color w:val="000000" w:themeColor="text1"/>
                <w:sz w:val="21"/>
                <w:szCs w:val="21"/>
              </w:rPr>
              <w:t>1</w:t>
            </w:r>
            <w:r>
              <w:rPr>
                <w:rFonts w:hint="default" w:ascii="Times New Roman" w:hAnsi="Times New Roman" w:eastAsia="宋体" w:cs="Times New Roman"/>
                <w:b/>
                <w:bCs/>
                <w:color w:val="000000" w:themeColor="text1"/>
                <w:sz w:val="21"/>
                <w:szCs w:val="21"/>
              </w:rPr>
              <w:t>-</w:t>
            </w:r>
            <w:r>
              <w:rPr>
                <w:rFonts w:hint="eastAsia" w:ascii="Times New Roman" w:hAnsi="Times New Roman" w:eastAsia="宋体" w:cs="Times New Roman"/>
                <w:b/>
                <w:bCs/>
                <w:color w:val="000000" w:themeColor="text1"/>
                <w:sz w:val="21"/>
                <w:szCs w:val="21"/>
                <w:lang w:val="en-US" w:eastAsia="zh-CN"/>
              </w:rPr>
              <w:t>2   项目</w:t>
            </w:r>
            <w:r>
              <w:rPr>
                <w:rFonts w:hint="default" w:ascii="Times New Roman" w:hAnsi="Times New Roman" w:eastAsia="宋体" w:cs="Times New Roman"/>
                <w:b/>
                <w:bCs/>
                <w:color w:val="000000" w:themeColor="text1"/>
                <w:sz w:val="21"/>
                <w:szCs w:val="21"/>
              </w:rPr>
              <w:t>与赤湖工业园总体环境准入相符性分析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327"/>
              <w:gridCol w:w="3340"/>
              <w:gridCol w:w="727"/>
            </w:tblGrid>
            <w:tr w14:paraId="57795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noWrap w:val="0"/>
                  <w:vAlign w:val="center"/>
                </w:tcPr>
                <w:p w14:paraId="2A2646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管控类型</w:t>
                  </w:r>
                </w:p>
              </w:tc>
              <w:tc>
                <w:tcPr>
                  <w:tcW w:w="2068" w:type="pct"/>
                  <w:noWrap w:val="0"/>
                  <w:vAlign w:val="center"/>
                </w:tcPr>
                <w:p w14:paraId="6EA807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生态环境准入要求</w:t>
                  </w:r>
                </w:p>
              </w:tc>
              <w:tc>
                <w:tcPr>
                  <w:tcW w:w="2076" w:type="pct"/>
                  <w:noWrap w:val="0"/>
                  <w:vAlign w:val="center"/>
                </w:tcPr>
                <w:p w14:paraId="66C9AB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相符性分析</w:t>
                  </w:r>
                </w:p>
              </w:tc>
              <w:tc>
                <w:tcPr>
                  <w:tcW w:w="451" w:type="pct"/>
                  <w:noWrap w:val="0"/>
                  <w:vAlign w:val="center"/>
                </w:tcPr>
                <w:p w14:paraId="75B18E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val="en-US" w:eastAsia="zh-CN"/>
                    </w:rPr>
                    <w:t>结论</w:t>
                  </w:r>
                </w:p>
              </w:tc>
            </w:tr>
            <w:tr w14:paraId="6FEACE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08A9D8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禁止开发建设活动要求</w:t>
                  </w:r>
                </w:p>
              </w:tc>
              <w:tc>
                <w:tcPr>
                  <w:tcW w:w="2068" w:type="pct"/>
                  <w:noWrap w:val="0"/>
                  <w:vAlign w:val="center"/>
                </w:tcPr>
                <w:p w14:paraId="7419366D">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1.禁止新建、扩建法律法规和相关产业政策明令禁止的落后产能项目；禁止新建、扩建不符合国家产能置换要求的严重过剩产能项目。</w:t>
                  </w:r>
                </w:p>
              </w:tc>
              <w:tc>
                <w:tcPr>
                  <w:tcW w:w="2076" w:type="pct"/>
                  <w:noWrap w:val="0"/>
                  <w:vAlign w:val="center"/>
                </w:tcPr>
                <w:p w14:paraId="4716844A">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bidi="ar-SA"/>
                    </w:rPr>
                    <w:t>不属于法律法规和相关产业政策明令禁止的落后产能项目</w:t>
                  </w:r>
                  <w:r>
                    <w:rPr>
                      <w:rFonts w:hint="default"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val="en-US" w:eastAsia="zh-CN" w:bidi="ar-SA"/>
                    </w:rPr>
                    <w:t>不属于</w:t>
                  </w:r>
                  <w:r>
                    <w:rPr>
                      <w:rFonts w:hint="default" w:ascii="Times New Roman" w:hAnsi="Times New Roman" w:eastAsia="宋体" w:cs="Times New Roman"/>
                      <w:color w:val="000000" w:themeColor="text1"/>
                      <w:sz w:val="21"/>
                      <w:szCs w:val="21"/>
                      <w:lang w:bidi="ar-SA"/>
                    </w:rPr>
                    <w:t>不符合国家产能置换要求的严重过剩产能项目。</w:t>
                  </w:r>
                </w:p>
              </w:tc>
              <w:tc>
                <w:tcPr>
                  <w:tcW w:w="451" w:type="pct"/>
                  <w:noWrap w:val="0"/>
                  <w:vAlign w:val="center"/>
                </w:tcPr>
                <w:p w14:paraId="519D53C1">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符合</w:t>
                  </w:r>
                </w:p>
              </w:tc>
            </w:tr>
            <w:tr w14:paraId="3399F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64F666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34ED452C">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2.不得新建煤电、化工、石化、钢铁、有色金属冶炼、建材两高项目。</w:t>
                  </w:r>
                </w:p>
              </w:tc>
              <w:tc>
                <w:tcPr>
                  <w:tcW w:w="2076" w:type="pct"/>
                  <w:noWrap w:val="0"/>
                  <w:vAlign w:val="center"/>
                </w:tcPr>
                <w:p w14:paraId="3E657D4F">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bidi="ar-SA"/>
                    </w:rPr>
                    <w:t>不属于煤电、化工、石化、钢铁、有色金属冶炼、建材两高项目。</w:t>
                  </w:r>
                </w:p>
              </w:tc>
              <w:tc>
                <w:tcPr>
                  <w:tcW w:w="451" w:type="pct"/>
                  <w:noWrap w:val="0"/>
                  <w:vAlign w:val="center"/>
                </w:tcPr>
                <w:p w14:paraId="620545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DB4F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05350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721DC54B">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3.不得在长江河岸1公里范围内新建或改扩建各类高能耗、高排放建设项目；钢铁（铁合金）、电石、水泥、造纸（制浆）、农药（原药生产）、电镀、皮革、焦化、有色金属冶炼、化工、印染、陶瓷、化纤（黏胶）、医药原料药、煤化工等重污染项目。</w:t>
                  </w:r>
                </w:p>
              </w:tc>
              <w:tc>
                <w:tcPr>
                  <w:tcW w:w="2076" w:type="pct"/>
                  <w:noWrap w:val="0"/>
                  <w:vAlign w:val="center"/>
                </w:tcPr>
                <w:p w14:paraId="551E31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本项目位于赤湖工业园</w:t>
                  </w:r>
                  <w:r>
                    <w:rPr>
                      <w:rFonts w:hint="default" w:ascii="Times New Roman" w:hAnsi="Times New Roman" w:eastAsia="宋体" w:cs="Times New Roman"/>
                      <w:color w:val="000000" w:themeColor="text1"/>
                      <w:sz w:val="21"/>
                      <w:szCs w:val="21"/>
                      <w:lang w:val="en-US" w:eastAsia="zh-CN"/>
                    </w:rPr>
                    <w:t>内</w:t>
                  </w:r>
                  <w:r>
                    <w:rPr>
                      <w:rFonts w:hint="default" w:ascii="Times New Roman" w:hAnsi="Times New Roman" w:eastAsia="宋体" w:cs="Times New Roman"/>
                      <w:color w:val="000000" w:themeColor="text1"/>
                      <w:sz w:val="21"/>
                      <w:szCs w:val="21"/>
                    </w:rPr>
                    <w:t>，</w:t>
                  </w:r>
                  <w:r>
                    <w:rPr>
                      <w:rFonts w:hint="default" w:ascii="Times New Roman" w:hAnsi="Times New Roman" w:eastAsia="宋体" w:cs="Times New Roman"/>
                      <w:color w:val="000000" w:themeColor="text1"/>
                      <w:sz w:val="21"/>
                      <w:szCs w:val="21"/>
                      <w:lang w:bidi="ar-SA"/>
                    </w:rPr>
                    <w:t>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val="en-US" w:eastAsia="zh-CN"/>
                    </w:rPr>
                    <w:t>不属于</w:t>
                  </w:r>
                  <w:r>
                    <w:rPr>
                      <w:rFonts w:hint="default" w:ascii="Times New Roman" w:hAnsi="Times New Roman" w:eastAsia="宋体" w:cs="Times New Roman"/>
                      <w:color w:val="000000" w:themeColor="text1"/>
                      <w:sz w:val="21"/>
                      <w:szCs w:val="21"/>
                      <w:lang w:bidi="ar-SA"/>
                    </w:rPr>
                    <w:t>高能耗、高排放建设项目</w:t>
                  </w:r>
                  <w:r>
                    <w:rPr>
                      <w:rFonts w:hint="default"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val="en-US" w:eastAsia="zh-CN" w:bidi="ar-SA"/>
                    </w:rPr>
                    <w:t>不属于</w:t>
                  </w:r>
                  <w:r>
                    <w:rPr>
                      <w:rFonts w:hint="default" w:ascii="Times New Roman" w:hAnsi="Times New Roman" w:eastAsia="宋体" w:cs="Times New Roman"/>
                      <w:color w:val="000000" w:themeColor="text1"/>
                      <w:sz w:val="21"/>
                      <w:szCs w:val="21"/>
                      <w:lang w:bidi="ar-SA"/>
                    </w:rPr>
                    <w:t>钢铁（铁合金）、电石、水泥、造纸（制浆）、农药（原药生产）、电镀、皮革、焦化、有色金属冶炼、化工、印染、陶瓷、化纤（黏胶）、医药原料药、煤化工等重污染项目</w:t>
                  </w:r>
                  <w:r>
                    <w:rPr>
                      <w:rFonts w:hint="default" w:ascii="Times New Roman" w:hAnsi="Times New Roman" w:eastAsia="宋体" w:cs="Times New Roman"/>
                      <w:color w:val="000000" w:themeColor="text1"/>
                      <w:sz w:val="21"/>
                      <w:szCs w:val="21"/>
                    </w:rPr>
                    <w:t>。</w:t>
                  </w:r>
                </w:p>
              </w:tc>
              <w:tc>
                <w:tcPr>
                  <w:tcW w:w="451" w:type="pct"/>
                  <w:noWrap w:val="0"/>
                  <w:vAlign w:val="center"/>
                </w:tcPr>
                <w:p w14:paraId="476F71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F394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68E090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44537681">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4.禁止在长江干流岸线边界（即水利部门河道管理范围边界）向陆域纵深1公里范围内新建、扩建化工园区和化工项目。</w:t>
                  </w:r>
                </w:p>
              </w:tc>
              <w:tc>
                <w:tcPr>
                  <w:tcW w:w="2076" w:type="pct"/>
                  <w:noWrap w:val="0"/>
                  <w:vAlign w:val="center"/>
                </w:tcPr>
                <w:p w14:paraId="69B759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lang w:val="en-US" w:eastAsia="zh-CN"/>
                    </w:rPr>
                    <w:t>且</w:t>
                  </w:r>
                  <w:r>
                    <w:rPr>
                      <w:rFonts w:hint="default" w:ascii="Times New Roman" w:hAnsi="Times New Roman" w:eastAsia="宋体" w:cs="Times New Roman"/>
                      <w:color w:val="000000" w:themeColor="text1"/>
                      <w:sz w:val="21"/>
                      <w:szCs w:val="21"/>
                    </w:rPr>
                    <w:t>不属于</w:t>
                  </w:r>
                  <w:r>
                    <w:rPr>
                      <w:rFonts w:hint="default" w:ascii="Times New Roman" w:hAnsi="Times New Roman" w:eastAsia="宋体" w:cs="Times New Roman"/>
                      <w:color w:val="000000" w:themeColor="text1"/>
                      <w:sz w:val="21"/>
                      <w:szCs w:val="21"/>
                      <w:lang w:bidi="ar-SA"/>
                    </w:rPr>
                    <w:t>化工园区和</w:t>
                  </w:r>
                  <w:r>
                    <w:rPr>
                      <w:rFonts w:hint="default" w:ascii="Times New Roman" w:hAnsi="Times New Roman" w:eastAsia="宋体" w:cs="Times New Roman"/>
                      <w:color w:val="000000" w:themeColor="text1"/>
                      <w:sz w:val="21"/>
                      <w:szCs w:val="21"/>
                    </w:rPr>
                    <w:t>化工项目。</w:t>
                  </w:r>
                </w:p>
              </w:tc>
              <w:tc>
                <w:tcPr>
                  <w:tcW w:w="451" w:type="pct"/>
                  <w:noWrap w:val="0"/>
                  <w:vAlign w:val="center"/>
                </w:tcPr>
                <w:p w14:paraId="2BBF5B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578B1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5012F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22494831">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5.区内化工保持现有规模，禁止新引进的重化工企业，现有化工企业应进行改造，实现污染物排放减量。</w:t>
                  </w:r>
                </w:p>
              </w:tc>
              <w:tc>
                <w:tcPr>
                  <w:tcW w:w="2076" w:type="pct"/>
                  <w:noWrap w:val="0"/>
                  <w:vAlign w:val="center"/>
                </w:tcPr>
                <w:p w14:paraId="571588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z w:val="21"/>
                      <w:szCs w:val="21"/>
                    </w:rPr>
                    <w:t>不属于化工项目。</w:t>
                  </w:r>
                </w:p>
              </w:tc>
              <w:tc>
                <w:tcPr>
                  <w:tcW w:w="451" w:type="pct"/>
                  <w:noWrap w:val="0"/>
                  <w:vAlign w:val="center"/>
                </w:tcPr>
                <w:p w14:paraId="2C58EB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0AC5D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61D466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6A260112">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6.禁止新建、改建和扩建不符合国家和省级批准的港口规划的码头项目。</w:t>
                  </w:r>
                </w:p>
              </w:tc>
              <w:tc>
                <w:tcPr>
                  <w:tcW w:w="2076" w:type="pct"/>
                  <w:noWrap w:val="0"/>
                  <w:vAlign w:val="center"/>
                </w:tcPr>
                <w:p w14:paraId="770C7D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w:t>
                  </w:r>
                  <w:r>
                    <w:rPr>
                      <w:rFonts w:hint="default" w:ascii="Times New Roman" w:hAnsi="Times New Roman" w:eastAsia="宋体" w:cs="Times New Roman"/>
                      <w:color w:val="000000" w:themeColor="text1"/>
                      <w:sz w:val="21"/>
                      <w:szCs w:val="21"/>
                      <w:lang w:val="en-US" w:eastAsia="zh-CN"/>
                    </w:rPr>
                    <w:t>不属于</w:t>
                  </w:r>
                  <w:r>
                    <w:rPr>
                      <w:rFonts w:hint="default" w:ascii="Times New Roman" w:hAnsi="Times New Roman" w:eastAsia="宋体" w:cs="Times New Roman"/>
                      <w:color w:val="000000" w:themeColor="text1"/>
                      <w:sz w:val="21"/>
                      <w:szCs w:val="21"/>
                      <w:lang w:bidi="ar-SA"/>
                    </w:rPr>
                    <w:t>不符合国家和省级批准的港口规划的码头项目。</w:t>
                  </w:r>
                </w:p>
              </w:tc>
              <w:tc>
                <w:tcPr>
                  <w:tcW w:w="451" w:type="pct"/>
                  <w:noWrap w:val="0"/>
                  <w:vAlign w:val="center"/>
                </w:tcPr>
                <w:p w14:paraId="10BC35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00AD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0CB04FA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344DD997">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7.生态红线内禁止新增采矿（含探矿）和工业项目。</w:t>
                  </w:r>
                </w:p>
              </w:tc>
              <w:tc>
                <w:tcPr>
                  <w:tcW w:w="2076" w:type="pct"/>
                  <w:noWrap w:val="0"/>
                  <w:vAlign w:val="center"/>
                </w:tcPr>
                <w:p w14:paraId="4127DC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本项目位于赤湖工业园</w:t>
                  </w:r>
                  <w:r>
                    <w:rPr>
                      <w:rFonts w:hint="default" w:ascii="Times New Roman" w:hAnsi="Times New Roman" w:eastAsia="宋体" w:cs="Times New Roman"/>
                      <w:color w:val="000000" w:themeColor="text1"/>
                      <w:sz w:val="21"/>
                      <w:szCs w:val="21"/>
                      <w:lang w:val="en-US" w:eastAsia="zh-CN"/>
                    </w:rPr>
                    <w:t>内</w:t>
                  </w:r>
                  <w:r>
                    <w:rPr>
                      <w:rFonts w:hint="default" w:ascii="Times New Roman" w:hAnsi="Times New Roman" w:eastAsia="宋体" w:cs="Times New Roman"/>
                      <w:color w:val="000000" w:themeColor="text1"/>
                      <w:sz w:val="21"/>
                      <w:szCs w:val="21"/>
                    </w:rPr>
                    <w:t>，不</w:t>
                  </w:r>
                  <w:r>
                    <w:rPr>
                      <w:rFonts w:hint="default" w:ascii="Times New Roman" w:hAnsi="Times New Roman" w:eastAsia="宋体" w:cs="Times New Roman"/>
                      <w:color w:val="000000" w:themeColor="text1"/>
                      <w:sz w:val="21"/>
                      <w:szCs w:val="21"/>
                      <w:lang w:val="en-US" w:eastAsia="zh-CN"/>
                    </w:rPr>
                    <w:t>在</w:t>
                  </w:r>
                  <w:r>
                    <w:rPr>
                      <w:rFonts w:hint="default" w:ascii="Times New Roman" w:hAnsi="Times New Roman" w:eastAsia="宋体" w:cs="Times New Roman"/>
                      <w:color w:val="000000" w:themeColor="text1"/>
                      <w:sz w:val="21"/>
                      <w:szCs w:val="21"/>
                    </w:rPr>
                    <w:t>生态红线内。</w:t>
                  </w:r>
                </w:p>
              </w:tc>
              <w:tc>
                <w:tcPr>
                  <w:tcW w:w="451" w:type="pct"/>
                  <w:noWrap w:val="0"/>
                  <w:vAlign w:val="center"/>
                </w:tcPr>
                <w:p w14:paraId="21E03E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D640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33CD4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73D9763D">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8.禁止占用区内永久基本农田。不得在基本农田集中区域边界建设有色金属冶炼、石油加工、化工、焦化、电镀、制革、危险废物利用等项目。</w:t>
                  </w:r>
                </w:p>
              </w:tc>
              <w:tc>
                <w:tcPr>
                  <w:tcW w:w="2076" w:type="pct"/>
                  <w:noWrap w:val="0"/>
                  <w:vAlign w:val="center"/>
                </w:tcPr>
                <w:p w14:paraId="159FFE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本</w:t>
                  </w:r>
                  <w:r>
                    <w:rPr>
                      <w:rFonts w:hint="default" w:ascii="Times New Roman" w:hAnsi="Times New Roman" w:eastAsia="宋体" w:cs="Times New Roman"/>
                      <w:color w:val="000000" w:themeColor="text1"/>
                      <w:sz w:val="21"/>
                      <w:szCs w:val="21"/>
                    </w:rPr>
                    <w:t>项目位于赤湖工业园</w:t>
                  </w:r>
                  <w:r>
                    <w:rPr>
                      <w:rFonts w:hint="default" w:ascii="Times New Roman" w:hAnsi="Times New Roman" w:eastAsia="宋体" w:cs="Times New Roman"/>
                      <w:color w:val="000000" w:themeColor="text1"/>
                      <w:sz w:val="21"/>
                      <w:szCs w:val="21"/>
                      <w:lang w:val="en-US" w:eastAsia="zh-CN"/>
                    </w:rPr>
                    <w:t>内</w:t>
                  </w:r>
                  <w:r>
                    <w:rPr>
                      <w:rFonts w:hint="default" w:ascii="Times New Roman" w:hAnsi="Times New Roman" w:eastAsia="宋体" w:cs="Times New Roman"/>
                      <w:color w:val="000000" w:themeColor="text1"/>
                      <w:sz w:val="21"/>
                      <w:szCs w:val="21"/>
                    </w:rPr>
                    <w:t>，不涉及基本农田</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且不属于</w:t>
                  </w:r>
                  <w:r>
                    <w:rPr>
                      <w:rFonts w:hint="default" w:ascii="Times New Roman" w:hAnsi="Times New Roman" w:eastAsia="宋体" w:cs="Times New Roman"/>
                      <w:color w:val="000000" w:themeColor="text1"/>
                      <w:sz w:val="21"/>
                      <w:szCs w:val="21"/>
                      <w:lang w:bidi="ar-SA"/>
                    </w:rPr>
                    <w:t>有色金属冶炼、石油加工、化工、焦化、电镀、制革、危险废物利用等项目</w:t>
                  </w:r>
                  <w:r>
                    <w:rPr>
                      <w:rFonts w:hint="default" w:ascii="Times New Roman" w:hAnsi="Times New Roman" w:eastAsia="宋体" w:cs="Times New Roman"/>
                      <w:color w:val="000000" w:themeColor="text1"/>
                      <w:sz w:val="21"/>
                      <w:szCs w:val="21"/>
                    </w:rPr>
                    <w:t>。</w:t>
                  </w:r>
                </w:p>
              </w:tc>
              <w:tc>
                <w:tcPr>
                  <w:tcW w:w="451" w:type="pct"/>
                  <w:noWrap w:val="0"/>
                  <w:vAlign w:val="center"/>
                </w:tcPr>
                <w:p w14:paraId="230E1F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FB4E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376CF9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3B0DF763">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9.紧邻居住、科教、医院等环境敏感点的工业用地，禁止新建环境风险等级高的建设项目。</w:t>
                  </w:r>
                </w:p>
              </w:tc>
              <w:tc>
                <w:tcPr>
                  <w:tcW w:w="2076" w:type="pct"/>
                  <w:noWrap w:val="0"/>
                  <w:vAlign w:val="center"/>
                </w:tcPr>
                <w:p w14:paraId="0A132E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w:t>
                  </w:r>
                  <w:r>
                    <w:rPr>
                      <w:rFonts w:hint="default" w:ascii="Times New Roman" w:hAnsi="Times New Roman" w:eastAsia="宋体" w:cs="Times New Roman"/>
                      <w:color w:val="000000" w:themeColor="text1"/>
                      <w:sz w:val="21"/>
                      <w:szCs w:val="21"/>
                      <w:lang w:val="en-US" w:eastAsia="zh-CN"/>
                    </w:rPr>
                    <w:t>所在地不属于</w:t>
                  </w:r>
                  <w:r>
                    <w:rPr>
                      <w:rFonts w:hint="default" w:ascii="Times New Roman" w:hAnsi="Times New Roman" w:eastAsia="宋体" w:cs="Times New Roman"/>
                      <w:color w:val="000000" w:themeColor="text1"/>
                      <w:sz w:val="21"/>
                      <w:szCs w:val="21"/>
                      <w:lang w:bidi="ar-SA"/>
                    </w:rPr>
                    <w:t>紧邻居住、科教、医院等环境敏感点的工业用地</w:t>
                  </w:r>
                  <w:r>
                    <w:rPr>
                      <w:rFonts w:hint="default" w:ascii="Times New Roman" w:hAnsi="Times New Roman" w:eastAsia="宋体" w:cs="Times New Roman"/>
                      <w:color w:val="000000" w:themeColor="text1"/>
                      <w:sz w:val="21"/>
                      <w:szCs w:val="21"/>
                    </w:rPr>
                    <w:t>。</w:t>
                  </w:r>
                </w:p>
              </w:tc>
              <w:tc>
                <w:tcPr>
                  <w:tcW w:w="451" w:type="pct"/>
                  <w:noWrap w:val="0"/>
                  <w:vAlign w:val="center"/>
                </w:tcPr>
                <w:p w14:paraId="6C39E0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13629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7A45A556">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限制开发建设活动要求</w:t>
                  </w:r>
                </w:p>
              </w:tc>
              <w:tc>
                <w:tcPr>
                  <w:tcW w:w="2068" w:type="pct"/>
                  <w:noWrap w:val="0"/>
                  <w:vAlign w:val="center"/>
                </w:tcPr>
                <w:p w14:paraId="3A51E8A9">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1.新增磷排放量的企业。</w:t>
                  </w:r>
                </w:p>
              </w:tc>
              <w:tc>
                <w:tcPr>
                  <w:tcW w:w="2076" w:type="pct"/>
                  <w:noWrap w:val="0"/>
                  <w:vAlign w:val="center"/>
                </w:tcPr>
                <w:p w14:paraId="7B81A2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本项目外排废水为</w:t>
                  </w:r>
                  <w:r>
                    <w:rPr>
                      <w:rFonts w:hint="eastAsia" w:ascii="Times New Roman" w:hAnsi="Times New Roman" w:eastAsia="宋体" w:cs="Times New Roman"/>
                      <w:b w:val="0"/>
                      <w:bCs w:val="0"/>
                      <w:color w:val="000000" w:themeColor="text1"/>
                      <w:spacing w:val="4"/>
                      <w:kern w:val="18"/>
                      <w:sz w:val="21"/>
                      <w:szCs w:val="21"/>
                      <w:highlight w:val="none"/>
                      <w:vertAlign w:val="baseline"/>
                      <w:lang w:val="en-US" w:eastAsia="zh-CN"/>
                    </w:rPr>
                    <w:t>地面清洗水</w:t>
                  </w: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，生活污水经厂区化粪池预处理</w:t>
                  </w:r>
                  <w:r>
                    <w:rPr>
                      <w:rFonts w:hint="eastAsia" w:cs="Times New Roman"/>
                      <w:b w:val="0"/>
                      <w:bCs w:val="0"/>
                      <w:color w:val="000000" w:themeColor="text1"/>
                      <w:spacing w:val="4"/>
                      <w:kern w:val="18"/>
                      <w:sz w:val="21"/>
                      <w:szCs w:val="21"/>
                      <w:highlight w:val="none"/>
                      <w:vertAlign w:val="baseline"/>
                      <w:lang w:val="en-US" w:eastAsia="zh-CN"/>
                    </w:rPr>
                    <w:t>达到</w:t>
                  </w: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赤湖工业园污水处理厂接管标准，经园区污水管网排入赤湖工业园污水处理厂进一步处理后达标排放。</w:t>
                  </w:r>
                </w:p>
              </w:tc>
              <w:tc>
                <w:tcPr>
                  <w:tcW w:w="451" w:type="pct"/>
                  <w:noWrap w:val="0"/>
                  <w:vAlign w:val="center"/>
                </w:tcPr>
                <w:p w14:paraId="4A0426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30246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AE34A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361797D6">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2.淘汰设区市城市建成区35蒸吨/小时及以下燃煤小锅炉，县、区建成区10蒸吨/小时及以下燃煤小锅炉。</w:t>
                  </w:r>
                </w:p>
              </w:tc>
              <w:tc>
                <w:tcPr>
                  <w:tcW w:w="2076" w:type="pct"/>
                  <w:noWrap w:val="0"/>
                  <w:vAlign w:val="center"/>
                </w:tcPr>
                <w:p w14:paraId="243122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本项目不</w:t>
                  </w:r>
                  <w:r>
                    <w:rPr>
                      <w:rFonts w:hint="default" w:ascii="Times New Roman" w:hAnsi="Times New Roman" w:eastAsia="宋体" w:cs="Times New Roman"/>
                      <w:color w:val="000000" w:themeColor="text1"/>
                      <w:sz w:val="21"/>
                      <w:szCs w:val="21"/>
                      <w:lang w:val="en-US" w:eastAsia="zh-CN"/>
                    </w:rPr>
                    <w:t>涉及</w:t>
                  </w:r>
                  <w:r>
                    <w:rPr>
                      <w:rFonts w:hint="default" w:ascii="Times New Roman" w:hAnsi="Times New Roman" w:eastAsia="宋体" w:cs="Times New Roman"/>
                      <w:color w:val="000000" w:themeColor="text1"/>
                      <w:sz w:val="21"/>
                      <w:szCs w:val="21"/>
                    </w:rPr>
                    <w:t>燃煤锅炉。</w:t>
                  </w:r>
                </w:p>
              </w:tc>
              <w:tc>
                <w:tcPr>
                  <w:tcW w:w="451" w:type="pct"/>
                  <w:noWrap w:val="0"/>
                  <w:vAlign w:val="center"/>
                </w:tcPr>
                <w:p w14:paraId="65EAD8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DEA3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3853A9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32697A17">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3.对产能过剩行业新建、扩建项目，按照新增产能实行产能规模等量或减量置换。</w:t>
                  </w:r>
                </w:p>
              </w:tc>
              <w:tc>
                <w:tcPr>
                  <w:tcW w:w="2076" w:type="pct"/>
                  <w:noWrap w:val="0"/>
                  <w:vAlign w:val="center"/>
                </w:tcPr>
                <w:p w14:paraId="57F125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本项目不属于产能过剩行业</w:t>
                  </w:r>
                  <w:r>
                    <w:rPr>
                      <w:rFonts w:hint="default"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rPr>
                    <w:t>。</w:t>
                  </w:r>
                </w:p>
              </w:tc>
              <w:tc>
                <w:tcPr>
                  <w:tcW w:w="451" w:type="pct"/>
                  <w:noWrap w:val="0"/>
                  <w:vAlign w:val="center"/>
                </w:tcPr>
                <w:p w14:paraId="1C20C7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A0DE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44C2F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7B12AF90">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4.禁止在饮用水源保护区投饵养殖，禁止在江河、湖泊、水库使用无机肥、有机肥、生物复合肥等进行水产养殖。</w:t>
                  </w:r>
                </w:p>
              </w:tc>
              <w:tc>
                <w:tcPr>
                  <w:tcW w:w="2076" w:type="pct"/>
                  <w:noWrap w:val="0"/>
                  <w:vAlign w:val="center"/>
                </w:tcPr>
                <w:p w14:paraId="4857D7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本项目不</w:t>
                  </w:r>
                  <w:r>
                    <w:rPr>
                      <w:rFonts w:hint="default" w:ascii="Times New Roman" w:hAnsi="Times New Roman" w:eastAsia="宋体" w:cs="Times New Roman"/>
                      <w:color w:val="000000" w:themeColor="text1"/>
                      <w:sz w:val="21"/>
                      <w:szCs w:val="21"/>
                      <w:lang w:val="en-US" w:eastAsia="zh-CN"/>
                    </w:rPr>
                    <w:t>在</w:t>
                  </w:r>
                  <w:r>
                    <w:rPr>
                      <w:rFonts w:hint="default" w:ascii="Times New Roman" w:hAnsi="Times New Roman" w:eastAsia="宋体" w:cs="Times New Roman"/>
                      <w:color w:val="000000" w:themeColor="text1"/>
                      <w:sz w:val="21"/>
                      <w:szCs w:val="21"/>
                      <w:lang w:bidi="ar-SA"/>
                    </w:rPr>
                    <w:t>饮用水源保护区投饵养殖</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lang w:val="en-US" w:eastAsia="zh-CN"/>
                    </w:rPr>
                    <w:t>不在</w:t>
                  </w:r>
                  <w:r>
                    <w:rPr>
                      <w:rFonts w:hint="default" w:ascii="Times New Roman" w:hAnsi="Times New Roman" w:eastAsia="宋体" w:cs="Times New Roman"/>
                      <w:color w:val="000000" w:themeColor="text1"/>
                      <w:sz w:val="21"/>
                      <w:szCs w:val="21"/>
                      <w:lang w:bidi="ar-SA"/>
                    </w:rPr>
                    <w:t>江河、湖泊、水库使用无机肥、有机肥、生物复合肥等进行水产养殖</w:t>
                  </w:r>
                  <w:r>
                    <w:rPr>
                      <w:rFonts w:hint="default" w:ascii="Times New Roman" w:hAnsi="Times New Roman" w:eastAsia="宋体" w:cs="Times New Roman"/>
                      <w:color w:val="000000" w:themeColor="text1"/>
                      <w:sz w:val="21"/>
                      <w:szCs w:val="21"/>
                    </w:rPr>
                    <w:t>。</w:t>
                  </w:r>
                </w:p>
              </w:tc>
              <w:tc>
                <w:tcPr>
                  <w:tcW w:w="451" w:type="pct"/>
                  <w:noWrap w:val="0"/>
                  <w:vAlign w:val="center"/>
                </w:tcPr>
                <w:p w14:paraId="7904E9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056A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35A922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6C000D68">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5.禁止在城市湖泊水域范围内建设除防洪、改善水生态环境、跨湖桥梁、湖底隧道之外的建筑物、构筑物。</w:t>
                  </w:r>
                </w:p>
              </w:tc>
              <w:tc>
                <w:tcPr>
                  <w:tcW w:w="2076" w:type="pct"/>
                  <w:noWrap w:val="0"/>
                  <w:vAlign w:val="center"/>
                </w:tcPr>
                <w:p w14:paraId="19A879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w:t>
                  </w:r>
                  <w:r>
                    <w:rPr>
                      <w:rFonts w:hint="default" w:ascii="Times New Roman" w:hAnsi="Times New Roman" w:eastAsia="宋体" w:cs="Times New Roman"/>
                      <w:color w:val="000000" w:themeColor="text1"/>
                      <w:sz w:val="21"/>
                      <w:szCs w:val="21"/>
                      <w:lang w:val="en-US" w:eastAsia="zh-CN"/>
                    </w:rPr>
                    <w:t>不</w:t>
                  </w:r>
                  <w:r>
                    <w:rPr>
                      <w:rFonts w:hint="default" w:ascii="Times New Roman" w:hAnsi="Times New Roman" w:eastAsia="宋体" w:cs="Times New Roman"/>
                      <w:color w:val="000000" w:themeColor="text1"/>
                      <w:sz w:val="21"/>
                      <w:szCs w:val="21"/>
                      <w:lang w:bidi="ar-SA"/>
                    </w:rPr>
                    <w:t>在城市湖泊水域范围内建设除防洪、改善水生态环境、跨湖桥梁、湖底隧道之外的建筑物、构筑物</w:t>
                  </w:r>
                  <w:r>
                    <w:rPr>
                      <w:rFonts w:hint="default" w:ascii="Times New Roman" w:hAnsi="Times New Roman" w:eastAsia="宋体" w:cs="Times New Roman"/>
                      <w:color w:val="000000" w:themeColor="text1"/>
                      <w:sz w:val="21"/>
                      <w:szCs w:val="21"/>
                    </w:rPr>
                    <w:t>。</w:t>
                  </w:r>
                </w:p>
              </w:tc>
              <w:tc>
                <w:tcPr>
                  <w:tcW w:w="451" w:type="pct"/>
                  <w:noWrap w:val="0"/>
                  <w:vAlign w:val="center"/>
                </w:tcPr>
                <w:p w14:paraId="31EAC8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DABA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24FADF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68" w:type="pct"/>
                  <w:noWrap w:val="0"/>
                  <w:vAlign w:val="center"/>
                </w:tcPr>
                <w:p w14:paraId="09F2FE29">
                  <w:pPr>
                    <w:pStyle w:val="77"/>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bidi="ar-SA"/>
                    </w:rPr>
                  </w:pPr>
                  <w:r>
                    <w:rPr>
                      <w:rFonts w:hint="default" w:ascii="Times New Roman" w:hAnsi="Times New Roman" w:eastAsia="宋体" w:cs="Times New Roman"/>
                      <w:color w:val="000000" w:themeColor="text1"/>
                      <w:sz w:val="21"/>
                      <w:szCs w:val="21"/>
                      <w:lang w:bidi="ar-SA"/>
                    </w:rPr>
                    <w:t>6.对长江干流及鄱阳湖区从严审批产生有毒有害污染物的新建和改扩建项目</w:t>
                  </w:r>
                  <w:r>
                    <w:rPr>
                      <w:rFonts w:hint="eastAsia" w:ascii="Times New Roman" w:hAnsi="Times New Roman" w:eastAsia="宋体" w:cs="Times New Roman"/>
                      <w:color w:val="000000" w:themeColor="text1"/>
                      <w:sz w:val="21"/>
                      <w:szCs w:val="21"/>
                      <w:lang w:eastAsia="zh-CN" w:bidi="ar-SA"/>
                    </w:rPr>
                    <w:t>，对</w:t>
                  </w:r>
                  <w:r>
                    <w:rPr>
                      <w:rFonts w:hint="default" w:ascii="Times New Roman" w:hAnsi="Times New Roman" w:eastAsia="宋体" w:cs="Times New Roman"/>
                      <w:color w:val="000000" w:themeColor="text1"/>
                      <w:sz w:val="21"/>
                      <w:szCs w:val="21"/>
                      <w:lang w:bidi="ar-SA"/>
                    </w:rPr>
                    <w:t>新建、改建、扩建重点行业项目实行主要水污染物排放减量置换，严控新增污染物排放。</w:t>
                  </w:r>
                </w:p>
              </w:tc>
              <w:tc>
                <w:tcPr>
                  <w:tcW w:w="2076" w:type="pct"/>
                  <w:noWrap w:val="0"/>
                  <w:vAlign w:val="center"/>
                </w:tcPr>
                <w:p w14:paraId="4A5D8F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本项目涉水污染物总量控制指标在赤湖工业园污水处理厂予以调剂范围内，无新增污染物排放。</w:t>
                  </w:r>
                </w:p>
              </w:tc>
              <w:tc>
                <w:tcPr>
                  <w:tcW w:w="451" w:type="pct"/>
                  <w:noWrap w:val="0"/>
                  <w:vAlign w:val="center"/>
                </w:tcPr>
                <w:p w14:paraId="6627C8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bl>
          <w:p w14:paraId="09AE4D0E">
            <w:pPr>
              <w:pStyle w:val="107"/>
              <w:numPr>
                <w:ilvl w:val="0"/>
                <w:numId w:val="3"/>
              </w:numPr>
              <w:bidi w:val="0"/>
              <w:rPr>
                <w:rFonts w:hint="eastAsia" w:eastAsia="宋体" w:cs="Times New Roman"/>
                <w:b/>
                <w:bCs/>
                <w:color w:val="000000" w:themeColor="text1"/>
                <w:sz w:val="24"/>
                <w:szCs w:val="24"/>
                <w:highlight w:val="none"/>
                <w:lang w:val="en-US" w:eastAsia="zh-CN"/>
              </w:rPr>
            </w:pPr>
            <w:r>
              <w:rPr>
                <w:rFonts w:hint="eastAsia" w:eastAsia="宋体" w:cs="Times New Roman"/>
                <w:b/>
                <w:bCs/>
                <w:color w:val="000000" w:themeColor="text1"/>
                <w:sz w:val="24"/>
                <w:szCs w:val="24"/>
                <w:highlight w:val="none"/>
                <w:lang w:val="en-US" w:eastAsia="zh-CN"/>
              </w:rPr>
              <w:t>与《关于九江市赤湖工业园控制性详细规划环境影响报告书的审查意见》（九环评字〔2022〕11号）相符性分析</w:t>
            </w:r>
          </w:p>
          <w:p w14:paraId="35EAD14C">
            <w:pPr>
              <w:pStyle w:val="85"/>
              <w:keepNext w:val="0"/>
              <w:keepLines w:val="0"/>
              <w:pageBreakBefore w:val="0"/>
              <w:widowControl w:val="0"/>
              <w:kinsoku/>
              <w:wordWrap/>
              <w:overflowPunct/>
              <w:topLinePunct w:val="0"/>
              <w:bidi w:val="0"/>
              <w:adjustRightIn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b/>
                <w:bCs/>
                <w:color w:val="000000" w:themeColor="text1"/>
                <w:sz w:val="21"/>
                <w:szCs w:val="21"/>
                <w:highlight w:val="none"/>
              </w:rPr>
              <w:t>表1-</w:t>
            </w:r>
            <w:r>
              <w:rPr>
                <w:rFonts w:hint="eastAsia" w:cs="Times New Roman"/>
                <w:b/>
                <w:bCs/>
                <w:color w:val="000000" w:themeColor="text1"/>
                <w:sz w:val="21"/>
                <w:szCs w:val="21"/>
                <w:highlight w:val="none"/>
                <w:lang w:val="en-US" w:eastAsia="zh-CN"/>
              </w:rPr>
              <w:t>3</w:t>
            </w:r>
            <w:r>
              <w:rPr>
                <w:rFonts w:hint="default" w:ascii="Times New Roman" w:hAnsi="Times New Roman" w:cs="Times New Roman"/>
                <w:b/>
                <w:bCs/>
                <w:color w:val="000000" w:themeColor="text1"/>
                <w:sz w:val="21"/>
                <w:szCs w:val="21"/>
                <w:highlight w:val="none"/>
              </w:rPr>
              <w:t xml:space="preserve"> 本项目</w:t>
            </w:r>
            <w:r>
              <w:rPr>
                <w:rFonts w:hint="default" w:ascii="Times New Roman" w:hAnsi="Times New Roman" w:eastAsia="宋体" w:cs="Times New Roman"/>
                <w:b/>
                <w:bCs/>
                <w:color w:val="000000" w:themeColor="text1"/>
                <w:sz w:val="21"/>
                <w:szCs w:val="21"/>
                <w:highlight w:val="none"/>
                <w:lang w:val="en-US" w:eastAsia="zh-CN"/>
              </w:rPr>
              <w:t>与《九江市赤湖工业园控制性详细规划环境影响报告书》及其审批意</w:t>
            </w:r>
            <w:r>
              <w:rPr>
                <w:rFonts w:hint="default" w:ascii="Times New Roman" w:hAnsi="Times New Roman" w:cs="Times New Roman"/>
                <w:b/>
                <w:bCs/>
                <w:color w:val="000000" w:themeColor="text1"/>
                <w:sz w:val="21"/>
                <w:szCs w:val="21"/>
                <w:highlight w:val="none"/>
              </w:rPr>
              <w:t>见</w:t>
            </w:r>
            <w:r>
              <w:rPr>
                <w:rFonts w:hint="eastAsia" w:ascii="Times New Roman" w:hAnsi="Times New Roman" w:eastAsia="宋体" w:cs="Times New Roman"/>
                <w:b/>
                <w:bCs/>
                <w:color w:val="000000" w:themeColor="text1"/>
                <w:sz w:val="21"/>
                <w:szCs w:val="21"/>
                <w:highlight w:val="none"/>
                <w:lang w:eastAsia="zh-CN"/>
              </w:rPr>
              <w:t>（</w:t>
            </w:r>
            <w:r>
              <w:rPr>
                <w:rFonts w:hint="eastAsia" w:ascii="Times New Roman" w:hAnsi="Times New Roman" w:eastAsia="宋体" w:cs="Times New Roman"/>
                <w:b/>
                <w:bCs/>
                <w:color w:val="000000" w:themeColor="text1"/>
                <w:sz w:val="21"/>
                <w:szCs w:val="21"/>
                <w:highlight w:val="none"/>
                <w:lang w:val="en-US" w:eastAsia="zh-CN"/>
              </w:rPr>
              <w:t>九环评字〔2022〕11号</w:t>
            </w:r>
            <w:r>
              <w:rPr>
                <w:rFonts w:hint="eastAsia" w:ascii="Times New Roman" w:hAnsi="Times New Roman" w:eastAsia="宋体" w:cs="Times New Roman"/>
                <w:b/>
                <w:bCs/>
                <w:color w:val="000000" w:themeColor="text1"/>
                <w:sz w:val="21"/>
                <w:szCs w:val="21"/>
                <w:highlight w:val="none"/>
                <w:lang w:eastAsia="zh-CN"/>
              </w:rPr>
              <w:t>）</w:t>
            </w:r>
            <w:r>
              <w:rPr>
                <w:rFonts w:hint="default" w:ascii="Times New Roman" w:hAnsi="Times New Roman" w:cs="Times New Roman"/>
                <w:b/>
                <w:bCs/>
                <w:color w:val="000000" w:themeColor="text1"/>
                <w:sz w:val="21"/>
                <w:szCs w:val="21"/>
                <w:highlight w:val="none"/>
              </w:rPr>
              <w:t>的相符性</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
              <w:gridCol w:w="4744"/>
              <w:gridCol w:w="2129"/>
              <w:gridCol w:w="727"/>
            </w:tblGrid>
            <w:tr w14:paraId="7D90DE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14:paraId="5D38F12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bCs/>
                      <w:color w:val="000000" w:themeColor="text1"/>
                      <w:sz w:val="21"/>
                      <w:szCs w:val="21"/>
                      <w:highlight w:val="none"/>
                    </w:rPr>
                    <w:t>序号</w:t>
                  </w:r>
                </w:p>
              </w:tc>
              <w:tc>
                <w:tcPr>
                  <w:tcW w:w="4591" w:type="dxa"/>
                  <w:tcBorders>
                    <w:tl2br w:val="nil"/>
                    <w:tr2bl w:val="nil"/>
                  </w:tcBorders>
                  <w:noWrap w:val="0"/>
                  <w:vAlign w:val="center"/>
                </w:tcPr>
                <w:p w14:paraId="721733B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bCs/>
                      <w:color w:val="000000" w:themeColor="text1"/>
                      <w:sz w:val="21"/>
                      <w:szCs w:val="21"/>
                      <w:highlight w:val="none"/>
                    </w:rPr>
                    <w:t>园区扩区调区环评批复要求</w:t>
                  </w:r>
                </w:p>
              </w:tc>
              <w:tc>
                <w:tcPr>
                  <w:tcW w:w="2060" w:type="dxa"/>
                  <w:tcBorders>
                    <w:tl2br w:val="nil"/>
                    <w:tr2bl w:val="nil"/>
                  </w:tcBorders>
                  <w:noWrap w:val="0"/>
                  <w:vAlign w:val="center"/>
                </w:tcPr>
                <w:p w14:paraId="60AED4C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bCs/>
                      <w:color w:val="000000" w:themeColor="text1"/>
                      <w:sz w:val="21"/>
                      <w:szCs w:val="21"/>
                      <w:highlight w:val="none"/>
                    </w:rPr>
                    <w:t>本项目情况</w:t>
                  </w:r>
                </w:p>
              </w:tc>
              <w:tc>
                <w:tcPr>
                  <w:tcW w:w="704" w:type="dxa"/>
                  <w:tcBorders>
                    <w:tl2br w:val="nil"/>
                    <w:tr2bl w:val="nil"/>
                  </w:tcBorders>
                  <w:noWrap w:val="0"/>
                  <w:vAlign w:val="center"/>
                </w:tcPr>
                <w:p w14:paraId="5ED6734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rPr>
                  </w:pPr>
                  <w:r>
                    <w:rPr>
                      <w:rFonts w:hint="default" w:ascii="Times New Roman" w:hAnsi="Times New Roman" w:cs="Times New Roman"/>
                      <w:b/>
                      <w:bCs/>
                      <w:color w:val="000000" w:themeColor="text1"/>
                      <w:sz w:val="21"/>
                      <w:szCs w:val="21"/>
                      <w:highlight w:val="none"/>
                    </w:rPr>
                    <w:t>相符性</w:t>
                  </w:r>
                </w:p>
              </w:tc>
            </w:tr>
            <w:tr w14:paraId="6CA4E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14:paraId="3B544B1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1</w:t>
                  </w:r>
                </w:p>
              </w:tc>
              <w:tc>
                <w:tcPr>
                  <w:tcW w:w="4591" w:type="dxa"/>
                  <w:tcBorders>
                    <w:tl2br w:val="nil"/>
                    <w:tr2bl w:val="nil"/>
                  </w:tcBorders>
                  <w:noWrap w:val="0"/>
                  <w:vAlign w:val="center"/>
                </w:tcPr>
                <w:p w14:paraId="5AA19316">
                  <w:pPr>
                    <w:pStyle w:val="42"/>
                    <w:keepNext w:val="0"/>
                    <w:keepLines w:val="0"/>
                    <w:pageBreakBefore w:val="0"/>
                    <w:widowControl w:val="0"/>
                    <w:kinsoku/>
                    <w:wordWrap/>
                    <w:overflowPunct/>
                    <w:topLinePunct w:val="0"/>
                    <w:bidi w:val="0"/>
                    <w:adjustRightIn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rPr>
                  </w:pPr>
                  <w:r>
                    <w:rPr>
                      <w:rFonts w:hint="default" w:ascii="Times New Roman" w:hAnsi="Times New Roman" w:eastAsia="宋体" w:cs="Times New Roman"/>
                      <w:color w:val="000000" w:themeColor="text1"/>
                      <w:sz w:val="21"/>
                      <w:szCs w:val="21"/>
                      <w:highlight w:val="none"/>
                    </w:rPr>
                    <w:t>按照“三线一单”管控要求，以生态保护红线、资源利用上线、环境质量底线为约束，落实环境准入负面清单，严格建设项目环境准入。支持产业匹配、工艺先进的企业入驻，控制大气挥发性有机物污染物排放量大的企业入驻，防止盲目引进企业，确保清洁生产水平达到国内先进水平；控制高能耗、高排放、高环境风险产业发展规模，禁止长江岸线1公里范围内冶炼等项目入驻；禁止新建、扩建石化、化工项目；严格限制印染项目，确保污染物排放不增加。</w:t>
                  </w:r>
                </w:p>
              </w:tc>
              <w:tc>
                <w:tcPr>
                  <w:tcW w:w="2060" w:type="dxa"/>
                  <w:tcBorders>
                    <w:tl2br w:val="nil"/>
                    <w:tr2bl w:val="nil"/>
                  </w:tcBorders>
                  <w:noWrap w:val="0"/>
                  <w:vAlign w:val="center"/>
                </w:tcPr>
                <w:p w14:paraId="23500A7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本项目符合“三线一单”管控要求，本项目属于</w:t>
                  </w:r>
                  <w:r>
                    <w:rPr>
                      <w:rFonts w:hint="default" w:ascii="Times New Roman" w:hAnsi="Times New Roman" w:eastAsia="宋体" w:cs="Times New Roman"/>
                      <w:color w:val="000000" w:themeColor="text1"/>
                      <w:sz w:val="21"/>
                      <w:szCs w:val="21"/>
                      <w:highlight w:val="none"/>
                      <w:lang w:val="en-US" w:eastAsia="zh-CN"/>
                    </w:rPr>
                    <w:t>塑料零件及其他塑料制品制造</w:t>
                  </w:r>
                  <w:r>
                    <w:rPr>
                      <w:rFonts w:hint="eastAsia" w:ascii="Times New Roman" w:hAnsi="Times New Roman" w:eastAsia="宋体" w:cs="Times New Roman"/>
                      <w:color w:val="000000" w:themeColor="text1"/>
                      <w:sz w:val="21"/>
                      <w:szCs w:val="21"/>
                      <w:highlight w:val="none"/>
                      <w:lang w:val="en-US" w:eastAsia="zh-CN"/>
                    </w:rPr>
                    <w:t>、非金属废料和碎屑加工处理项目</w:t>
                  </w:r>
                  <w:r>
                    <w:rPr>
                      <w:rFonts w:hint="default" w:ascii="Times New Roman" w:hAnsi="Times New Roman" w:cs="Times New Roman"/>
                      <w:color w:val="000000" w:themeColor="text1"/>
                      <w:sz w:val="21"/>
                      <w:szCs w:val="21"/>
                      <w:highlight w:val="none"/>
                    </w:rPr>
                    <w:t>，符合产业定位，项目不属于高能耗、高排放、高环境风险企业，</w:t>
                  </w:r>
                  <w:r>
                    <w:rPr>
                      <w:rFonts w:hint="eastAsia" w:cs="Times New Roman"/>
                      <w:color w:val="000000" w:themeColor="text1"/>
                      <w:sz w:val="21"/>
                      <w:szCs w:val="21"/>
                      <w:highlight w:val="none"/>
                      <w:lang w:val="en-US" w:eastAsia="zh-CN"/>
                    </w:rPr>
                    <w:t>且不属于</w:t>
                  </w:r>
                  <w:r>
                    <w:rPr>
                      <w:rFonts w:hint="default" w:ascii="Times New Roman" w:hAnsi="Times New Roman" w:cs="Times New Roman"/>
                      <w:color w:val="000000" w:themeColor="text1"/>
                      <w:sz w:val="21"/>
                      <w:szCs w:val="21"/>
                      <w:highlight w:val="none"/>
                    </w:rPr>
                    <w:t>石化、化工、冶炼、印染项目</w:t>
                  </w:r>
                </w:p>
              </w:tc>
              <w:tc>
                <w:tcPr>
                  <w:tcW w:w="704" w:type="dxa"/>
                  <w:tcBorders>
                    <w:tl2br w:val="nil"/>
                    <w:tr2bl w:val="nil"/>
                  </w:tcBorders>
                  <w:noWrap w:val="0"/>
                  <w:vAlign w:val="center"/>
                </w:tcPr>
                <w:p w14:paraId="0A6036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符合</w:t>
                  </w:r>
                </w:p>
              </w:tc>
            </w:tr>
            <w:tr w14:paraId="427D85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14:paraId="07C779D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2</w:t>
                  </w:r>
                </w:p>
              </w:tc>
              <w:tc>
                <w:tcPr>
                  <w:tcW w:w="4591" w:type="dxa"/>
                  <w:tcBorders>
                    <w:tl2br w:val="nil"/>
                    <w:tr2bl w:val="nil"/>
                  </w:tcBorders>
                  <w:noWrap w:val="0"/>
                  <w:vAlign w:val="center"/>
                </w:tcPr>
                <w:p w14:paraId="2318EE13">
                  <w:pPr>
                    <w:pStyle w:val="42"/>
                    <w:keepNext w:val="0"/>
                    <w:keepLines w:val="0"/>
                    <w:pageBreakBefore w:val="0"/>
                    <w:widowControl w:val="0"/>
                    <w:kinsoku/>
                    <w:wordWrap/>
                    <w:overflowPunct/>
                    <w:topLinePunct w:val="0"/>
                    <w:bidi w:val="0"/>
                    <w:adjustRightIn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rPr>
                  </w:pPr>
                  <w:r>
                    <w:rPr>
                      <w:rFonts w:hint="default" w:ascii="Times New Roman" w:hAnsi="Times New Roman" w:eastAsia="宋体" w:cs="Times New Roman"/>
                      <w:color w:val="000000" w:themeColor="text1"/>
                      <w:sz w:val="21"/>
                      <w:szCs w:val="21"/>
                      <w:highlight w:val="none"/>
                    </w:rPr>
                    <w:t>规划区应不断优化产业定位和布局，结合相关制约性因素及产业发展要求，优化功能布局，形成优势产业集群，避免交叉污染。落实审查小组意见，加快产业转型、升级改造等相关工作。加强现状及拟入驻产业提升的相关要求，加强对现有污染源监管，提高处理效率。</w:t>
                  </w:r>
                </w:p>
              </w:tc>
              <w:tc>
                <w:tcPr>
                  <w:tcW w:w="2060" w:type="dxa"/>
                  <w:tcBorders>
                    <w:tl2br w:val="nil"/>
                    <w:tr2bl w:val="nil"/>
                  </w:tcBorders>
                  <w:noWrap w:val="0"/>
                  <w:vAlign w:val="center"/>
                </w:tcPr>
                <w:p w14:paraId="704AC20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Ansi="宋体"/>
                      <w:color w:val="000000" w:themeColor="text1"/>
                      <w:sz w:val="21"/>
                      <w:szCs w:val="21"/>
                      <w:highlight w:val="none"/>
                    </w:rPr>
                    <w:t>本</w:t>
                  </w:r>
                  <w:r>
                    <w:rPr>
                      <w:rFonts w:hint="default" w:ascii="Times New Roman" w:hAnsi="Times New Roman" w:cs="Times New Roman"/>
                      <w:color w:val="000000" w:themeColor="text1"/>
                      <w:sz w:val="21"/>
                      <w:szCs w:val="21"/>
                      <w:highlight w:val="none"/>
                    </w:rPr>
                    <w:t>项目为</w:t>
                  </w:r>
                  <w:r>
                    <w:rPr>
                      <w:rFonts w:hint="default" w:ascii="Times New Roman" w:hAnsi="Times New Roman" w:eastAsia="宋体" w:cs="Times New Roman"/>
                      <w:color w:val="000000" w:themeColor="text1"/>
                      <w:sz w:val="21"/>
                      <w:szCs w:val="21"/>
                      <w:highlight w:val="none"/>
                      <w:lang w:val="en-US" w:eastAsia="zh-CN"/>
                    </w:rPr>
                    <w:t>塑料零件及其他塑料制品制造</w:t>
                  </w:r>
                  <w:r>
                    <w:rPr>
                      <w:rFonts w:hint="eastAsia" w:ascii="Times New Roman" w:hAnsi="Times New Roman" w:eastAsia="宋体" w:cs="Times New Roman"/>
                      <w:color w:val="000000" w:themeColor="text1"/>
                      <w:sz w:val="21"/>
                      <w:szCs w:val="21"/>
                      <w:highlight w:val="none"/>
                      <w:lang w:val="en-US" w:eastAsia="zh-CN"/>
                    </w:rPr>
                    <w:t>、非金属废料和碎屑加工处理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ascii="Times New Roman" w:hAnsi="Times New Roman" w:cs="Times New Roman"/>
                      <w:color w:val="000000" w:themeColor="text1"/>
                      <w:sz w:val="21"/>
                      <w:szCs w:val="21"/>
                      <w:highlight w:val="none"/>
                      <w:lang w:eastAsia="zh-CN"/>
                    </w:rPr>
                    <w:t>项目</w:t>
                  </w:r>
                  <w:r>
                    <w:rPr>
                      <w:rFonts w:hint="default" w:ascii="Times New Roman" w:hAnsi="Times New Roman" w:cs="Times New Roman"/>
                      <w:color w:val="000000" w:themeColor="text1"/>
                      <w:sz w:val="21"/>
                      <w:szCs w:val="21"/>
                      <w:highlight w:val="none"/>
                    </w:rPr>
                    <w:t>。该项目符合园区发展定位。</w:t>
                  </w:r>
                </w:p>
              </w:tc>
              <w:tc>
                <w:tcPr>
                  <w:tcW w:w="704" w:type="dxa"/>
                  <w:tcBorders>
                    <w:tl2br w:val="nil"/>
                    <w:tr2bl w:val="nil"/>
                  </w:tcBorders>
                  <w:noWrap w:val="0"/>
                  <w:vAlign w:val="center"/>
                </w:tcPr>
                <w:p w14:paraId="16F5350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符合</w:t>
                  </w:r>
                </w:p>
              </w:tc>
            </w:tr>
            <w:tr w14:paraId="6C01F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14:paraId="7B2AF07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3</w:t>
                  </w:r>
                </w:p>
              </w:tc>
              <w:tc>
                <w:tcPr>
                  <w:tcW w:w="4591" w:type="dxa"/>
                  <w:tcBorders>
                    <w:tl2br w:val="nil"/>
                    <w:tr2bl w:val="nil"/>
                  </w:tcBorders>
                  <w:noWrap w:val="0"/>
                  <w:vAlign w:val="center"/>
                </w:tcPr>
                <w:p w14:paraId="7C2FD04D">
                  <w:pPr>
                    <w:pStyle w:val="42"/>
                    <w:keepNext w:val="0"/>
                    <w:keepLines w:val="0"/>
                    <w:pageBreakBefore w:val="0"/>
                    <w:widowControl w:val="0"/>
                    <w:kinsoku/>
                    <w:wordWrap/>
                    <w:overflowPunct/>
                    <w:topLinePunct w:val="0"/>
                    <w:bidi w:val="0"/>
                    <w:adjustRightIn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rPr>
                  </w:pPr>
                  <w:r>
                    <w:rPr>
                      <w:rFonts w:hint="default" w:ascii="Times New Roman" w:hAnsi="Times New Roman" w:eastAsia="宋体" w:cs="Times New Roman"/>
                      <w:color w:val="000000" w:themeColor="text1"/>
                      <w:sz w:val="21"/>
                      <w:szCs w:val="21"/>
                      <w:highlight w:val="none"/>
                    </w:rPr>
                    <w:t>实施园区污染物排放总量控制，排放的氮氧化物、化学需氧量、氨氮、挥发性有机物等主要污染物不得超过核定的总量管控限值，必要时采取区域削减、限制生产等措施，确保实现区域及周边环境质量改善目标。排放废气污染物的企业工艺废气应采取相应治理措施，深化工业源挥发性有机物污染防治，推广环保溶剂的使用，严格按照《重点行业挥发性有机物综合治理方案》对挥发性有机物进行治理。</w:t>
                  </w:r>
                </w:p>
              </w:tc>
              <w:tc>
                <w:tcPr>
                  <w:tcW w:w="2060" w:type="dxa"/>
                  <w:tcBorders>
                    <w:tl2br w:val="nil"/>
                    <w:tr2bl w:val="nil"/>
                  </w:tcBorders>
                  <w:noWrap w:val="0"/>
                  <w:vAlign w:val="center"/>
                </w:tcPr>
                <w:p w14:paraId="4D8ADA6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Ansi="宋体"/>
                      <w:color w:val="000000" w:themeColor="text1"/>
                      <w:sz w:val="21"/>
                      <w:szCs w:val="21"/>
                      <w:highlight w:val="none"/>
                    </w:rPr>
                    <w:t>本</w:t>
                  </w:r>
                  <w:r>
                    <w:rPr>
                      <w:rFonts w:hint="default" w:ascii="Times New Roman" w:hAnsi="Times New Roman" w:cs="Times New Roman"/>
                      <w:color w:val="000000" w:themeColor="text1"/>
                      <w:sz w:val="21"/>
                      <w:szCs w:val="21"/>
                      <w:highlight w:val="none"/>
                    </w:rPr>
                    <w:t>项目废气采取治理措施，可实现达标排放。</w:t>
                  </w:r>
                  <w:r>
                    <w:rPr>
                      <w:rFonts w:hint="default" w:ascii="Times New Roman" w:hAnsi="Times New Roman" w:eastAsia="宋体" w:cs="Times New Roman"/>
                      <w:color w:val="000000" w:themeColor="text1"/>
                      <w:sz w:val="21"/>
                      <w:szCs w:val="21"/>
                      <w:highlight w:val="none"/>
                    </w:rPr>
                    <w:t>化学需氧量、氨氮、挥发性有机物</w:t>
                  </w:r>
                  <w:r>
                    <w:rPr>
                      <w:rFonts w:hint="eastAsia" w:ascii="Times New Roman" w:hAnsi="Times New Roman" w:eastAsia="宋体" w:cs="Times New Roman"/>
                      <w:color w:val="000000" w:themeColor="text1"/>
                      <w:sz w:val="21"/>
                      <w:szCs w:val="21"/>
                      <w:highlight w:val="none"/>
                      <w:lang w:val="en-US" w:eastAsia="zh-CN"/>
                    </w:rPr>
                    <w:t>均按要求申请总量。</w:t>
                  </w:r>
                </w:p>
              </w:tc>
              <w:tc>
                <w:tcPr>
                  <w:tcW w:w="704" w:type="dxa"/>
                  <w:tcBorders>
                    <w:tl2br w:val="nil"/>
                    <w:tr2bl w:val="nil"/>
                  </w:tcBorders>
                  <w:noWrap w:val="0"/>
                  <w:vAlign w:val="center"/>
                </w:tcPr>
                <w:p w14:paraId="7BF241D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符合</w:t>
                  </w:r>
                </w:p>
              </w:tc>
            </w:tr>
            <w:tr w14:paraId="010E7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tcBorders>
                    <w:tl2br w:val="nil"/>
                    <w:tr2bl w:val="nil"/>
                  </w:tcBorders>
                  <w:noWrap w:val="0"/>
                  <w:vAlign w:val="center"/>
                </w:tcPr>
                <w:p w14:paraId="602858D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eastAsia" w:ascii="Times New Roman" w:hAnsi="Times New Roman" w:eastAsia="宋体" w:cs="Times New Roman"/>
                      <w:color w:val="000000" w:themeColor="text1"/>
                      <w:sz w:val="21"/>
                      <w:szCs w:val="21"/>
                      <w:highlight w:val="none"/>
                      <w:lang w:val="en-US" w:eastAsia="zh-CN"/>
                    </w:rPr>
                    <w:t>4</w:t>
                  </w:r>
                </w:p>
              </w:tc>
              <w:tc>
                <w:tcPr>
                  <w:tcW w:w="4591" w:type="dxa"/>
                  <w:tcBorders>
                    <w:tl2br w:val="nil"/>
                    <w:tr2bl w:val="nil"/>
                  </w:tcBorders>
                  <w:noWrap w:val="0"/>
                  <w:vAlign w:val="center"/>
                </w:tcPr>
                <w:p w14:paraId="1754810F">
                  <w:pPr>
                    <w:pStyle w:val="42"/>
                    <w:keepNext w:val="0"/>
                    <w:keepLines w:val="0"/>
                    <w:pageBreakBefore w:val="0"/>
                    <w:widowControl w:val="0"/>
                    <w:kinsoku/>
                    <w:wordWrap/>
                    <w:overflowPunct/>
                    <w:topLinePunct w:val="0"/>
                    <w:bidi w:val="0"/>
                    <w:adjustRightIn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rPr>
                  </w:pPr>
                  <w:r>
                    <w:rPr>
                      <w:rFonts w:hint="default" w:ascii="Times New Roman" w:hAnsi="Times New Roman" w:eastAsia="宋体" w:cs="Times New Roman"/>
                      <w:color w:val="000000" w:themeColor="text1"/>
                      <w:sz w:val="21"/>
                      <w:szCs w:val="21"/>
                      <w:highlight w:val="none"/>
                    </w:rPr>
                    <w:t>加强环境风险应急预案日常演练，构建完整的环境风险应急响应体系，完善园区突发环境事件下的环境风险防范设施建设。</w:t>
                  </w:r>
                </w:p>
              </w:tc>
              <w:tc>
                <w:tcPr>
                  <w:tcW w:w="2060" w:type="dxa"/>
                  <w:tcBorders>
                    <w:tl2br w:val="nil"/>
                    <w:tr2bl w:val="nil"/>
                  </w:tcBorders>
                  <w:noWrap w:val="0"/>
                  <w:vAlign w:val="center"/>
                </w:tcPr>
                <w:p w14:paraId="53A598C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rPr>
                  </w:pPr>
                  <w:r>
                    <w:rPr>
                      <w:rFonts w:hint="eastAsia" w:ascii="Times New Roman" w:hAnsi="Times New Roman" w:eastAsia="宋体" w:cs="Times New Roman"/>
                      <w:color w:val="000000" w:themeColor="text1"/>
                      <w:sz w:val="21"/>
                      <w:szCs w:val="21"/>
                      <w:highlight w:val="none"/>
                      <w:lang w:val="en-US" w:eastAsia="zh-CN"/>
                    </w:rPr>
                    <w:t>项目制定</w:t>
                  </w:r>
                  <w:r>
                    <w:rPr>
                      <w:rFonts w:hint="default" w:ascii="Times New Roman" w:hAnsi="Times New Roman" w:eastAsia="宋体" w:cs="Times New Roman"/>
                      <w:color w:val="000000" w:themeColor="text1"/>
                      <w:sz w:val="21"/>
                      <w:szCs w:val="21"/>
                      <w:highlight w:val="none"/>
                    </w:rPr>
                    <w:t>环境风险应急预案</w:t>
                  </w:r>
                </w:p>
              </w:tc>
              <w:tc>
                <w:tcPr>
                  <w:tcW w:w="704" w:type="dxa"/>
                  <w:tcBorders>
                    <w:tl2br w:val="nil"/>
                    <w:tr2bl w:val="nil"/>
                  </w:tcBorders>
                  <w:noWrap w:val="0"/>
                  <w:vAlign w:val="center"/>
                </w:tcPr>
                <w:p w14:paraId="45281F3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符合</w:t>
                  </w:r>
                </w:p>
              </w:tc>
            </w:tr>
            <w:tr w14:paraId="0B0B9E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tcBorders>
                    <w:tl2br w:val="nil"/>
                    <w:tr2bl w:val="nil"/>
                  </w:tcBorders>
                  <w:noWrap w:val="0"/>
                  <w:vAlign w:val="center"/>
                </w:tcPr>
                <w:p w14:paraId="1B49DD7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5</w:t>
                  </w:r>
                </w:p>
              </w:tc>
              <w:tc>
                <w:tcPr>
                  <w:tcW w:w="4591" w:type="dxa"/>
                  <w:tcBorders>
                    <w:tl2br w:val="nil"/>
                    <w:tr2bl w:val="nil"/>
                  </w:tcBorders>
                  <w:noWrap w:val="0"/>
                  <w:vAlign w:val="center"/>
                </w:tcPr>
                <w:p w14:paraId="744E5304">
                  <w:pPr>
                    <w:pStyle w:val="42"/>
                    <w:keepNext w:val="0"/>
                    <w:keepLines w:val="0"/>
                    <w:pageBreakBefore w:val="0"/>
                    <w:widowControl w:val="0"/>
                    <w:kinsoku/>
                    <w:wordWrap/>
                    <w:overflowPunct/>
                    <w:topLinePunct w:val="0"/>
                    <w:bidi w:val="0"/>
                    <w:adjustRightIn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zh-CN"/>
                    </w:rPr>
                  </w:pPr>
                  <w:r>
                    <w:rPr>
                      <w:rFonts w:hint="default" w:ascii="Times New Roman" w:hAnsi="Times New Roman" w:eastAsia="宋体" w:cs="Times New Roman"/>
                      <w:color w:val="000000" w:themeColor="text1"/>
                      <w:sz w:val="21"/>
                      <w:szCs w:val="21"/>
                      <w:highlight w:val="none"/>
                    </w:rPr>
                    <w:t>对拟建项目，在开展建设项目环境影响评价时，应遵循规划环境影响报告书提出的主要结论和环境保护的对策措施。对于符合主导产业的项目可简化环境质量现状监测；能够进入园区污水处理厂处理，且其污染因子在污水处理厂的处理范围内，在不突破污水处理厂总量的情</w:t>
                  </w:r>
                  <w:r>
                    <w:rPr>
                      <w:rFonts w:hint="eastAsia" w:ascii="Times New Roman" w:eastAsia="宋体" w:cs="Times New Roman"/>
                      <w:color w:val="000000" w:themeColor="text1"/>
                      <w:sz w:val="21"/>
                      <w:szCs w:val="21"/>
                      <w:highlight w:val="none"/>
                      <w:lang w:eastAsia="zh-CN"/>
                    </w:rPr>
                    <w:t>况下</w:t>
                  </w:r>
                  <w:r>
                    <w:rPr>
                      <w:rFonts w:hint="default" w:ascii="Times New Roman" w:hAnsi="Times New Roman" w:eastAsia="宋体" w:cs="Times New Roman"/>
                      <w:color w:val="000000" w:themeColor="text1"/>
                      <w:sz w:val="21"/>
                      <w:szCs w:val="21"/>
                      <w:highlight w:val="none"/>
                    </w:rPr>
                    <w:t>，可简化地表水分析；充分利用园区已有的环境监测数据，在满足可引用的前提下，简化项目常规监测及例行监测。涉及对环境敏感对象，尤其是生态环境敏感目标造成直接影响的，应对其影响的性质、范围和程度进行深入评价，明确可行性结论，强化污染防治对策和生态保护措施。项目环评重点应放在地表水、地下水、土壤环境影响分析，防护距离设置及选址合理性分析，废水排放对长江水环境、取水口、湿地公园、自然保护区等风险防范措施以及环境保护措施和治理计划等方面</w:t>
                  </w:r>
                </w:p>
              </w:tc>
              <w:tc>
                <w:tcPr>
                  <w:tcW w:w="2060" w:type="dxa"/>
                  <w:tcBorders>
                    <w:tl2br w:val="nil"/>
                    <w:tr2bl w:val="nil"/>
                  </w:tcBorders>
                  <w:noWrap w:val="0"/>
                  <w:vAlign w:val="center"/>
                </w:tcPr>
                <w:p w14:paraId="7673EA5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eastAsia" w:ascii="Times New Roman" w:hAnsi="Times New Roman" w:eastAsia="宋体" w:cs="Times New Roman"/>
                      <w:color w:val="000000" w:themeColor="text1"/>
                      <w:sz w:val="21"/>
                      <w:szCs w:val="21"/>
                      <w:highlight w:val="none"/>
                      <w:lang w:val="en-US" w:eastAsia="zh-CN"/>
                    </w:rPr>
                    <w:t>本项目废水为地面清洗水，经厂内化粪池处理后通过园区管网汇入赤湖工业园污水处理厂深度处理，经赤湖工业园污水处理厂</w:t>
                  </w:r>
                  <w:r>
                    <w:rPr>
                      <w:rFonts w:hint="default" w:ascii="Times New Roman" w:hAnsi="Times New Roman" w:eastAsia="宋体" w:cs="Times New Roman"/>
                      <w:color w:val="000000" w:themeColor="text1"/>
                      <w:sz w:val="21"/>
                      <w:szCs w:val="21"/>
                      <w:highlight w:val="none"/>
                      <w:lang w:val="en-US" w:eastAsia="zh-CN"/>
                    </w:rPr>
                    <w:t>处理</w:t>
                  </w:r>
                  <w:r>
                    <w:rPr>
                      <w:rFonts w:hint="eastAsia" w:cs="Times New Roman"/>
                      <w:color w:val="000000" w:themeColor="text1"/>
                      <w:sz w:val="21"/>
                      <w:szCs w:val="21"/>
                      <w:highlight w:val="none"/>
                      <w:lang w:val="en-US" w:eastAsia="zh-CN"/>
                    </w:rPr>
                    <w:t>达到</w:t>
                  </w:r>
                  <w:r>
                    <w:rPr>
                      <w:rFonts w:hint="default" w:ascii="Times New Roman" w:hAnsi="Times New Roman" w:eastAsia="宋体" w:cs="Times New Roman"/>
                      <w:color w:val="000000" w:themeColor="text1"/>
                      <w:sz w:val="21"/>
                      <w:szCs w:val="21"/>
                      <w:highlight w:val="none"/>
                      <w:lang w:val="en-US" w:eastAsia="zh-CN"/>
                    </w:rPr>
                    <w:t>《城镇污水处理厂污染物排放标准》（GB18918-2002）中的</w:t>
                  </w:r>
                  <w:r>
                    <w:rPr>
                      <w:rFonts w:hint="eastAsia" w:cs="Times New Roman"/>
                      <w:color w:val="000000" w:themeColor="text1"/>
                      <w:sz w:val="21"/>
                      <w:szCs w:val="21"/>
                      <w:highlight w:val="none"/>
                      <w:lang w:val="en-US" w:eastAsia="zh-CN"/>
                    </w:rPr>
                    <w:t>一级A</w:t>
                  </w:r>
                  <w:r>
                    <w:rPr>
                      <w:rFonts w:hint="default" w:ascii="Times New Roman" w:hAnsi="Times New Roman" w:eastAsia="宋体" w:cs="Times New Roman"/>
                      <w:color w:val="000000" w:themeColor="text1"/>
                      <w:sz w:val="21"/>
                      <w:szCs w:val="21"/>
                      <w:highlight w:val="none"/>
                      <w:lang w:val="en-US" w:eastAsia="zh-CN"/>
                    </w:rPr>
                    <w:t>标准后，最终排入长江</w:t>
                  </w:r>
                  <w:r>
                    <w:rPr>
                      <w:rFonts w:hint="eastAsia" w:ascii="Times New Roman" w:hAnsi="Times New Roman" w:eastAsia="宋体" w:cs="Times New Roman"/>
                      <w:color w:val="000000" w:themeColor="text1"/>
                      <w:sz w:val="21"/>
                      <w:szCs w:val="21"/>
                      <w:highlight w:val="none"/>
                      <w:lang w:val="en-US" w:eastAsia="zh-CN"/>
                    </w:rPr>
                    <w:t>。</w:t>
                  </w:r>
                  <w:r>
                    <w:rPr>
                      <w:rFonts w:hint="default" w:ascii="Times New Roman" w:hAnsi="Times New Roman" w:eastAsia="宋体" w:cs="Times New Roman"/>
                      <w:color w:val="000000" w:themeColor="text1"/>
                      <w:sz w:val="21"/>
                      <w:szCs w:val="21"/>
                      <w:highlight w:val="none"/>
                      <w:lang w:val="en-US" w:eastAsia="zh-CN"/>
                    </w:rPr>
                    <w:t>本项目不涉及生</w:t>
                  </w:r>
                  <w:r>
                    <w:rPr>
                      <w:rFonts w:hint="default" w:ascii="Times New Roman" w:hAnsi="Times New Roman" w:cs="Times New Roman"/>
                      <w:color w:val="000000" w:themeColor="text1"/>
                      <w:sz w:val="21"/>
                      <w:szCs w:val="21"/>
                      <w:highlight w:val="none"/>
                    </w:rPr>
                    <w:t>态环境敏感目标，项目不涉及地表水、地下水及土壤环境影响</w:t>
                  </w:r>
                </w:p>
              </w:tc>
              <w:tc>
                <w:tcPr>
                  <w:tcW w:w="704" w:type="dxa"/>
                  <w:tcBorders>
                    <w:tl2br w:val="nil"/>
                    <w:tr2bl w:val="nil"/>
                  </w:tcBorders>
                  <w:noWrap w:val="0"/>
                  <w:vAlign w:val="center"/>
                </w:tcPr>
                <w:p w14:paraId="3785724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rPr>
                  </w:pPr>
                  <w:r>
                    <w:rPr>
                      <w:rFonts w:hint="default" w:ascii="Times New Roman" w:hAnsi="Times New Roman" w:cs="Times New Roman"/>
                      <w:color w:val="000000" w:themeColor="text1"/>
                      <w:sz w:val="21"/>
                      <w:szCs w:val="21"/>
                      <w:highlight w:val="none"/>
                    </w:rPr>
                    <w:t>符合</w:t>
                  </w:r>
                </w:p>
              </w:tc>
            </w:tr>
          </w:tbl>
          <w:p w14:paraId="1395706F">
            <w:pPr>
              <w:pStyle w:val="4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val="en-US" w:eastAsia="zh-CN"/>
              </w:rPr>
            </w:pPr>
            <w:r>
              <w:rPr>
                <w:rFonts w:hint="eastAsia" w:cs="Times New Roman"/>
                <w:b/>
                <w:bCs/>
                <w:color w:val="000000" w:themeColor="text1"/>
                <w:sz w:val="24"/>
                <w:szCs w:val="24"/>
                <w:highlight w:val="none"/>
                <w:lang w:val="en-US" w:eastAsia="zh-CN"/>
              </w:rPr>
              <w:t>3</w:t>
            </w:r>
            <w:r>
              <w:rPr>
                <w:rFonts w:hint="eastAsia" w:eastAsia="宋体" w:cs="Times New Roman"/>
                <w:b/>
                <w:bCs/>
                <w:color w:val="000000" w:themeColor="text1"/>
                <w:sz w:val="24"/>
                <w:szCs w:val="24"/>
                <w:highlight w:val="none"/>
                <w:lang w:val="en-US" w:eastAsia="zh-CN"/>
              </w:rPr>
              <w:t>、</w:t>
            </w:r>
            <w:r>
              <w:rPr>
                <w:rFonts w:hint="eastAsia" w:ascii="Times New Roman" w:hAnsi="Times New Roman" w:eastAsia="宋体" w:cs="Times New Roman"/>
                <w:b/>
                <w:bCs/>
                <w:color w:val="000000" w:themeColor="text1"/>
                <w:kern w:val="0"/>
                <w:sz w:val="24"/>
                <w:szCs w:val="24"/>
                <w:lang w:val="en-US" w:eastAsia="zh-CN"/>
              </w:rPr>
              <w:t>项目与《江西九江沙城工业园区扩区调区规划环境影响报告书》及其审查意见相符性分析</w:t>
            </w:r>
          </w:p>
          <w:p w14:paraId="32695D35">
            <w:pPr>
              <w:pStyle w:val="107"/>
              <w:keepNext w:val="0"/>
              <w:keepLines w:val="0"/>
              <w:pageBreakBefore w:val="0"/>
              <w:widowControl w:val="0"/>
              <w:kinsoku/>
              <w:wordWrap/>
              <w:overflowPunct/>
              <w:topLinePunct w:val="0"/>
              <w:autoSpaceDE/>
              <w:autoSpaceDN/>
              <w:bidi w:val="0"/>
              <w:adjustRightInd/>
              <w:snapToGrid/>
              <w:jc w:val="both"/>
              <w:textAlignment w:val="baseline"/>
              <w:rPr>
                <w:rFonts w:hint="default" w:ascii="Times New Roman" w:hAnsi="Times New Roman" w:eastAsia="宋体" w:cs="Times New Roman"/>
                <w:b w:val="0"/>
                <w:bCs w:val="0"/>
                <w:color w:val="000000" w:themeColor="text1"/>
                <w:sz w:val="24"/>
                <w:szCs w:val="24"/>
                <w:highlight w:val="none"/>
              </w:rPr>
            </w:pPr>
            <w:r>
              <w:rPr>
                <w:rFonts w:hint="default" w:ascii="Times New Roman" w:hAnsi="Times New Roman" w:eastAsia="宋体" w:cs="Times New Roman"/>
                <w:b w:val="0"/>
                <w:bCs w:val="0"/>
                <w:color w:val="000000" w:themeColor="text1"/>
                <w:sz w:val="24"/>
                <w:szCs w:val="24"/>
                <w:highlight w:val="none"/>
              </w:rPr>
              <w:t>赤湖工业园四至范围为</w:t>
            </w:r>
            <w:r>
              <w:rPr>
                <w:rFonts w:hint="eastAsia" w:eastAsia="宋体" w:cs="Times New Roman"/>
                <w:b w:val="0"/>
                <w:bCs w:val="0"/>
                <w:color w:val="000000" w:themeColor="text1"/>
                <w:sz w:val="24"/>
                <w:szCs w:val="24"/>
                <w:highlight w:val="none"/>
                <w:lang w:eastAsia="zh-CN"/>
              </w:rPr>
              <w:t>：</w:t>
            </w:r>
            <w:r>
              <w:rPr>
                <w:rFonts w:hint="default" w:ascii="Times New Roman" w:hAnsi="Times New Roman" w:eastAsia="宋体" w:cs="Times New Roman"/>
                <w:b w:val="0"/>
                <w:bCs w:val="0"/>
                <w:color w:val="000000" w:themeColor="text1"/>
                <w:sz w:val="24"/>
                <w:szCs w:val="24"/>
                <w:highlight w:val="none"/>
              </w:rPr>
              <w:t>东起永安乡白华寺村，南至港口街镇花园村，西至柴桑区赤湖，北至城子镇赤湖村，规划优先发展新材料、高新科技和装备制造及再生资源利用产业，转型升级轻化工业、轻工及钢加工制造产业，逐步建设成为绿色生态、交通便捷、产业集群、设施齐全的临港产业园区。</w:t>
            </w:r>
          </w:p>
          <w:p w14:paraId="6EC4ABB7">
            <w:pPr>
              <w:pStyle w:val="107"/>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val="en-US" w:eastAsia="zh-CN"/>
              </w:rPr>
              <w:t>产业定位：</w:t>
            </w:r>
            <w:r>
              <w:rPr>
                <w:rFonts w:hint="default" w:ascii="Times New Roman" w:hAnsi="Times New Roman" w:eastAsia="宋体" w:cs="Times New Roman"/>
                <w:b w:val="0"/>
                <w:bCs w:val="0"/>
                <w:color w:val="000000" w:themeColor="text1"/>
                <w:sz w:val="24"/>
                <w:szCs w:val="24"/>
                <w:highlight w:val="none"/>
              </w:rPr>
              <w:t>赤湖工业园优先发展新材料、高新科技和装备制造产业，转型升级轻化工业、轻工及钢加工制造产业</w:t>
            </w:r>
            <w:r>
              <w:rPr>
                <w:rFonts w:hint="default" w:ascii="Times New Roman" w:hAnsi="Times New Roman" w:eastAsia="宋体" w:cs="Times New Roman"/>
                <w:b w:val="0"/>
                <w:bCs w:val="0"/>
                <w:color w:val="000000" w:themeColor="text1"/>
                <w:sz w:val="24"/>
                <w:szCs w:val="24"/>
                <w:highlight w:val="none"/>
                <w:lang w:eastAsia="zh-CN"/>
              </w:rPr>
              <w:t>，</w:t>
            </w:r>
            <w:r>
              <w:rPr>
                <w:rFonts w:hint="default" w:ascii="Times New Roman" w:hAnsi="Times New Roman" w:eastAsia="宋体" w:cs="Times New Roman"/>
                <w:b w:val="0"/>
                <w:bCs w:val="0"/>
                <w:color w:val="000000" w:themeColor="text1"/>
                <w:sz w:val="24"/>
                <w:szCs w:val="24"/>
                <w:highlight w:val="none"/>
              </w:rPr>
              <w:t>逐步建设成为绿色生态、交通便捷、产业集群、设施齐全的临港产业园区</w:t>
            </w:r>
            <w:r>
              <w:rPr>
                <w:rFonts w:hint="default" w:ascii="Times New Roman" w:hAnsi="Times New Roman" w:eastAsia="宋体" w:cs="Times New Roman"/>
                <w:b w:val="0"/>
                <w:bCs w:val="0"/>
                <w:color w:val="000000" w:themeColor="text1"/>
                <w:sz w:val="24"/>
                <w:szCs w:val="24"/>
                <w:highlight w:val="none"/>
                <w:lang w:eastAsia="zh-CN"/>
              </w:rPr>
              <w:t>。</w:t>
            </w:r>
            <w:r>
              <w:rPr>
                <w:rFonts w:hint="default" w:ascii="Times New Roman" w:hAnsi="Times New Roman" w:eastAsia="宋体" w:cs="Times New Roman"/>
                <w:b w:val="0"/>
                <w:bCs w:val="0"/>
                <w:color w:val="000000" w:themeColor="text1"/>
                <w:sz w:val="24"/>
                <w:szCs w:val="24"/>
                <w:highlight w:val="none"/>
              </w:rPr>
              <w:t>赤湖产业园</w:t>
            </w:r>
            <w:r>
              <w:rPr>
                <w:rFonts w:hint="default" w:ascii="Times New Roman" w:hAnsi="Times New Roman" w:eastAsia="宋体" w:cs="Times New Roman"/>
                <w:b w:val="0"/>
                <w:bCs w:val="0"/>
                <w:color w:val="000000" w:themeColor="text1"/>
                <w:sz w:val="24"/>
                <w:szCs w:val="24"/>
                <w:highlight w:val="none"/>
                <w:lang w:eastAsia="zh-CN"/>
              </w:rPr>
              <w:t>结合已开发建设用地，规划形成“一心两轴四区”的功能结构。</w:t>
            </w:r>
          </w:p>
          <w:p w14:paraId="4FB0E902">
            <w:pPr>
              <w:pStyle w:val="107"/>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eastAsia="zh-CN"/>
              </w:rPr>
              <w:t>“一心”：指围绕赤湖企业服务中心、赤湖公园等形成的综合服务中心。</w:t>
            </w:r>
          </w:p>
          <w:p w14:paraId="3558EDB8">
            <w:pPr>
              <w:pStyle w:val="107"/>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eastAsia="zh-CN"/>
              </w:rPr>
              <w:t>“两轴”：指通江河、长坪大道两条产业发展轴。是规划区内产业发展的主要脉络和主要的对外交通干道。</w:t>
            </w:r>
          </w:p>
          <w:p w14:paraId="062DCA37">
            <w:pPr>
              <w:pStyle w:val="107"/>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eastAsia="zh-CN"/>
              </w:rPr>
              <w:t>“四区”：</w:t>
            </w:r>
            <w:r>
              <w:rPr>
                <w:rFonts w:hint="default" w:ascii="Times New Roman" w:hAnsi="Times New Roman" w:eastAsia="宋体" w:cs="Times New Roman"/>
                <w:b w:val="0"/>
                <w:bCs w:val="0"/>
                <w:color w:val="000000" w:themeColor="text1"/>
                <w:sz w:val="24"/>
                <w:szCs w:val="24"/>
                <w:highlight w:val="none"/>
                <w:lang w:val="en-US" w:eastAsia="zh-CN"/>
              </w:rPr>
              <w:t>指产业功能区的新材料产业发展区、高新技术发展区、装备制造及再生资源利用发展区和装备制造发展区。</w:t>
            </w:r>
          </w:p>
          <w:p w14:paraId="64575E90">
            <w:pPr>
              <w:pStyle w:val="107"/>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eastAsia="zh-CN"/>
              </w:rPr>
              <w:t>新材料产业发展区：</w:t>
            </w:r>
            <w:r>
              <w:rPr>
                <w:rFonts w:hint="default" w:ascii="Times New Roman" w:hAnsi="Times New Roman" w:eastAsia="宋体" w:cs="Times New Roman"/>
                <w:b w:val="0"/>
                <w:bCs w:val="0"/>
                <w:color w:val="000000" w:themeColor="text1"/>
                <w:sz w:val="24"/>
                <w:szCs w:val="24"/>
                <w:highlight w:val="none"/>
                <w:lang w:val="en-US" w:eastAsia="zh-CN"/>
              </w:rPr>
              <w:t>以金属新材料、建筑新材料为产业支柱</w:t>
            </w:r>
            <w:r>
              <w:rPr>
                <w:rFonts w:hint="eastAsia" w:ascii="Times New Roman" w:hAnsi="Times New Roman" w:cs="Times New Roman"/>
                <w:b w:val="0"/>
                <w:bCs w:val="0"/>
                <w:color w:val="000000" w:themeColor="text1"/>
                <w:sz w:val="24"/>
                <w:szCs w:val="24"/>
                <w:highlight w:val="none"/>
                <w:lang w:val="en-US" w:eastAsia="zh-CN"/>
              </w:rPr>
              <w:t>，以</w:t>
            </w:r>
            <w:r>
              <w:rPr>
                <w:rFonts w:hint="default" w:ascii="Times New Roman" w:hAnsi="Times New Roman" w:eastAsia="宋体" w:cs="Times New Roman"/>
                <w:b w:val="0"/>
                <w:bCs w:val="0"/>
                <w:color w:val="000000" w:themeColor="text1"/>
                <w:sz w:val="24"/>
                <w:szCs w:val="24"/>
                <w:highlight w:val="none"/>
                <w:lang w:val="en-US" w:eastAsia="zh-CN"/>
              </w:rPr>
              <w:t>化工新材料为支撑的产业发展片区。其中化工新材料按照</w:t>
            </w:r>
            <w:r>
              <w:rPr>
                <w:rFonts w:hint="eastAsia" w:ascii="Times New Roman" w:hAnsi="Times New Roman" w:cs="Times New Roman"/>
                <w:b w:val="0"/>
                <w:bCs w:val="0"/>
                <w:color w:val="000000" w:themeColor="text1"/>
                <w:sz w:val="24"/>
                <w:szCs w:val="24"/>
                <w:highlight w:val="none"/>
                <w:lang w:val="en-US" w:eastAsia="zh-CN"/>
              </w:rPr>
              <w:t>省委、省政府</w:t>
            </w:r>
            <w:r>
              <w:rPr>
                <w:rFonts w:hint="default" w:ascii="Times New Roman" w:hAnsi="Times New Roman" w:eastAsia="宋体" w:cs="Times New Roman"/>
                <w:b w:val="0"/>
                <w:bCs w:val="0"/>
                <w:color w:val="000000" w:themeColor="text1"/>
                <w:sz w:val="24"/>
                <w:szCs w:val="24"/>
                <w:highlight w:val="none"/>
                <w:lang w:val="en-US" w:eastAsia="zh-CN"/>
              </w:rPr>
              <w:t>化工项目准入政策，发展不涉及危险化学品生产项目，或与其他行业生产装置配套建设的化工项目，分布于园区北部。</w:t>
            </w:r>
          </w:p>
          <w:p w14:paraId="43DB6805">
            <w:pPr>
              <w:pStyle w:val="107"/>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eastAsia="zh-CN"/>
              </w:rPr>
              <w:t>高新</w:t>
            </w:r>
            <w:r>
              <w:rPr>
                <w:rFonts w:hint="default" w:ascii="Times New Roman" w:hAnsi="Times New Roman" w:eastAsia="宋体" w:cs="Times New Roman"/>
                <w:b w:val="0"/>
                <w:bCs w:val="0"/>
                <w:color w:val="000000" w:themeColor="text1"/>
                <w:sz w:val="24"/>
                <w:szCs w:val="24"/>
                <w:highlight w:val="none"/>
                <w:lang w:val="en-US" w:eastAsia="zh-CN"/>
              </w:rPr>
              <w:t>技术</w:t>
            </w:r>
            <w:r>
              <w:rPr>
                <w:rFonts w:hint="default" w:ascii="Times New Roman" w:hAnsi="Times New Roman" w:eastAsia="宋体" w:cs="Times New Roman"/>
                <w:b w:val="0"/>
                <w:bCs w:val="0"/>
                <w:color w:val="000000" w:themeColor="text1"/>
                <w:sz w:val="24"/>
                <w:szCs w:val="24"/>
                <w:highlight w:val="none"/>
                <w:lang w:eastAsia="zh-CN"/>
              </w:rPr>
              <w:t>展区：围绕信息技术、新材料技术等高新技术及其产品的研究、开发、生产和技术服务的发展片区，</w:t>
            </w:r>
            <w:r>
              <w:rPr>
                <w:rFonts w:hint="default" w:ascii="Times New Roman" w:hAnsi="Times New Roman" w:eastAsia="宋体" w:cs="Times New Roman"/>
                <w:b w:val="0"/>
                <w:bCs w:val="0"/>
                <w:color w:val="000000" w:themeColor="text1"/>
                <w:sz w:val="24"/>
                <w:szCs w:val="24"/>
                <w:highlight w:val="none"/>
                <w:lang w:val="en-US" w:eastAsia="zh-CN"/>
              </w:rPr>
              <w:t>分布于园区南部</w:t>
            </w:r>
            <w:r>
              <w:rPr>
                <w:rFonts w:hint="default" w:ascii="Times New Roman" w:hAnsi="Times New Roman" w:eastAsia="宋体" w:cs="Times New Roman"/>
                <w:b w:val="0"/>
                <w:bCs w:val="0"/>
                <w:color w:val="000000" w:themeColor="text1"/>
                <w:sz w:val="24"/>
                <w:szCs w:val="24"/>
                <w:highlight w:val="none"/>
                <w:lang w:eastAsia="zh-CN"/>
              </w:rPr>
              <w:t>。</w:t>
            </w:r>
          </w:p>
          <w:p w14:paraId="658688B3">
            <w:pPr>
              <w:pStyle w:val="107"/>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eastAsia="宋体" w:cs="Times New Roman"/>
                <w:b w:val="0"/>
                <w:bCs w:val="0"/>
                <w:color w:val="000000" w:themeColor="text1"/>
                <w:sz w:val="24"/>
                <w:szCs w:val="24"/>
                <w:highlight w:val="none"/>
                <w:lang w:eastAsia="zh-CN"/>
              </w:rPr>
            </w:pPr>
            <w:r>
              <w:rPr>
                <w:rFonts w:hint="default" w:ascii="Times New Roman" w:hAnsi="Times New Roman" w:eastAsia="宋体" w:cs="Times New Roman"/>
                <w:b w:val="0"/>
                <w:bCs w:val="0"/>
                <w:color w:val="000000" w:themeColor="text1"/>
                <w:sz w:val="24"/>
                <w:szCs w:val="24"/>
                <w:highlight w:val="none"/>
                <w:lang w:val="en-US" w:eastAsia="zh-CN"/>
              </w:rPr>
              <w:t>装备制造及再生资源利用发展区：以金属加工、智能、机械等设备制造和再生资源利用为主导的发展片区。其中再生资源利用主要发展黑色金属（钢等）、再生金属铝生产及加工等行业，分布于园区西部。</w:t>
            </w:r>
          </w:p>
          <w:p w14:paraId="2EEF2536">
            <w:pPr>
              <w:pStyle w:val="107"/>
              <w:pageBreakBefore w:val="0"/>
              <w:widowControl w:val="0"/>
              <w:kinsoku/>
              <w:wordWrap/>
              <w:overflowPunct/>
              <w:topLinePunct w:val="0"/>
              <w:autoSpaceDE/>
              <w:autoSpaceDN/>
              <w:bidi w:val="0"/>
              <w:adjustRightInd/>
              <w:snapToGrid/>
              <w:jc w:val="both"/>
              <w:rPr>
                <w:rFonts w:hint="default" w:ascii="Times New Roman" w:hAnsi="Times New Roman" w:eastAsia="宋体" w:cs="Times New Roman"/>
                <w:b w:val="0"/>
                <w:bCs w:val="0"/>
                <w:color w:val="000000" w:themeColor="text1"/>
                <w:sz w:val="24"/>
                <w:szCs w:val="24"/>
                <w:highlight w:val="none"/>
                <w:lang w:val="en-US" w:eastAsia="zh-CN"/>
              </w:rPr>
            </w:pPr>
            <w:r>
              <w:rPr>
                <w:rFonts w:hint="default" w:ascii="Times New Roman" w:hAnsi="Times New Roman" w:eastAsia="宋体" w:cs="Times New Roman"/>
                <w:b w:val="0"/>
                <w:bCs w:val="0"/>
                <w:color w:val="000000" w:themeColor="text1"/>
                <w:sz w:val="24"/>
                <w:szCs w:val="24"/>
                <w:highlight w:val="none"/>
                <w:lang w:eastAsia="zh-CN"/>
              </w:rPr>
              <w:t>装备制造：</w:t>
            </w:r>
            <w:r>
              <w:rPr>
                <w:rFonts w:hint="default" w:ascii="Times New Roman" w:hAnsi="Times New Roman" w:eastAsia="宋体" w:cs="Times New Roman"/>
                <w:b w:val="0"/>
                <w:bCs w:val="0"/>
                <w:color w:val="000000" w:themeColor="text1"/>
                <w:sz w:val="24"/>
                <w:szCs w:val="24"/>
                <w:highlight w:val="none"/>
                <w:lang w:val="en-US" w:eastAsia="zh-CN"/>
              </w:rPr>
              <w:t>以金属加工、智能、机械等设备制造为主导的发展片区，分布于园区西部。</w:t>
            </w:r>
          </w:p>
          <w:p w14:paraId="20A50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rPr>
            </w:pPr>
            <w:r>
              <w:rPr>
                <w:rFonts w:hint="default" w:ascii="Times New Roman" w:hAnsi="Times New Roman" w:eastAsia="宋体" w:cs="Times New Roman"/>
                <w:color w:val="000000" w:themeColor="text1"/>
                <w:sz w:val="24"/>
                <w:szCs w:val="24"/>
                <w:highlight w:val="none"/>
                <w:lang w:val="en-US" w:eastAsia="zh-CN"/>
              </w:rPr>
              <w:t>本项目位于</w:t>
            </w:r>
            <w:r>
              <w:rPr>
                <w:rFonts w:hint="default" w:ascii="Times New Roman" w:hAnsi="Times New Roman" w:eastAsia="宋体" w:cs="Times New Roman"/>
                <w:color w:val="000000" w:themeColor="text1"/>
                <w:sz w:val="24"/>
                <w:szCs w:val="24"/>
                <w:highlight w:val="none"/>
                <w:u w:val="none"/>
                <w:lang w:eastAsia="zh-CN"/>
              </w:rPr>
              <w:t>江西</w:t>
            </w:r>
            <w:r>
              <w:rPr>
                <w:rFonts w:hint="default" w:ascii="Times New Roman" w:hAnsi="Times New Roman" w:eastAsia="宋体" w:cs="Times New Roman"/>
                <w:color w:val="000000" w:themeColor="text1"/>
                <w:sz w:val="24"/>
                <w:szCs w:val="24"/>
                <w:highlight w:val="none"/>
                <w:u w:val="none"/>
              </w:rPr>
              <w:t>省</w:t>
            </w:r>
            <w:r>
              <w:rPr>
                <w:rFonts w:hint="default" w:ascii="Times New Roman" w:hAnsi="Times New Roman" w:eastAsia="宋体" w:cs="Times New Roman"/>
                <w:color w:val="000000" w:themeColor="text1"/>
                <w:sz w:val="24"/>
                <w:szCs w:val="24"/>
                <w:highlight w:val="none"/>
                <w:u w:val="none"/>
                <w:lang w:eastAsia="zh-CN"/>
              </w:rPr>
              <w:t>九江</w:t>
            </w:r>
            <w:r>
              <w:rPr>
                <w:rFonts w:hint="default" w:ascii="Times New Roman" w:hAnsi="Times New Roman" w:eastAsia="宋体" w:cs="Times New Roman"/>
                <w:color w:val="000000" w:themeColor="text1"/>
                <w:sz w:val="24"/>
                <w:szCs w:val="24"/>
                <w:highlight w:val="none"/>
                <w:u w:val="none"/>
              </w:rPr>
              <w:t>市</w:t>
            </w:r>
            <w:r>
              <w:rPr>
                <w:rFonts w:hint="default" w:ascii="Times New Roman" w:hAnsi="Times New Roman" w:eastAsia="宋体" w:cs="Times New Roman"/>
                <w:color w:val="000000" w:themeColor="text1"/>
                <w:sz w:val="24"/>
                <w:szCs w:val="24"/>
                <w:highlight w:val="none"/>
                <w:u w:val="none"/>
                <w:lang w:eastAsia="zh-CN"/>
              </w:rPr>
              <w:t>柴桑</w:t>
            </w:r>
            <w:r>
              <w:rPr>
                <w:rFonts w:hint="default" w:ascii="Times New Roman" w:hAnsi="Times New Roman" w:eastAsia="宋体" w:cs="Times New Roman"/>
                <w:color w:val="000000" w:themeColor="text1"/>
                <w:sz w:val="24"/>
                <w:szCs w:val="24"/>
                <w:highlight w:val="none"/>
              </w:rPr>
              <w:t>区</w:t>
            </w:r>
            <w:r>
              <w:rPr>
                <w:rFonts w:hint="default" w:ascii="Times New Roman" w:hAnsi="Times New Roman" w:eastAsia="宋体" w:cs="Times New Roman"/>
                <w:color w:val="000000" w:themeColor="text1"/>
                <w:sz w:val="24"/>
                <w:szCs w:val="24"/>
                <w:highlight w:val="none"/>
                <w:lang w:eastAsia="zh-CN"/>
              </w:rPr>
              <w:t>赤湖工业园</w:t>
            </w:r>
            <w:r>
              <w:rPr>
                <w:rFonts w:hint="default" w:ascii="Times New Roman" w:hAnsi="Times New Roman" w:eastAsia="宋体" w:cs="Times New Roman"/>
                <w:color w:val="000000" w:themeColor="text1"/>
                <w:sz w:val="24"/>
                <w:szCs w:val="24"/>
                <w:highlight w:val="none"/>
                <w:lang w:val="en-US" w:eastAsia="zh-CN"/>
              </w:rPr>
              <w:t>，根据赤湖工业园功能结构分布图，本项目位于装备制造及再生资源利用发展区，本项目为塑料零件及其他塑料制品制造</w:t>
            </w:r>
            <w:r>
              <w:rPr>
                <w:rFonts w:hint="eastAsia" w:ascii="Times New Roman" w:hAnsi="Times New Roman" w:eastAsia="宋体" w:cs="Times New Roman"/>
                <w:color w:val="000000" w:themeColor="text1"/>
                <w:sz w:val="24"/>
                <w:szCs w:val="24"/>
                <w:highlight w:val="none"/>
                <w:lang w:val="en-US" w:eastAsia="zh-CN"/>
              </w:rPr>
              <w:t>、非金属废料和碎屑加工处理项目</w:t>
            </w:r>
            <w:r>
              <w:rPr>
                <w:rFonts w:hint="default" w:ascii="Times New Roman" w:hAnsi="Times New Roman" w:eastAsia="宋体" w:cs="Times New Roman"/>
                <w:color w:val="000000" w:themeColor="text1"/>
                <w:sz w:val="24"/>
                <w:szCs w:val="24"/>
                <w:highlight w:val="none"/>
                <w:lang w:val="en-US" w:eastAsia="zh-CN"/>
              </w:rPr>
              <w:t>，</w:t>
            </w:r>
            <w:r>
              <w:rPr>
                <w:rFonts w:hint="eastAsia" w:ascii="Times New Roman" w:hAnsi="Times New Roman" w:eastAsia="宋体" w:cs="Times New Roman"/>
                <w:color w:val="000000" w:themeColor="text1"/>
                <w:sz w:val="24"/>
                <w:szCs w:val="24"/>
                <w:highlight w:val="none"/>
                <w:lang w:val="en-US" w:eastAsia="zh-CN"/>
              </w:rPr>
              <w:t>属于新型材料行业，与工业园规划相容</w:t>
            </w:r>
            <w:r>
              <w:rPr>
                <w:rFonts w:hint="default" w:ascii="Times New Roman" w:hAnsi="Times New Roman" w:eastAsia="宋体" w:cs="Times New Roman"/>
                <w:color w:val="000000" w:themeColor="text1"/>
                <w:sz w:val="24"/>
                <w:szCs w:val="24"/>
                <w:highlight w:val="none"/>
                <w:lang w:val="en-US" w:eastAsia="zh-CN"/>
              </w:rPr>
              <w:t>。根据赤湖工业园土地利用规划图，本项目位于二类工业用地，项目用地符合规划要求。</w:t>
            </w:r>
          </w:p>
          <w:p w14:paraId="6A8AB0B5">
            <w:pPr>
              <w:pStyle w:val="3"/>
              <w:pageBreakBefore w:val="0"/>
              <w:widowControl w:val="0"/>
              <w:kinsoku/>
              <w:wordWrap/>
              <w:overflowPunct/>
              <w:topLinePunct w:val="0"/>
              <w:autoSpaceDE/>
              <w:autoSpaceDN/>
              <w:bidi w:val="0"/>
              <w:adjustRightInd/>
              <w:snapToGrid/>
              <w:spacing w:before="0" w:after="0" w:line="360" w:lineRule="auto"/>
              <w:ind w:left="0" w:firstLine="480" w:firstLineChars="200"/>
              <w:jc w:val="both"/>
              <w:textAlignment w:val="auto"/>
              <w:rPr>
                <w:rFonts w:hint="default" w:ascii="Times New Roman" w:hAnsi="Times New Roman" w:eastAsia="宋体" w:cs="Times New Roman"/>
                <w:b w:val="0"/>
                <w:bCs w:val="0"/>
                <w:color w:val="000000" w:themeColor="text1"/>
                <w:sz w:val="24"/>
                <w:highlight w:val="none"/>
                <w:lang w:val="en-US" w:eastAsia="zh-CN"/>
              </w:rPr>
            </w:pPr>
            <w:r>
              <w:rPr>
                <w:rFonts w:hint="default" w:ascii="Times New Roman" w:hAnsi="Times New Roman" w:eastAsia="宋体" w:cs="Times New Roman"/>
                <w:b w:val="0"/>
                <w:bCs w:val="0"/>
                <w:color w:val="000000" w:themeColor="text1"/>
                <w:sz w:val="24"/>
                <w:highlight w:val="none"/>
                <w:lang w:val="en-US" w:eastAsia="zh-CN"/>
              </w:rPr>
              <w:t>项目与《九江市生态环境局关于江西九江沙城工业园区扩区调区规划环境影响报告书审查意见的函》（九环评字〔202</w:t>
            </w:r>
            <w:r>
              <w:rPr>
                <w:rFonts w:hint="eastAsia" w:ascii="Times New Roman" w:hAnsi="Times New Roman" w:eastAsia="宋体" w:cs="Times New Roman"/>
                <w:b w:val="0"/>
                <w:bCs w:val="0"/>
                <w:color w:val="000000" w:themeColor="text1"/>
                <w:sz w:val="24"/>
                <w:highlight w:val="none"/>
                <w:lang w:val="en-US" w:eastAsia="zh-CN"/>
              </w:rPr>
              <w:t>3</w:t>
            </w:r>
            <w:r>
              <w:rPr>
                <w:rFonts w:hint="default" w:ascii="Times New Roman" w:hAnsi="Times New Roman" w:eastAsia="宋体" w:cs="Times New Roman"/>
                <w:b w:val="0"/>
                <w:bCs w:val="0"/>
                <w:color w:val="000000" w:themeColor="text1"/>
                <w:sz w:val="24"/>
                <w:highlight w:val="none"/>
                <w:lang w:val="en-US" w:eastAsia="zh-CN"/>
              </w:rPr>
              <w:t>〕</w:t>
            </w:r>
            <w:r>
              <w:rPr>
                <w:rFonts w:hint="eastAsia" w:ascii="Times New Roman" w:hAnsi="Times New Roman" w:eastAsia="宋体" w:cs="Times New Roman"/>
                <w:b w:val="0"/>
                <w:bCs w:val="0"/>
                <w:color w:val="000000" w:themeColor="text1"/>
                <w:sz w:val="24"/>
                <w:highlight w:val="none"/>
                <w:lang w:val="en-US" w:eastAsia="zh-CN"/>
              </w:rPr>
              <w:t>36</w:t>
            </w:r>
            <w:r>
              <w:rPr>
                <w:rFonts w:hint="default" w:ascii="Times New Roman" w:hAnsi="Times New Roman" w:eastAsia="宋体" w:cs="Times New Roman"/>
                <w:b w:val="0"/>
                <w:bCs w:val="0"/>
                <w:color w:val="000000" w:themeColor="text1"/>
                <w:sz w:val="24"/>
                <w:highlight w:val="none"/>
                <w:lang w:val="en-US" w:eastAsia="zh-CN"/>
              </w:rPr>
              <w:t>号）相符性分析见下表：</w:t>
            </w:r>
          </w:p>
          <w:p w14:paraId="3B033ACC">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rPr>
            </w:pPr>
            <w:r>
              <w:rPr>
                <w:rFonts w:hint="default" w:ascii="Times New Roman" w:hAnsi="Times New Roman" w:eastAsia="宋体" w:cs="Times New Roman"/>
                <w:b/>
                <w:bCs/>
                <w:color w:val="000000" w:themeColor="text1"/>
                <w:sz w:val="21"/>
                <w:szCs w:val="21"/>
                <w:highlight w:val="none"/>
                <w:lang w:val="en-US" w:eastAsia="zh-CN"/>
              </w:rPr>
              <w:t>表1-</w:t>
            </w:r>
            <w:r>
              <w:rPr>
                <w:rFonts w:hint="eastAsia" w:ascii="Times New Roman" w:hAnsi="Times New Roman" w:eastAsia="宋体" w:cs="Times New Roman"/>
                <w:b/>
                <w:bCs/>
                <w:color w:val="000000" w:themeColor="text1"/>
                <w:sz w:val="21"/>
                <w:szCs w:val="21"/>
                <w:highlight w:val="none"/>
                <w:lang w:val="en-US" w:eastAsia="zh-CN"/>
              </w:rPr>
              <w:t>3</w:t>
            </w:r>
            <w:r>
              <w:rPr>
                <w:rFonts w:hint="default" w:ascii="Times New Roman" w:hAnsi="Times New Roman" w:eastAsia="宋体" w:cs="Times New Roman"/>
                <w:b/>
                <w:bCs/>
                <w:color w:val="000000" w:themeColor="text1"/>
                <w:sz w:val="21"/>
                <w:szCs w:val="21"/>
                <w:highlight w:val="none"/>
                <w:lang w:val="en-US" w:eastAsia="zh-CN"/>
              </w:rPr>
              <w:t xml:space="preserve">  本项目与园区扩区调区规划环评审查意见</w:t>
            </w:r>
            <w:r>
              <w:rPr>
                <w:rFonts w:hint="eastAsia" w:ascii="Times New Roman" w:hAnsi="Times New Roman" w:eastAsia="宋体" w:cs="Times New Roman"/>
                <w:b/>
                <w:bCs/>
                <w:color w:val="000000" w:themeColor="text1"/>
                <w:sz w:val="21"/>
                <w:szCs w:val="21"/>
                <w:highlight w:val="none"/>
                <w:lang w:val="en-US" w:eastAsia="zh-CN"/>
              </w:rPr>
              <w:t>（</w:t>
            </w:r>
            <w:r>
              <w:rPr>
                <w:rFonts w:hint="default" w:ascii="Times New Roman" w:hAnsi="Times New Roman" w:eastAsia="宋体" w:cs="Times New Roman"/>
                <w:b/>
                <w:bCs/>
                <w:color w:val="000000" w:themeColor="text1"/>
                <w:sz w:val="21"/>
                <w:szCs w:val="21"/>
                <w:highlight w:val="none"/>
                <w:lang w:val="en-US" w:eastAsia="zh-CN"/>
              </w:rPr>
              <w:t>九环评字〔202</w:t>
            </w:r>
            <w:r>
              <w:rPr>
                <w:rFonts w:hint="eastAsia" w:ascii="Times New Roman" w:hAnsi="Times New Roman" w:eastAsia="宋体" w:cs="Times New Roman"/>
                <w:b/>
                <w:bCs/>
                <w:color w:val="000000" w:themeColor="text1"/>
                <w:sz w:val="21"/>
                <w:szCs w:val="21"/>
                <w:highlight w:val="none"/>
                <w:lang w:val="en-US" w:eastAsia="zh-CN"/>
              </w:rPr>
              <w:t>3</w:t>
            </w:r>
            <w:r>
              <w:rPr>
                <w:rFonts w:hint="default" w:ascii="Times New Roman" w:hAnsi="Times New Roman" w:eastAsia="宋体" w:cs="Times New Roman"/>
                <w:b/>
                <w:bCs/>
                <w:color w:val="000000" w:themeColor="text1"/>
                <w:sz w:val="21"/>
                <w:szCs w:val="21"/>
                <w:highlight w:val="none"/>
                <w:lang w:val="en-US" w:eastAsia="zh-CN"/>
              </w:rPr>
              <w:t>〕</w:t>
            </w:r>
            <w:r>
              <w:rPr>
                <w:rFonts w:hint="eastAsia" w:ascii="Times New Roman" w:hAnsi="Times New Roman" w:eastAsia="宋体" w:cs="Times New Roman"/>
                <w:b/>
                <w:bCs/>
                <w:color w:val="000000" w:themeColor="text1"/>
                <w:sz w:val="21"/>
                <w:szCs w:val="21"/>
                <w:highlight w:val="none"/>
                <w:lang w:val="en-US" w:eastAsia="zh-CN"/>
              </w:rPr>
              <w:t>36</w:t>
            </w:r>
            <w:r>
              <w:rPr>
                <w:rFonts w:hint="default" w:ascii="Times New Roman" w:hAnsi="Times New Roman" w:eastAsia="宋体" w:cs="Times New Roman"/>
                <w:b/>
                <w:bCs/>
                <w:color w:val="000000" w:themeColor="text1"/>
                <w:sz w:val="21"/>
                <w:szCs w:val="21"/>
                <w:highlight w:val="none"/>
                <w:lang w:val="en-US" w:eastAsia="zh-CN"/>
              </w:rPr>
              <w:t>号</w:t>
            </w:r>
            <w:r>
              <w:rPr>
                <w:rFonts w:hint="eastAsia" w:ascii="Times New Roman" w:hAnsi="Times New Roman" w:eastAsia="宋体" w:cs="Times New Roman"/>
                <w:b/>
                <w:bCs/>
                <w:color w:val="000000" w:themeColor="text1"/>
                <w:sz w:val="21"/>
                <w:szCs w:val="21"/>
                <w:highlight w:val="none"/>
                <w:lang w:val="en-US" w:eastAsia="zh-CN"/>
              </w:rPr>
              <w:t>）</w:t>
            </w:r>
            <w:r>
              <w:rPr>
                <w:rFonts w:hint="default" w:ascii="Times New Roman" w:hAnsi="Times New Roman" w:eastAsia="宋体" w:cs="Times New Roman"/>
                <w:b/>
                <w:bCs/>
                <w:color w:val="000000" w:themeColor="text1"/>
                <w:sz w:val="21"/>
                <w:szCs w:val="21"/>
                <w:highlight w:val="none"/>
                <w:lang w:val="en-US" w:eastAsia="zh-CN"/>
              </w:rPr>
              <w:t>的相符性</w:t>
            </w:r>
          </w:p>
          <w:tbl>
            <w:tblPr>
              <w:tblStyle w:val="3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4264"/>
              <w:gridCol w:w="2301"/>
              <w:gridCol w:w="722"/>
            </w:tblGrid>
            <w:tr w14:paraId="7FC52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tcBorders>
                    <w:tl2br w:val="nil"/>
                    <w:tr2bl w:val="nil"/>
                  </w:tcBorders>
                  <w:noWrap w:val="0"/>
                  <w:vAlign w:val="center"/>
                </w:tcPr>
                <w:p w14:paraId="5DF06E1E">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eastAsia="zh-CN"/>
                    </w:rPr>
                  </w:pPr>
                  <w:r>
                    <w:rPr>
                      <w:rFonts w:hint="default" w:ascii="Times New Roman" w:hAnsi="Times New Roman" w:eastAsia="宋体" w:cs="Times New Roman"/>
                      <w:b/>
                      <w:bCs/>
                      <w:color w:val="000000" w:themeColor="text1"/>
                      <w:sz w:val="21"/>
                      <w:szCs w:val="21"/>
                      <w:highlight w:val="none"/>
                      <w:vertAlign w:val="baseline"/>
                      <w:lang w:eastAsia="zh-CN"/>
                    </w:rPr>
                    <w:t>序号</w:t>
                  </w:r>
                </w:p>
              </w:tc>
              <w:tc>
                <w:tcPr>
                  <w:tcW w:w="4125" w:type="dxa"/>
                  <w:tcBorders>
                    <w:tl2br w:val="nil"/>
                    <w:tr2bl w:val="nil"/>
                  </w:tcBorders>
                  <w:noWrap w:val="0"/>
                  <w:vAlign w:val="center"/>
                </w:tcPr>
                <w:p w14:paraId="21D58E6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eastAsia="zh-CN"/>
                    </w:rPr>
                  </w:pPr>
                  <w:r>
                    <w:rPr>
                      <w:rFonts w:hint="default" w:ascii="Times New Roman" w:hAnsi="Times New Roman" w:eastAsia="宋体" w:cs="Times New Roman"/>
                      <w:b/>
                      <w:bCs/>
                      <w:color w:val="000000" w:themeColor="text1"/>
                      <w:sz w:val="21"/>
                      <w:szCs w:val="21"/>
                      <w:highlight w:val="none"/>
                      <w:vertAlign w:val="baseline"/>
                      <w:lang w:eastAsia="zh-CN"/>
                    </w:rPr>
                    <w:t>园区</w:t>
                  </w:r>
                  <w:r>
                    <w:rPr>
                      <w:rFonts w:hint="default" w:ascii="Times New Roman" w:hAnsi="Times New Roman" w:eastAsia="宋体" w:cs="Times New Roman"/>
                      <w:b/>
                      <w:bCs/>
                      <w:color w:val="000000" w:themeColor="text1"/>
                      <w:sz w:val="21"/>
                      <w:szCs w:val="21"/>
                      <w:highlight w:val="none"/>
                      <w:vertAlign w:val="baseline"/>
                      <w:lang w:val="en-US" w:eastAsia="zh-CN"/>
                    </w:rPr>
                    <w:t>扩区调区</w:t>
                  </w:r>
                  <w:r>
                    <w:rPr>
                      <w:rFonts w:hint="default" w:ascii="Times New Roman" w:hAnsi="Times New Roman" w:eastAsia="宋体" w:cs="Times New Roman"/>
                      <w:b/>
                      <w:bCs/>
                      <w:color w:val="000000" w:themeColor="text1"/>
                      <w:sz w:val="21"/>
                      <w:szCs w:val="21"/>
                      <w:highlight w:val="none"/>
                      <w:vertAlign w:val="baseline"/>
                      <w:lang w:eastAsia="zh-CN"/>
                    </w:rPr>
                    <w:t>环评批复要求</w:t>
                  </w:r>
                </w:p>
              </w:tc>
              <w:tc>
                <w:tcPr>
                  <w:tcW w:w="2227" w:type="dxa"/>
                  <w:tcBorders>
                    <w:tl2br w:val="nil"/>
                    <w:tr2bl w:val="nil"/>
                  </w:tcBorders>
                  <w:noWrap w:val="0"/>
                  <w:vAlign w:val="center"/>
                </w:tcPr>
                <w:p w14:paraId="1F2BA64A">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eastAsia="zh-CN"/>
                    </w:rPr>
                  </w:pPr>
                  <w:r>
                    <w:rPr>
                      <w:rFonts w:hint="default" w:ascii="Times New Roman" w:hAnsi="Times New Roman" w:eastAsia="宋体" w:cs="Times New Roman"/>
                      <w:b/>
                      <w:bCs/>
                      <w:color w:val="000000" w:themeColor="text1"/>
                      <w:sz w:val="21"/>
                      <w:szCs w:val="21"/>
                      <w:highlight w:val="none"/>
                      <w:vertAlign w:val="baseline"/>
                      <w:lang w:eastAsia="zh-CN"/>
                    </w:rPr>
                    <w:t>本项目情况</w:t>
                  </w:r>
                </w:p>
              </w:tc>
              <w:tc>
                <w:tcPr>
                  <w:tcW w:w="699" w:type="dxa"/>
                  <w:tcBorders>
                    <w:tl2br w:val="nil"/>
                    <w:tr2bl w:val="nil"/>
                  </w:tcBorders>
                  <w:noWrap w:val="0"/>
                  <w:vAlign w:val="center"/>
                </w:tcPr>
                <w:p w14:paraId="57CB037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eastAsia="zh-CN"/>
                    </w:rPr>
                  </w:pPr>
                  <w:r>
                    <w:rPr>
                      <w:rFonts w:hint="default" w:ascii="Times New Roman" w:hAnsi="Times New Roman" w:eastAsia="宋体" w:cs="Times New Roman"/>
                      <w:b/>
                      <w:bCs/>
                      <w:color w:val="000000" w:themeColor="text1"/>
                      <w:sz w:val="21"/>
                      <w:szCs w:val="21"/>
                      <w:highlight w:val="none"/>
                      <w:vertAlign w:val="baseline"/>
                      <w:lang w:eastAsia="zh-CN"/>
                    </w:rPr>
                    <w:t>相符性</w:t>
                  </w:r>
                </w:p>
              </w:tc>
            </w:tr>
            <w:tr w14:paraId="11E85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tcBorders>
                    <w:tl2br w:val="nil"/>
                    <w:tr2bl w:val="nil"/>
                  </w:tcBorders>
                  <w:noWrap w:val="0"/>
                  <w:vAlign w:val="center"/>
                </w:tcPr>
                <w:p w14:paraId="051D1ABB">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1</w:t>
                  </w:r>
                </w:p>
              </w:tc>
              <w:tc>
                <w:tcPr>
                  <w:tcW w:w="4125" w:type="dxa"/>
                  <w:tcBorders>
                    <w:tl2br w:val="nil"/>
                    <w:tr2bl w:val="nil"/>
                  </w:tcBorders>
                  <w:noWrap w:val="0"/>
                  <w:vAlign w:val="center"/>
                </w:tcPr>
                <w:p w14:paraId="662F1098">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rPr>
                  </w:pPr>
                  <w:r>
                    <w:rPr>
                      <w:rFonts w:hint="default" w:ascii="Times New Roman" w:hAnsi="Times New Roman" w:eastAsia="宋体" w:cs="Times New Roman"/>
                      <w:color w:val="000000" w:themeColor="text1"/>
                      <w:sz w:val="21"/>
                      <w:szCs w:val="21"/>
                      <w:highlight w:val="none"/>
                      <w:vertAlign w:val="baseline"/>
                      <w:lang w:val="en-US" w:eastAsia="zh-CN"/>
                    </w:rPr>
                    <w:t>赤湖工业园西面紧邻赤湖用地应按照要求规划项目，优先安排生产废水产生量小、污染轻的符合规划企业，不宜设置涉及生产危险化学品等高风险企业</w:t>
                  </w:r>
                </w:p>
              </w:tc>
              <w:tc>
                <w:tcPr>
                  <w:tcW w:w="2227" w:type="dxa"/>
                  <w:tcBorders>
                    <w:tl2br w:val="nil"/>
                    <w:tr2bl w:val="nil"/>
                  </w:tcBorders>
                  <w:noWrap w:val="0"/>
                  <w:vAlign w:val="center"/>
                </w:tcPr>
                <w:p w14:paraId="1558179D">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本项目</w:t>
                  </w:r>
                  <w:r>
                    <w:rPr>
                      <w:rFonts w:hint="eastAsia" w:cs="Times New Roman"/>
                      <w:color w:val="000000" w:themeColor="text1"/>
                      <w:sz w:val="21"/>
                      <w:szCs w:val="21"/>
                      <w:highlight w:val="none"/>
                      <w:vertAlign w:val="baseline"/>
                      <w:lang w:val="en-US" w:eastAsia="zh-CN"/>
                    </w:rPr>
                    <w:t>废水为地面清洗水，废水量较小</w:t>
                  </w:r>
                  <w:r>
                    <w:rPr>
                      <w:rFonts w:hint="default" w:ascii="Times New Roman" w:hAnsi="Times New Roman" w:eastAsia="宋体" w:cs="Times New Roman"/>
                      <w:color w:val="000000" w:themeColor="text1"/>
                      <w:sz w:val="21"/>
                      <w:szCs w:val="21"/>
                      <w:highlight w:val="none"/>
                      <w:vertAlign w:val="baseline"/>
                      <w:lang w:val="en-US" w:eastAsia="zh-CN"/>
                    </w:rPr>
                    <w:t>，</w:t>
                  </w:r>
                  <w:r>
                    <w:rPr>
                      <w:rFonts w:hint="eastAsia" w:cs="Times New Roman"/>
                      <w:color w:val="000000" w:themeColor="text1"/>
                      <w:sz w:val="21"/>
                      <w:szCs w:val="21"/>
                      <w:highlight w:val="none"/>
                      <w:vertAlign w:val="baseline"/>
                      <w:lang w:val="en-US" w:eastAsia="zh-CN"/>
                    </w:rPr>
                    <w:t>且</w:t>
                  </w:r>
                  <w:r>
                    <w:rPr>
                      <w:rFonts w:hint="default" w:ascii="Times New Roman" w:hAnsi="Times New Roman" w:eastAsia="宋体" w:cs="Times New Roman"/>
                      <w:color w:val="000000" w:themeColor="text1"/>
                      <w:sz w:val="21"/>
                      <w:szCs w:val="21"/>
                      <w:highlight w:val="none"/>
                      <w:vertAlign w:val="baseline"/>
                      <w:lang w:val="en-US" w:eastAsia="zh-CN"/>
                    </w:rPr>
                    <w:t>不属于生产危险化学品等高风险企业。</w:t>
                  </w:r>
                </w:p>
              </w:tc>
              <w:tc>
                <w:tcPr>
                  <w:tcW w:w="699" w:type="dxa"/>
                  <w:tcBorders>
                    <w:tl2br w:val="nil"/>
                    <w:tr2bl w:val="nil"/>
                  </w:tcBorders>
                  <w:noWrap w:val="0"/>
                  <w:vAlign w:val="center"/>
                </w:tcPr>
                <w:p w14:paraId="617D508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eastAsia="zh-CN"/>
                    </w:rPr>
                  </w:pPr>
                  <w:r>
                    <w:rPr>
                      <w:rFonts w:hint="default" w:ascii="Times New Roman" w:hAnsi="Times New Roman" w:eastAsia="宋体" w:cs="Times New Roman"/>
                      <w:color w:val="000000" w:themeColor="text1"/>
                      <w:sz w:val="21"/>
                      <w:szCs w:val="21"/>
                      <w:highlight w:val="none"/>
                      <w:vertAlign w:val="baseline"/>
                      <w:lang w:eastAsia="zh-CN"/>
                    </w:rPr>
                    <w:t>符合</w:t>
                  </w:r>
                </w:p>
              </w:tc>
            </w:tr>
            <w:tr w14:paraId="750BC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tcBorders>
                    <w:tl2br w:val="nil"/>
                    <w:tr2bl w:val="nil"/>
                  </w:tcBorders>
                  <w:noWrap w:val="0"/>
                  <w:vAlign w:val="center"/>
                </w:tcPr>
                <w:p w14:paraId="7F876AC7">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2</w:t>
                  </w:r>
                </w:p>
              </w:tc>
              <w:tc>
                <w:tcPr>
                  <w:tcW w:w="4125" w:type="dxa"/>
                  <w:tcBorders>
                    <w:tl2br w:val="nil"/>
                    <w:tr2bl w:val="nil"/>
                  </w:tcBorders>
                  <w:noWrap w:val="0"/>
                  <w:vAlign w:val="center"/>
                </w:tcPr>
                <w:p w14:paraId="4D6CBF92">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rPr>
                  </w:pPr>
                  <w:r>
                    <w:rPr>
                      <w:rFonts w:hint="default" w:ascii="Times New Roman" w:hAnsi="Times New Roman" w:eastAsia="宋体" w:cs="Times New Roman"/>
                      <w:color w:val="000000" w:themeColor="text1"/>
                      <w:sz w:val="21"/>
                      <w:szCs w:val="21"/>
                      <w:highlight w:val="none"/>
                      <w:vertAlign w:val="baseline"/>
                      <w:lang w:val="en-US" w:eastAsia="zh-CN"/>
                    </w:rPr>
                    <w:t>规划区应不断优化产业和能源结构，按照“三线一单”管控要求，以生态保护红线、资源利用上线、环境质量底线为约束，落实环境准入负面清单，严格建设项目环境准入。长江岸线1公里范围内禁止新建化工、造纸、印染、制革和冶炼等重污染项目；现有1公里范围内化工企业，按照国家和我省有关政策要求执行，分类施策。按水利部门要求管理好赤湖岸线和缓冲带。化工新材料项目严格按照国家和</w:t>
                  </w:r>
                  <w:r>
                    <w:rPr>
                      <w:rFonts w:hint="eastAsia" w:ascii="Times New Roman" w:eastAsia="宋体" w:cs="Times New Roman"/>
                      <w:color w:val="000000" w:themeColor="text1"/>
                      <w:sz w:val="21"/>
                      <w:szCs w:val="21"/>
                      <w:highlight w:val="none"/>
                      <w:vertAlign w:val="baseline"/>
                      <w:lang w:val="en-US" w:eastAsia="zh-CN"/>
                    </w:rPr>
                    <w:t>省委、省政府</w:t>
                  </w:r>
                  <w:r>
                    <w:rPr>
                      <w:rFonts w:hint="default" w:ascii="Times New Roman" w:hAnsi="Times New Roman" w:eastAsia="宋体" w:cs="Times New Roman"/>
                      <w:color w:val="000000" w:themeColor="text1"/>
                      <w:sz w:val="21"/>
                      <w:szCs w:val="21"/>
                      <w:highlight w:val="none"/>
                      <w:vertAlign w:val="baseline"/>
                      <w:lang w:val="en-US" w:eastAsia="zh-CN"/>
                    </w:rPr>
                    <w:t>最新出</w:t>
                  </w:r>
                  <w:r>
                    <w:rPr>
                      <w:rFonts w:hint="eastAsia" w:ascii="Times New Roman" w:eastAsia="宋体" w:cs="Times New Roman"/>
                      <w:color w:val="000000" w:themeColor="text1"/>
                      <w:sz w:val="21"/>
                      <w:szCs w:val="21"/>
                      <w:highlight w:val="none"/>
                      <w:vertAlign w:val="baseline"/>
                      <w:lang w:val="en-US" w:eastAsia="zh-CN"/>
                    </w:rPr>
                    <w:t>台的</w:t>
                  </w:r>
                  <w:r>
                    <w:rPr>
                      <w:rFonts w:hint="default" w:ascii="Times New Roman" w:hAnsi="Times New Roman" w:eastAsia="宋体" w:cs="Times New Roman"/>
                      <w:color w:val="000000" w:themeColor="text1"/>
                      <w:sz w:val="21"/>
                      <w:szCs w:val="21"/>
                      <w:highlight w:val="none"/>
                      <w:vertAlign w:val="baseline"/>
                      <w:lang w:val="en-US" w:eastAsia="zh-CN"/>
                    </w:rPr>
                    <w:t>化工项目政策准入</w:t>
                  </w:r>
                </w:p>
              </w:tc>
              <w:tc>
                <w:tcPr>
                  <w:tcW w:w="2227" w:type="dxa"/>
                  <w:tcBorders>
                    <w:tl2br w:val="nil"/>
                    <w:tr2bl w:val="nil"/>
                  </w:tcBorders>
                  <w:noWrap w:val="0"/>
                  <w:vAlign w:val="center"/>
                </w:tcPr>
                <w:p w14:paraId="3F0AA339">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本项目符合“三线一单”管控要求，不涉及环境准入负面清单。本项目不属于化工、造纸、印染、制革和冶炼等重污染项目</w:t>
                  </w:r>
                </w:p>
              </w:tc>
              <w:tc>
                <w:tcPr>
                  <w:tcW w:w="699" w:type="dxa"/>
                  <w:tcBorders>
                    <w:tl2br w:val="nil"/>
                    <w:tr2bl w:val="nil"/>
                  </w:tcBorders>
                  <w:noWrap w:val="0"/>
                  <w:vAlign w:val="center"/>
                </w:tcPr>
                <w:p w14:paraId="51A86E4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rPr>
                  </w:pPr>
                  <w:r>
                    <w:rPr>
                      <w:rFonts w:hint="default" w:ascii="Times New Roman" w:hAnsi="Times New Roman" w:eastAsia="宋体" w:cs="Times New Roman"/>
                      <w:color w:val="000000" w:themeColor="text1"/>
                      <w:sz w:val="21"/>
                      <w:szCs w:val="21"/>
                      <w:highlight w:val="none"/>
                      <w:vertAlign w:val="baseline"/>
                      <w:lang w:eastAsia="zh-CN"/>
                    </w:rPr>
                    <w:t>符合</w:t>
                  </w:r>
                </w:p>
              </w:tc>
            </w:tr>
            <w:tr w14:paraId="7B6B21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tcBorders>
                    <w:tl2br w:val="nil"/>
                    <w:tr2bl w:val="nil"/>
                  </w:tcBorders>
                  <w:noWrap w:val="0"/>
                  <w:vAlign w:val="center"/>
                </w:tcPr>
                <w:p w14:paraId="769B56D1">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3</w:t>
                  </w:r>
                </w:p>
              </w:tc>
              <w:tc>
                <w:tcPr>
                  <w:tcW w:w="4125" w:type="dxa"/>
                  <w:tcBorders>
                    <w:tl2br w:val="nil"/>
                    <w:tr2bl w:val="nil"/>
                  </w:tcBorders>
                  <w:noWrap w:val="0"/>
                  <w:vAlign w:val="center"/>
                </w:tcPr>
                <w:p w14:paraId="0F236FF2">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控制园区污染物排放总量。排放的氮氧化物、挥发性有机物、化学需氧量、氨氮等主要污染物不得超过核定的总量管控限值，必要时采取区域削减、限制生产等措施，确保实现区域及周边环境质量改善目标。</w:t>
                  </w:r>
                </w:p>
              </w:tc>
              <w:tc>
                <w:tcPr>
                  <w:tcW w:w="2227" w:type="dxa"/>
                  <w:tcBorders>
                    <w:tl2br w:val="nil"/>
                    <w:tr2bl w:val="nil"/>
                  </w:tcBorders>
                  <w:noWrap w:val="0"/>
                  <w:vAlign w:val="center"/>
                </w:tcPr>
                <w:p w14:paraId="31BB6B46">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本项目排放的挥发性有机物、</w:t>
                  </w:r>
                  <w:r>
                    <w:rPr>
                      <w:rFonts w:hint="eastAsia" w:cs="Times New Roman"/>
                      <w:color w:val="000000" w:themeColor="text1"/>
                      <w:sz w:val="21"/>
                      <w:szCs w:val="21"/>
                      <w:highlight w:val="none"/>
                      <w:vertAlign w:val="baseline"/>
                      <w:lang w:val="en-US" w:eastAsia="zh-CN"/>
                    </w:rPr>
                    <w:t>颗粒物</w:t>
                  </w:r>
                  <w:r>
                    <w:rPr>
                      <w:rFonts w:hint="default" w:ascii="Times New Roman" w:hAnsi="Times New Roman" w:eastAsia="宋体" w:cs="Times New Roman"/>
                      <w:color w:val="000000" w:themeColor="text1"/>
                      <w:sz w:val="21"/>
                      <w:szCs w:val="21"/>
                      <w:highlight w:val="none"/>
                      <w:vertAlign w:val="baseline"/>
                      <w:lang w:val="en-US" w:eastAsia="zh-CN"/>
                    </w:rPr>
                    <w:t>等主要污染物未超过核定的总量管控限值</w:t>
                  </w:r>
                </w:p>
              </w:tc>
              <w:tc>
                <w:tcPr>
                  <w:tcW w:w="699" w:type="dxa"/>
                  <w:tcBorders>
                    <w:tl2br w:val="nil"/>
                    <w:tr2bl w:val="nil"/>
                  </w:tcBorders>
                  <w:noWrap w:val="0"/>
                  <w:vAlign w:val="center"/>
                </w:tcPr>
                <w:p w14:paraId="483AE194">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eastAsia="zh-CN"/>
                    </w:rPr>
                  </w:pPr>
                  <w:r>
                    <w:rPr>
                      <w:rFonts w:hint="default" w:ascii="Times New Roman" w:hAnsi="Times New Roman" w:eastAsia="宋体" w:cs="Times New Roman"/>
                      <w:color w:val="000000" w:themeColor="text1"/>
                      <w:sz w:val="21"/>
                      <w:szCs w:val="21"/>
                      <w:highlight w:val="none"/>
                      <w:vertAlign w:val="baseline"/>
                      <w:lang w:eastAsia="zh-CN"/>
                    </w:rPr>
                    <w:t>符合</w:t>
                  </w:r>
                </w:p>
              </w:tc>
            </w:tr>
            <w:tr w14:paraId="0CEC9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1" w:type="dxa"/>
                  <w:tcBorders>
                    <w:tl2br w:val="nil"/>
                    <w:tr2bl w:val="nil"/>
                  </w:tcBorders>
                  <w:noWrap w:val="0"/>
                  <w:vAlign w:val="center"/>
                </w:tcPr>
                <w:p w14:paraId="2164B8B9">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4</w:t>
                  </w:r>
                </w:p>
              </w:tc>
              <w:tc>
                <w:tcPr>
                  <w:tcW w:w="4125" w:type="dxa"/>
                  <w:tcBorders>
                    <w:tl2br w:val="nil"/>
                    <w:tr2bl w:val="nil"/>
                  </w:tcBorders>
                  <w:noWrap w:val="0"/>
                  <w:vAlign w:val="center"/>
                </w:tcPr>
                <w:p w14:paraId="45DADD85">
                  <w:pPr>
                    <w:pStyle w:val="42"/>
                    <w:keepNext w:val="0"/>
                    <w:keepLines w:val="0"/>
                    <w:pageBreakBefore w:val="0"/>
                    <w:widowControl w:val="0"/>
                    <w:kinsoku/>
                    <w:wordWrap/>
                    <w:overflowPunct/>
                    <w:topLinePunct w:val="0"/>
                    <w:autoSpaceDE w:val="0"/>
                    <w:autoSpaceDN w:val="0"/>
                    <w:bidi w:val="0"/>
                    <w:adjustRightInd w:val="0"/>
                    <w:snapToGrid/>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强化入园项目管理。对拟建项目，在开展建设项目环境影响评价时，重点应放在论证项目与“三线一单”分区管控、规划环评及审查意见提出的环境管理要求相符性以及环境空气影响分析、园区纳污水体地表水环境影响分析、地下水环境影响分析、防护距离设置、环境风险影响分析、污染防治措施等方面。在建设项目符合园区产业定位和布局前提下，建设项目环境影响评价时可适当简化部分内容，主要包括区域环境质量现状调查与评价、规划选址合理性分析和公众参与等。推动各企业落实环境影响评价制度和排污许可制度。项目选址应符合安全评价相关要求。</w:t>
                  </w:r>
                </w:p>
              </w:tc>
              <w:tc>
                <w:tcPr>
                  <w:tcW w:w="2227" w:type="dxa"/>
                  <w:tcBorders>
                    <w:tl2br w:val="nil"/>
                    <w:tr2bl w:val="nil"/>
                  </w:tcBorders>
                  <w:noWrap w:val="0"/>
                  <w:vAlign w:val="center"/>
                </w:tcPr>
                <w:p w14:paraId="22613F15">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rPr>
                  </w:pPr>
                  <w:r>
                    <w:rPr>
                      <w:rFonts w:hint="default" w:ascii="Times New Roman" w:hAnsi="Times New Roman" w:eastAsia="宋体" w:cs="Times New Roman"/>
                      <w:color w:val="000000" w:themeColor="text1"/>
                      <w:sz w:val="21"/>
                      <w:szCs w:val="21"/>
                      <w:highlight w:val="none"/>
                      <w:vertAlign w:val="baseline"/>
                      <w:lang w:val="en-US" w:eastAsia="zh-CN"/>
                    </w:rPr>
                    <w:t>本项目环评已论证项目与“三线一单”分区管控、规划环评及审查意见的相符性以及相关环境影响分析。本项目与工业园规划相容，选址符合安全评价相关要求。企业取得本项目环评批复后，按照排污许可制度申请排污</w:t>
                  </w:r>
                  <w:r>
                    <w:rPr>
                      <w:rFonts w:hint="eastAsia" w:ascii="Times New Roman" w:hAnsi="Times New Roman" w:cs="Times New Roman"/>
                      <w:color w:val="000000" w:themeColor="text1"/>
                      <w:sz w:val="21"/>
                      <w:szCs w:val="21"/>
                      <w:highlight w:val="none"/>
                      <w:vertAlign w:val="baseline"/>
                      <w:lang w:val="en-US" w:eastAsia="zh-CN"/>
                    </w:rPr>
                    <w:t>登记</w:t>
                  </w:r>
                  <w:r>
                    <w:rPr>
                      <w:rFonts w:hint="default" w:ascii="Times New Roman" w:hAnsi="Times New Roman" w:eastAsia="宋体" w:cs="Times New Roman"/>
                      <w:color w:val="000000" w:themeColor="text1"/>
                      <w:sz w:val="21"/>
                      <w:szCs w:val="21"/>
                      <w:highlight w:val="none"/>
                      <w:vertAlign w:val="baseline"/>
                      <w:lang w:val="en-US" w:eastAsia="zh-CN"/>
                    </w:rPr>
                    <w:t>。</w:t>
                  </w:r>
                </w:p>
              </w:tc>
              <w:tc>
                <w:tcPr>
                  <w:tcW w:w="699" w:type="dxa"/>
                  <w:tcBorders>
                    <w:tl2br w:val="nil"/>
                    <w:tr2bl w:val="nil"/>
                  </w:tcBorders>
                  <w:noWrap w:val="0"/>
                  <w:vAlign w:val="center"/>
                </w:tcPr>
                <w:p w14:paraId="0C5B527F">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eastAsia="zh-CN"/>
                    </w:rPr>
                  </w:pPr>
                  <w:r>
                    <w:rPr>
                      <w:rFonts w:hint="default" w:ascii="Times New Roman" w:hAnsi="Times New Roman" w:eastAsia="宋体" w:cs="Times New Roman"/>
                      <w:color w:val="000000" w:themeColor="text1"/>
                      <w:sz w:val="21"/>
                      <w:szCs w:val="21"/>
                      <w:highlight w:val="none"/>
                      <w:vertAlign w:val="baseline"/>
                      <w:lang w:eastAsia="zh-CN"/>
                    </w:rPr>
                    <w:t>符合</w:t>
                  </w:r>
                </w:p>
              </w:tc>
            </w:tr>
          </w:tbl>
          <w:p w14:paraId="6B5E1BB6">
            <w:pPr>
              <w:pStyle w:val="85"/>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highlight w:val="none"/>
                <w:lang w:eastAsia="zh-CN"/>
              </w:rPr>
            </w:pPr>
            <w:r>
              <w:rPr>
                <w:rFonts w:hint="default" w:ascii="Times New Roman" w:hAnsi="Times New Roman" w:eastAsia="宋体" w:cs="Times New Roman"/>
                <w:color w:val="000000" w:themeColor="text1"/>
                <w:sz w:val="24"/>
                <w:highlight w:val="none"/>
              </w:rPr>
              <w:t>综上，项目符合《关于九江市生态环境局关于江西九江沙城工业园区扩区调区规划环境影响报告书审查意见的函》（九环评字〔2023〕36号）要求</w:t>
            </w:r>
            <w:r>
              <w:rPr>
                <w:rFonts w:hint="eastAsia" w:ascii="Times New Roman" w:hAnsi="Times New Roman" w:eastAsia="宋体" w:cs="Times New Roman"/>
                <w:color w:val="000000" w:themeColor="text1"/>
                <w:sz w:val="24"/>
                <w:highlight w:val="none"/>
                <w:lang w:eastAsia="zh-CN"/>
              </w:rPr>
              <w:t>。</w:t>
            </w:r>
          </w:p>
          <w:p w14:paraId="2B3CCB28">
            <w:pPr>
              <w:pStyle w:val="85"/>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b/>
                <w:bCs/>
                <w:color w:val="000000" w:themeColor="text1"/>
                <w:sz w:val="24"/>
                <w:szCs w:val="24"/>
                <w:lang w:val="en-US" w:eastAsia="zh-CN"/>
              </w:rPr>
            </w:pPr>
            <w:r>
              <w:rPr>
                <w:rFonts w:hint="eastAsia" w:ascii="Times New Roman" w:hAnsi="Times New Roman"/>
                <w:b/>
                <w:bCs/>
                <w:color w:val="000000" w:themeColor="text1"/>
                <w:sz w:val="24"/>
                <w:szCs w:val="24"/>
                <w:lang w:val="en-US" w:eastAsia="zh-CN"/>
              </w:rPr>
              <w:t>4、项目与</w:t>
            </w:r>
            <w:r>
              <w:rPr>
                <w:rFonts w:ascii="Times New Roman" w:hAnsi="Times New Roman"/>
                <w:b/>
                <w:bCs/>
                <w:color w:val="000000" w:themeColor="text1"/>
                <w:sz w:val="24"/>
                <w:szCs w:val="24"/>
              </w:rPr>
              <w:t>《</w:t>
            </w:r>
            <w:r>
              <w:rPr>
                <w:rFonts w:hint="eastAsia" w:ascii="Times New Roman" w:hAnsi="Times New Roman"/>
                <w:b/>
                <w:bCs/>
                <w:color w:val="000000" w:themeColor="text1"/>
                <w:sz w:val="24"/>
                <w:szCs w:val="24"/>
              </w:rPr>
              <w:t>江西九江沙城工业园区扩区调区规划环境影响报告书</w:t>
            </w:r>
            <w:r>
              <w:rPr>
                <w:rFonts w:ascii="Times New Roman" w:hAnsi="Times New Roman"/>
                <w:b/>
                <w:bCs/>
                <w:color w:val="000000" w:themeColor="text1"/>
                <w:sz w:val="24"/>
                <w:szCs w:val="24"/>
              </w:rPr>
              <w:t>》</w:t>
            </w:r>
            <w:r>
              <w:rPr>
                <w:rFonts w:hint="eastAsia" w:ascii="Times New Roman" w:hAnsi="Times New Roman"/>
                <w:b/>
                <w:bCs/>
                <w:color w:val="000000" w:themeColor="text1"/>
                <w:sz w:val="24"/>
                <w:szCs w:val="24"/>
              </w:rPr>
              <w:t>中生态环境准入清单</w:t>
            </w:r>
            <w:r>
              <w:rPr>
                <w:rFonts w:ascii="Times New Roman" w:hAnsi="Times New Roman"/>
                <w:b/>
                <w:bCs/>
                <w:color w:val="000000" w:themeColor="text1"/>
                <w:sz w:val="24"/>
                <w:szCs w:val="24"/>
              </w:rPr>
              <w:t>相符性分</w:t>
            </w:r>
            <w:r>
              <w:rPr>
                <w:rFonts w:hint="eastAsia" w:ascii="Times New Roman" w:hAnsi="Times New Roman"/>
                <w:b/>
                <w:bCs/>
                <w:color w:val="000000" w:themeColor="text1"/>
                <w:sz w:val="24"/>
                <w:szCs w:val="24"/>
              </w:rPr>
              <w:t>析</w:t>
            </w:r>
          </w:p>
          <w:p w14:paraId="4743B0E5">
            <w:pPr>
              <w:pStyle w:val="8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b/>
                <w:bCs/>
                <w:color w:val="000000" w:themeColor="text1"/>
                <w:sz w:val="21"/>
                <w:szCs w:val="21"/>
              </w:rPr>
            </w:pPr>
            <w:r>
              <w:rPr>
                <w:rFonts w:ascii="Times New Roman" w:hAnsi="Times New Roman"/>
                <w:b/>
                <w:bCs/>
                <w:color w:val="000000" w:themeColor="text1"/>
                <w:sz w:val="21"/>
                <w:szCs w:val="21"/>
              </w:rPr>
              <w:t>表</w:t>
            </w:r>
            <w:r>
              <w:rPr>
                <w:rFonts w:hint="eastAsia" w:ascii="Times New Roman" w:hAnsi="Times New Roman"/>
                <w:b/>
                <w:bCs/>
                <w:color w:val="000000" w:themeColor="text1"/>
                <w:sz w:val="21"/>
                <w:szCs w:val="21"/>
              </w:rPr>
              <w:t>1-</w:t>
            </w:r>
            <w:r>
              <w:rPr>
                <w:rFonts w:hint="eastAsia" w:ascii="Times New Roman" w:hAnsi="Times New Roman"/>
                <w:b/>
                <w:bCs/>
                <w:color w:val="000000" w:themeColor="text1"/>
                <w:sz w:val="21"/>
                <w:szCs w:val="21"/>
                <w:lang w:val="en-US" w:eastAsia="zh-CN"/>
              </w:rPr>
              <w:t>4</w:t>
            </w:r>
            <w:r>
              <w:rPr>
                <w:rFonts w:hint="eastAsia" w:ascii="Times New Roman" w:hAnsi="Times New Roman"/>
                <w:b/>
                <w:bCs/>
                <w:color w:val="000000" w:themeColor="text1"/>
                <w:sz w:val="21"/>
                <w:szCs w:val="21"/>
              </w:rPr>
              <w:t xml:space="preserve"> </w:t>
            </w:r>
            <w:r>
              <w:rPr>
                <w:rFonts w:hint="eastAsia" w:ascii="Times New Roman" w:hAnsi="Times New Roman"/>
                <w:b/>
                <w:bCs/>
                <w:color w:val="000000" w:themeColor="text1"/>
                <w:sz w:val="21"/>
                <w:szCs w:val="21"/>
                <w:lang w:val="en-US" w:eastAsia="zh-CN"/>
              </w:rPr>
              <w:t xml:space="preserve">  项目</w:t>
            </w:r>
            <w:r>
              <w:rPr>
                <w:rFonts w:ascii="Times New Roman" w:hAnsi="Times New Roman"/>
                <w:b/>
                <w:bCs/>
                <w:color w:val="000000" w:themeColor="text1"/>
                <w:sz w:val="21"/>
                <w:szCs w:val="21"/>
              </w:rPr>
              <w:t>与《</w:t>
            </w:r>
            <w:r>
              <w:rPr>
                <w:rFonts w:hint="eastAsia" w:ascii="Times New Roman" w:hAnsi="Times New Roman"/>
                <w:b/>
                <w:bCs/>
                <w:color w:val="000000" w:themeColor="text1"/>
                <w:sz w:val="21"/>
                <w:szCs w:val="21"/>
              </w:rPr>
              <w:t>江西九江沙城工业园区扩区调区规划环境影响报告书</w:t>
            </w:r>
            <w:r>
              <w:rPr>
                <w:rFonts w:ascii="Times New Roman" w:hAnsi="Times New Roman"/>
                <w:b/>
                <w:bCs/>
                <w:color w:val="000000" w:themeColor="text1"/>
                <w:sz w:val="21"/>
                <w:szCs w:val="21"/>
              </w:rPr>
              <w:t>》</w:t>
            </w:r>
            <w:r>
              <w:rPr>
                <w:rFonts w:hint="eastAsia" w:ascii="Times New Roman" w:hAnsi="Times New Roman"/>
                <w:b/>
                <w:bCs/>
                <w:color w:val="000000" w:themeColor="text1"/>
                <w:sz w:val="21"/>
                <w:szCs w:val="21"/>
              </w:rPr>
              <w:t>中生态环境准入清单</w:t>
            </w:r>
            <w:r>
              <w:rPr>
                <w:rFonts w:ascii="Times New Roman" w:hAnsi="Times New Roman"/>
                <w:b/>
                <w:bCs/>
                <w:color w:val="000000" w:themeColor="text1"/>
                <w:sz w:val="21"/>
                <w:szCs w:val="21"/>
              </w:rPr>
              <w:t>相符性分</w:t>
            </w:r>
            <w:r>
              <w:rPr>
                <w:rFonts w:hint="eastAsia" w:ascii="Times New Roman" w:hAnsi="Times New Roman"/>
                <w:b/>
                <w:bCs/>
                <w:color w:val="000000" w:themeColor="text1"/>
                <w:sz w:val="21"/>
                <w:szCs w:val="21"/>
              </w:rPr>
              <w:t>析</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06"/>
              <w:gridCol w:w="2684"/>
              <w:gridCol w:w="2544"/>
              <w:gridCol w:w="658"/>
            </w:tblGrid>
            <w:tr w14:paraId="3E199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noWrap w:val="0"/>
                  <w:vAlign w:val="center"/>
                </w:tcPr>
                <w:p w14:paraId="4DE66B74">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维度</w:t>
                  </w:r>
                </w:p>
              </w:tc>
              <w:tc>
                <w:tcPr>
                  <w:tcW w:w="936" w:type="pct"/>
                  <w:noWrap w:val="0"/>
                  <w:vAlign w:val="center"/>
                </w:tcPr>
                <w:p w14:paraId="2F94633D">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清单编制要求</w:t>
                  </w:r>
                </w:p>
              </w:tc>
              <w:tc>
                <w:tcPr>
                  <w:tcW w:w="1668" w:type="pct"/>
                  <w:noWrap w:val="0"/>
                  <w:vAlign w:val="center"/>
                </w:tcPr>
                <w:p w14:paraId="6950533A">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准入清单</w:t>
                  </w:r>
                </w:p>
              </w:tc>
              <w:tc>
                <w:tcPr>
                  <w:tcW w:w="1581" w:type="pct"/>
                  <w:noWrap w:val="0"/>
                  <w:vAlign w:val="center"/>
                </w:tcPr>
                <w:p w14:paraId="695E924B">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lang w:val="en-US" w:eastAsia="zh-CN"/>
                    </w:rPr>
                    <w:t>相符性分析</w:t>
                  </w:r>
                </w:p>
              </w:tc>
              <w:tc>
                <w:tcPr>
                  <w:tcW w:w="409" w:type="pct"/>
                  <w:noWrap w:val="0"/>
                  <w:vAlign w:val="center"/>
                </w:tcPr>
                <w:p w14:paraId="41998468">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val="en-US" w:eastAsia="zh-CN"/>
                    </w:rPr>
                    <w:t>结论</w:t>
                  </w:r>
                </w:p>
              </w:tc>
            </w:tr>
            <w:tr w14:paraId="034B8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0606AC3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空间布局约束</w:t>
                  </w:r>
                </w:p>
              </w:tc>
              <w:tc>
                <w:tcPr>
                  <w:tcW w:w="936" w:type="pct"/>
                  <w:noWrap w:val="0"/>
                  <w:vAlign w:val="center"/>
                </w:tcPr>
                <w:p w14:paraId="273FABFB">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允许开发建设活动的要求</w:t>
                  </w:r>
                </w:p>
              </w:tc>
              <w:tc>
                <w:tcPr>
                  <w:tcW w:w="1668" w:type="pct"/>
                  <w:noWrap w:val="0"/>
                  <w:vAlign w:val="center"/>
                </w:tcPr>
                <w:p w14:paraId="0823EDF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允许符合城镇总体规划、国土空间规划、土地利用规划、产业发展规划的开发建设活动。</w:t>
                  </w:r>
                </w:p>
              </w:tc>
              <w:tc>
                <w:tcPr>
                  <w:tcW w:w="1581" w:type="pct"/>
                  <w:noWrap w:val="0"/>
                  <w:vAlign w:val="center"/>
                </w:tcPr>
                <w:p w14:paraId="11E5C0FF">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本项目位于</w:t>
                  </w:r>
                  <w:r>
                    <w:rPr>
                      <w:rFonts w:hint="default" w:ascii="Times New Roman" w:hAnsi="Times New Roman" w:eastAsia="宋体" w:cs="Times New Roman"/>
                      <w:color w:val="000000" w:themeColor="text1"/>
                      <w:kern w:val="0"/>
                      <w:sz w:val="21"/>
                      <w:szCs w:val="21"/>
                      <w:lang w:val="en-US" w:eastAsia="zh-CN"/>
                    </w:rPr>
                    <w:t>赤湖</w:t>
                  </w:r>
                  <w:r>
                    <w:rPr>
                      <w:rFonts w:hint="default" w:ascii="Times New Roman" w:hAnsi="Times New Roman" w:eastAsia="宋体" w:cs="Times New Roman"/>
                      <w:color w:val="000000" w:themeColor="text1"/>
                      <w:kern w:val="0"/>
                      <w:sz w:val="21"/>
                      <w:szCs w:val="21"/>
                    </w:rPr>
                    <w:t>工业园</w:t>
                  </w:r>
                  <w:r>
                    <w:rPr>
                      <w:rFonts w:hint="default" w:ascii="Times New Roman" w:hAnsi="Times New Roman" w:eastAsia="宋体" w:cs="Times New Roman"/>
                      <w:color w:val="000000" w:themeColor="text1"/>
                      <w:kern w:val="0"/>
                      <w:sz w:val="21"/>
                      <w:szCs w:val="21"/>
                      <w:lang w:val="en-US" w:eastAsia="zh-CN"/>
                    </w:rPr>
                    <w:t>内</w:t>
                  </w:r>
                  <w:r>
                    <w:rPr>
                      <w:rFonts w:hint="default" w:ascii="Times New Roman" w:hAnsi="Times New Roman" w:eastAsia="宋体" w:cs="Times New Roman"/>
                      <w:color w:val="000000" w:themeColor="text1"/>
                      <w:kern w:val="0"/>
                      <w:sz w:val="21"/>
                      <w:szCs w:val="21"/>
                    </w:rPr>
                    <w:t>，已取得用地证明，</w:t>
                  </w: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kern w:val="0"/>
                      <w:sz w:val="21"/>
                      <w:szCs w:val="21"/>
                    </w:rPr>
                    <w:t>符合园区规划</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2AC9AE6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06F2C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CAE1EAF">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vMerge w:val="restart"/>
                  <w:noWrap w:val="0"/>
                  <w:vAlign w:val="center"/>
                </w:tcPr>
                <w:p w14:paraId="0825C61F">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禁止开发建设活动的要求</w:t>
                  </w:r>
                </w:p>
              </w:tc>
              <w:tc>
                <w:tcPr>
                  <w:tcW w:w="1668" w:type="pct"/>
                  <w:noWrap w:val="0"/>
                  <w:vAlign w:val="center"/>
                </w:tcPr>
                <w:p w14:paraId="416E555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①禁止引入列入《产业结构调整指导目录（2024年本）》、《市场准入负面清单（2022年版）》、《外商投资准入特别管理措施（负面清单）（2020年版）》、《长江经济带发展负面清单指南（试行，2022年版）》等相关产业政策中禁止或淘汰类项目、产品、工艺、设备。</w:t>
                  </w:r>
                </w:p>
              </w:tc>
              <w:tc>
                <w:tcPr>
                  <w:tcW w:w="1581" w:type="pct"/>
                  <w:noWrap w:val="0"/>
                  <w:vAlign w:val="center"/>
                </w:tcPr>
                <w:p w14:paraId="156600F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不属于《产业结构调整指导目录（2024年本）》、《市场准入负面清单（2022年版）》、《外商投资准入特别管理措施（负面清单）（2020年版）》、《长江经济带发展负面清单指南（试行，2022年版）》等相关产业政策中禁止或淘汰类项目、产品、工艺、设备。</w:t>
                  </w:r>
                </w:p>
              </w:tc>
              <w:tc>
                <w:tcPr>
                  <w:tcW w:w="409" w:type="pct"/>
                  <w:noWrap w:val="0"/>
                  <w:vAlign w:val="center"/>
                </w:tcPr>
                <w:p w14:paraId="777744EB">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5DFAD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702404E">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sz w:val="21"/>
                      <w:szCs w:val="21"/>
                    </w:rPr>
                  </w:pPr>
                </w:p>
              </w:tc>
              <w:tc>
                <w:tcPr>
                  <w:tcW w:w="936" w:type="pct"/>
                  <w:vMerge w:val="continue"/>
                  <w:noWrap w:val="0"/>
                  <w:vAlign w:val="center"/>
                </w:tcPr>
                <w:p w14:paraId="613AEC7D">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1668" w:type="pct"/>
                  <w:noWrap w:val="0"/>
                  <w:vAlign w:val="center"/>
                </w:tcPr>
                <w:p w14:paraId="34FDF10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②禁止新建、扩建不符合国家产能置换要求的严重过剩产能行业的项目。</w:t>
                  </w:r>
                </w:p>
              </w:tc>
              <w:tc>
                <w:tcPr>
                  <w:tcW w:w="1581" w:type="pct"/>
                  <w:noWrap w:val="0"/>
                  <w:vAlign w:val="center"/>
                </w:tcPr>
                <w:p w14:paraId="501CEA9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项目不属于新建、扩建</w:t>
                  </w:r>
                  <w:r>
                    <w:rPr>
                      <w:rFonts w:hint="default" w:ascii="Times New Roman" w:hAnsi="Times New Roman" w:eastAsia="宋体" w:cs="Times New Roman"/>
                      <w:color w:val="000000" w:themeColor="text1"/>
                      <w:kern w:val="0"/>
                      <w:sz w:val="21"/>
                      <w:szCs w:val="21"/>
                      <w:lang w:val="en-US" w:eastAsia="zh-CN"/>
                    </w:rPr>
                    <w:t>不符合</w:t>
                  </w:r>
                  <w:r>
                    <w:rPr>
                      <w:rFonts w:hint="default" w:ascii="Times New Roman" w:hAnsi="Times New Roman" w:eastAsia="宋体" w:cs="Times New Roman"/>
                      <w:color w:val="000000" w:themeColor="text1"/>
                      <w:kern w:val="0"/>
                      <w:sz w:val="21"/>
                      <w:szCs w:val="21"/>
                    </w:rPr>
                    <w:t>国家产能置换要求的严重过剩产能行业的项目</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4B2FDBB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4434B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E284802">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3BED309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2EE0690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③</w:t>
                  </w:r>
                  <w:r>
                    <w:rPr>
                      <w:rFonts w:hint="default" w:ascii="Times New Roman" w:hAnsi="Times New Roman" w:eastAsia="宋体" w:cs="Times New Roman"/>
                      <w:color w:val="000000" w:themeColor="text1"/>
                      <w:spacing w:val="-2"/>
                      <w:sz w:val="21"/>
                      <w:szCs w:val="21"/>
                    </w:rPr>
                    <w:t>严禁在长江干流及主要支流岸线1公里范围内新建重化工园区。长江干流九江段岸线1公里范围内禁止新</w:t>
                  </w:r>
                  <w:r>
                    <w:rPr>
                      <w:rFonts w:hint="default" w:ascii="Times New Roman" w:hAnsi="Times New Roman" w:eastAsia="宋体" w:cs="Times New Roman"/>
                      <w:color w:val="000000" w:themeColor="text1"/>
                      <w:spacing w:val="-1"/>
                      <w:sz w:val="21"/>
                      <w:szCs w:val="21"/>
                    </w:rPr>
                    <w:t>建化工、造纸、印染、制革、冶炼等重污染项目</w:t>
                  </w:r>
                  <w:r>
                    <w:rPr>
                      <w:rFonts w:hint="default" w:ascii="Times New Roman" w:hAnsi="Times New Roman" w:eastAsia="宋体" w:cs="Times New Roman"/>
                      <w:color w:val="000000" w:themeColor="text1"/>
                      <w:sz w:val="21"/>
                      <w:szCs w:val="21"/>
                    </w:rPr>
                    <w:t>。</w:t>
                  </w:r>
                </w:p>
              </w:tc>
              <w:tc>
                <w:tcPr>
                  <w:tcW w:w="1581" w:type="pct"/>
                  <w:noWrap w:val="0"/>
                  <w:vAlign w:val="center"/>
                </w:tcPr>
                <w:p w14:paraId="0892F95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pacing w:val="-2"/>
                      <w:sz w:val="21"/>
                      <w:szCs w:val="21"/>
                      <w:lang w:val="en-US" w:eastAsia="zh-CN"/>
                    </w:rPr>
                    <w:t>不属于</w:t>
                  </w:r>
                  <w:r>
                    <w:rPr>
                      <w:rFonts w:hint="default" w:ascii="Times New Roman" w:hAnsi="Times New Roman" w:eastAsia="宋体" w:cs="Times New Roman"/>
                      <w:color w:val="000000" w:themeColor="text1"/>
                      <w:spacing w:val="-1"/>
                      <w:sz w:val="21"/>
                      <w:szCs w:val="21"/>
                    </w:rPr>
                    <w:t>化工、造纸、印染、制革、冶炼等重污染项目</w:t>
                  </w:r>
                  <w:r>
                    <w:rPr>
                      <w:rFonts w:hint="default" w:ascii="Times New Roman" w:hAnsi="Times New Roman" w:eastAsia="宋体" w:cs="Times New Roman"/>
                      <w:color w:val="000000" w:themeColor="text1"/>
                      <w:spacing w:val="-1"/>
                      <w:sz w:val="21"/>
                      <w:szCs w:val="21"/>
                      <w:lang w:eastAsia="zh-CN"/>
                    </w:rPr>
                    <w:t>。</w:t>
                  </w:r>
                </w:p>
              </w:tc>
              <w:tc>
                <w:tcPr>
                  <w:tcW w:w="409" w:type="pct"/>
                  <w:noWrap w:val="0"/>
                  <w:vAlign w:val="center"/>
                </w:tcPr>
                <w:p w14:paraId="502ACAD1">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5CE73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113CBAB">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0AF2593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4609D3CF">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④</w:t>
                  </w:r>
                  <w:r>
                    <w:rPr>
                      <w:rFonts w:hint="default" w:ascii="Times New Roman" w:hAnsi="Times New Roman" w:eastAsia="宋体" w:cs="Times New Roman"/>
                      <w:color w:val="000000" w:themeColor="text1"/>
                      <w:spacing w:val="-1"/>
                      <w:sz w:val="21"/>
                      <w:szCs w:val="21"/>
                    </w:rPr>
                    <w:t>禁止在长江干流岸线边界</w:t>
                  </w:r>
                  <w:r>
                    <w:rPr>
                      <w:rFonts w:hint="default" w:ascii="Times New Roman" w:hAnsi="Times New Roman" w:eastAsia="宋体" w:cs="Times New Roman"/>
                      <w:color w:val="000000" w:themeColor="text1"/>
                      <w:spacing w:val="-1"/>
                      <w:sz w:val="21"/>
                      <w:szCs w:val="21"/>
                      <w:lang w:eastAsia="zh-CN"/>
                    </w:rPr>
                    <w:t>（</w:t>
                  </w:r>
                  <w:r>
                    <w:rPr>
                      <w:rFonts w:hint="default" w:ascii="Times New Roman" w:hAnsi="Times New Roman" w:eastAsia="宋体" w:cs="Times New Roman"/>
                      <w:color w:val="000000" w:themeColor="text1"/>
                      <w:spacing w:val="-1"/>
                      <w:sz w:val="21"/>
                      <w:szCs w:val="21"/>
                    </w:rPr>
                    <w:t>即水利部门河道管理范围边界</w:t>
                  </w:r>
                  <w:r>
                    <w:rPr>
                      <w:rFonts w:hint="default" w:ascii="Times New Roman" w:hAnsi="Times New Roman" w:eastAsia="宋体" w:cs="Times New Roman"/>
                      <w:color w:val="000000" w:themeColor="text1"/>
                      <w:spacing w:val="-1"/>
                      <w:sz w:val="21"/>
                      <w:szCs w:val="21"/>
                      <w:lang w:eastAsia="zh-CN"/>
                    </w:rPr>
                    <w:t>）</w:t>
                  </w:r>
                  <w:r>
                    <w:rPr>
                      <w:rFonts w:hint="default" w:ascii="Times New Roman" w:hAnsi="Times New Roman" w:eastAsia="宋体" w:cs="Times New Roman"/>
                      <w:color w:val="000000" w:themeColor="text1"/>
                      <w:spacing w:val="-1"/>
                      <w:sz w:val="21"/>
                      <w:szCs w:val="21"/>
                    </w:rPr>
                    <w:t>向陆域纵深1公里范围内新建、扩建化工园区和化工项目。</w:t>
                  </w:r>
                </w:p>
              </w:tc>
              <w:tc>
                <w:tcPr>
                  <w:tcW w:w="1581" w:type="pct"/>
                  <w:noWrap w:val="0"/>
                  <w:vAlign w:val="center"/>
                </w:tcPr>
                <w:p w14:paraId="677438B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pacing w:val="-2"/>
                      <w:sz w:val="21"/>
                      <w:szCs w:val="21"/>
                      <w:lang w:val="en-US" w:eastAsia="zh-CN"/>
                    </w:rPr>
                    <w:t>且不属于</w:t>
                  </w:r>
                  <w:r>
                    <w:rPr>
                      <w:rFonts w:hint="default" w:ascii="Times New Roman" w:hAnsi="Times New Roman" w:eastAsia="宋体" w:cs="Times New Roman"/>
                      <w:color w:val="000000" w:themeColor="text1"/>
                      <w:sz w:val="21"/>
                      <w:szCs w:val="21"/>
                      <w:lang w:bidi="ar-SA"/>
                    </w:rPr>
                    <w:t>化工园区和</w:t>
                  </w:r>
                  <w:r>
                    <w:rPr>
                      <w:rFonts w:hint="default" w:ascii="Times New Roman" w:hAnsi="Times New Roman" w:eastAsia="宋体" w:cs="Times New Roman"/>
                      <w:color w:val="000000" w:themeColor="text1"/>
                      <w:spacing w:val="-1"/>
                      <w:sz w:val="21"/>
                      <w:szCs w:val="21"/>
                    </w:rPr>
                    <w:t>化工项目</w:t>
                  </w:r>
                  <w:r>
                    <w:rPr>
                      <w:rFonts w:hint="default" w:ascii="Times New Roman" w:hAnsi="Times New Roman" w:eastAsia="宋体" w:cs="Times New Roman"/>
                      <w:color w:val="000000" w:themeColor="text1"/>
                      <w:spacing w:val="-1"/>
                      <w:sz w:val="21"/>
                      <w:szCs w:val="21"/>
                      <w:lang w:eastAsia="zh-CN"/>
                    </w:rPr>
                    <w:t>。</w:t>
                  </w:r>
                </w:p>
              </w:tc>
              <w:tc>
                <w:tcPr>
                  <w:tcW w:w="409" w:type="pct"/>
                  <w:noWrap w:val="0"/>
                  <w:vAlign w:val="center"/>
                </w:tcPr>
                <w:p w14:paraId="6A56021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219C6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F9B9928">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7C9E99B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63C61CB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pacing w:val="-1"/>
                      <w:sz w:val="21"/>
                      <w:szCs w:val="21"/>
                    </w:rPr>
                    <w:t>⑤</w:t>
                  </w:r>
                  <w:r>
                    <w:rPr>
                      <w:rFonts w:hint="default" w:ascii="Times New Roman" w:hAnsi="Times New Roman" w:eastAsia="宋体" w:cs="Times New Roman"/>
                      <w:color w:val="000000" w:themeColor="text1"/>
                      <w:spacing w:val="-2"/>
                      <w:sz w:val="21"/>
                      <w:szCs w:val="21"/>
                    </w:rPr>
                    <w:t>禁止在长江干支流岸线三公里范围内和重要支流岸线一公里范围内新建、改建、扩建尾矿库、冶炼渣库和磷石膏库，以提升安全、生态环境保护水平为目的改建除外。</w:t>
                  </w:r>
                </w:p>
              </w:tc>
              <w:tc>
                <w:tcPr>
                  <w:tcW w:w="1581" w:type="pct"/>
                  <w:noWrap w:val="0"/>
                  <w:vAlign w:val="center"/>
                </w:tcPr>
                <w:p w14:paraId="4095DB4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spacing w:val="-2"/>
                      <w:sz w:val="21"/>
                      <w:szCs w:val="21"/>
                      <w:lang w:val="en-US" w:eastAsia="zh-CN"/>
                    </w:rPr>
                    <w:t>不</w:t>
                  </w:r>
                  <w:r>
                    <w:rPr>
                      <w:rFonts w:hint="default" w:ascii="Times New Roman" w:hAnsi="Times New Roman" w:eastAsia="宋体" w:cs="Times New Roman"/>
                      <w:color w:val="000000" w:themeColor="text1"/>
                      <w:kern w:val="0"/>
                      <w:sz w:val="21"/>
                      <w:szCs w:val="21"/>
                    </w:rPr>
                    <w:t>属于</w:t>
                  </w:r>
                  <w:r>
                    <w:rPr>
                      <w:rFonts w:hint="default" w:ascii="Times New Roman" w:hAnsi="Times New Roman" w:eastAsia="宋体" w:cs="Times New Roman"/>
                      <w:color w:val="000000" w:themeColor="text1"/>
                      <w:spacing w:val="-2"/>
                      <w:sz w:val="21"/>
                      <w:szCs w:val="21"/>
                    </w:rPr>
                    <w:t>尾矿库、冶炼渣库和磷石膏库项目</w:t>
                  </w:r>
                  <w:r>
                    <w:rPr>
                      <w:rFonts w:hint="default" w:ascii="Times New Roman" w:hAnsi="Times New Roman" w:eastAsia="宋体" w:cs="Times New Roman"/>
                      <w:color w:val="000000" w:themeColor="text1"/>
                      <w:spacing w:val="-2"/>
                      <w:sz w:val="21"/>
                      <w:szCs w:val="21"/>
                      <w:lang w:eastAsia="zh-CN"/>
                    </w:rPr>
                    <w:t>。</w:t>
                  </w:r>
                </w:p>
              </w:tc>
              <w:tc>
                <w:tcPr>
                  <w:tcW w:w="409" w:type="pct"/>
                  <w:noWrap w:val="0"/>
                  <w:vAlign w:val="center"/>
                </w:tcPr>
                <w:p w14:paraId="6EBEEFB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04BCCC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81FA3F5">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7E8130BD">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4C513D6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⑥</w:t>
                  </w:r>
                  <w:r>
                    <w:rPr>
                      <w:rFonts w:hint="default" w:ascii="Times New Roman" w:hAnsi="Times New Roman" w:eastAsia="宋体" w:cs="Times New Roman"/>
                      <w:color w:val="000000" w:themeColor="text1"/>
                      <w:spacing w:val="-1"/>
                      <w:sz w:val="21"/>
                      <w:szCs w:val="21"/>
                    </w:rPr>
                    <w:t>沿江一公里外新建、改建、扩建化工项目应与“三线一单”相协调，并符合相关规划及环评要求。新建化工项目应采取先进适用的工艺技术和装备，单位产品能耗、物耗和水耗及污染物排放等达到先进水平。</w:t>
                  </w:r>
                </w:p>
              </w:tc>
              <w:tc>
                <w:tcPr>
                  <w:tcW w:w="1581" w:type="pct"/>
                  <w:noWrap w:val="0"/>
                  <w:vAlign w:val="center"/>
                </w:tcPr>
                <w:p w14:paraId="379964C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本项目不属于化工项目</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42791D1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76B93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8A980C0">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68C6EE1D">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0874351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⑦禁止引入不符合园区主导产业，且生产工艺、设备、污染治理技术等达不到清洁生产国内先进水平的、不符合环保相关要求的“两高”项目。</w:t>
                  </w:r>
                </w:p>
              </w:tc>
              <w:tc>
                <w:tcPr>
                  <w:tcW w:w="1581" w:type="pct"/>
                  <w:noWrap w:val="0"/>
                  <w:vAlign w:val="center"/>
                </w:tcPr>
                <w:p w14:paraId="425C7ED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项目符合园区主导产业</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且不属于不符合环保相关要求的“两高”项目</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25DDE58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629D5E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42B6391">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kern w:val="0"/>
                      <w:sz w:val="21"/>
                      <w:szCs w:val="21"/>
                    </w:rPr>
                  </w:pPr>
                </w:p>
              </w:tc>
              <w:tc>
                <w:tcPr>
                  <w:tcW w:w="936" w:type="pct"/>
                  <w:vMerge w:val="continue"/>
                  <w:noWrap w:val="0"/>
                  <w:vAlign w:val="center"/>
                </w:tcPr>
                <w:p w14:paraId="348ED46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1668" w:type="pct"/>
                  <w:noWrap w:val="0"/>
                  <w:vAlign w:val="center"/>
                </w:tcPr>
                <w:p w14:paraId="60D8952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⑧禁止新建、扩建不符合国家石化、现代煤化工等产业布局规划的项目，严禁已淘汰落后产能异地落户、办厂进园。</w:t>
                  </w:r>
                </w:p>
              </w:tc>
              <w:tc>
                <w:tcPr>
                  <w:tcW w:w="1581" w:type="pct"/>
                  <w:noWrap w:val="0"/>
                  <w:vAlign w:val="center"/>
                </w:tcPr>
                <w:p w14:paraId="39D30FDB">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项目不属于新建、扩建</w:t>
                  </w:r>
                  <w:r>
                    <w:rPr>
                      <w:rFonts w:hint="default" w:ascii="Times New Roman" w:hAnsi="Times New Roman" w:eastAsia="宋体" w:cs="Times New Roman"/>
                      <w:color w:val="000000" w:themeColor="text1"/>
                      <w:kern w:val="0"/>
                      <w:sz w:val="21"/>
                      <w:szCs w:val="21"/>
                      <w:lang w:val="en-US" w:eastAsia="zh-CN"/>
                    </w:rPr>
                    <w:t>不</w:t>
                  </w:r>
                  <w:r>
                    <w:rPr>
                      <w:rFonts w:hint="default" w:ascii="Times New Roman" w:hAnsi="Times New Roman" w:eastAsia="宋体" w:cs="Times New Roman"/>
                      <w:color w:val="000000" w:themeColor="text1"/>
                      <w:kern w:val="0"/>
                      <w:sz w:val="21"/>
                      <w:szCs w:val="21"/>
                    </w:rPr>
                    <w:t>符合国家石化、现代煤化工等产业布局规划的项目</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20BF9EB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470A4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7FDDE6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vMerge w:val="restart"/>
                  <w:noWrap w:val="0"/>
                  <w:vAlign w:val="center"/>
                </w:tcPr>
                <w:p w14:paraId="0495A9E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限制开发建设活动的要求</w:t>
                  </w:r>
                </w:p>
              </w:tc>
              <w:tc>
                <w:tcPr>
                  <w:tcW w:w="1668" w:type="pct"/>
                  <w:noWrap w:val="0"/>
                  <w:vAlign w:val="center"/>
                </w:tcPr>
                <w:p w14:paraId="6EF9E9EC">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①与主导产业相关的“两高”类项目需按照国家及江西省相关政策要求严格控制引入，并经过环境影响充分论证。</w:t>
                  </w:r>
                </w:p>
              </w:tc>
              <w:tc>
                <w:tcPr>
                  <w:tcW w:w="1581" w:type="pct"/>
                  <w:noWrap w:val="0"/>
                  <w:vAlign w:val="center"/>
                </w:tcPr>
                <w:p w14:paraId="29906B7D">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本</w:t>
                  </w:r>
                  <w:r>
                    <w:rPr>
                      <w:rFonts w:hint="default" w:ascii="Times New Roman" w:hAnsi="Times New Roman" w:eastAsia="宋体" w:cs="Times New Roman"/>
                      <w:color w:val="000000" w:themeColor="text1"/>
                      <w:sz w:val="21"/>
                      <w:szCs w:val="21"/>
                    </w:rPr>
                    <w:t>项目不属于与主导产业相关的“两高”类项目</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01F3D161">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41609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73AE3DC">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textAlignment w:val="auto"/>
                    <w:rPr>
                      <w:rFonts w:hint="default" w:ascii="Times New Roman" w:hAnsi="Times New Roman" w:eastAsia="宋体" w:cs="Times New Roman"/>
                      <w:color w:val="000000" w:themeColor="text1"/>
                      <w:sz w:val="21"/>
                      <w:szCs w:val="21"/>
                    </w:rPr>
                  </w:pPr>
                </w:p>
              </w:tc>
              <w:tc>
                <w:tcPr>
                  <w:tcW w:w="936" w:type="pct"/>
                  <w:vMerge w:val="continue"/>
                  <w:noWrap w:val="0"/>
                  <w:vAlign w:val="center"/>
                </w:tcPr>
                <w:p w14:paraId="4FEFDD62">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1668" w:type="pct"/>
                  <w:noWrap w:val="0"/>
                  <w:vAlign w:val="center"/>
                </w:tcPr>
                <w:p w14:paraId="5177812E">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②严格限制新建剧毒化学品生产项目，严格控制涉及光气、氯气、氨气等有毒气体，硝酸铵、硝基胍、氯酸铵等爆炸危险性化学品，涉及硝化等危险工艺的高风险化工项目。</w:t>
                  </w:r>
                </w:p>
              </w:tc>
              <w:tc>
                <w:tcPr>
                  <w:tcW w:w="1581" w:type="pct"/>
                  <w:noWrap w:val="0"/>
                  <w:vAlign w:val="center"/>
                </w:tcPr>
                <w:p w14:paraId="47F6CAE9">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本</w:t>
                  </w:r>
                  <w:r>
                    <w:rPr>
                      <w:rFonts w:hint="default" w:ascii="Times New Roman" w:hAnsi="Times New Roman" w:eastAsia="宋体" w:cs="Times New Roman"/>
                      <w:color w:val="000000" w:themeColor="text1"/>
                      <w:sz w:val="21"/>
                      <w:szCs w:val="21"/>
                    </w:rPr>
                    <w:t>项目不</w:t>
                  </w:r>
                  <w:r>
                    <w:rPr>
                      <w:rFonts w:hint="default" w:ascii="Times New Roman" w:hAnsi="Times New Roman" w:eastAsia="宋体" w:cs="Times New Roman"/>
                      <w:color w:val="000000" w:themeColor="text1"/>
                      <w:sz w:val="21"/>
                      <w:szCs w:val="21"/>
                      <w:lang w:val="en-US" w:eastAsia="zh-CN"/>
                    </w:rPr>
                    <w:t>属于</w:t>
                  </w:r>
                  <w:r>
                    <w:rPr>
                      <w:rFonts w:hint="default" w:ascii="Times New Roman" w:hAnsi="Times New Roman" w:eastAsia="宋体" w:cs="Times New Roman"/>
                      <w:color w:val="000000" w:themeColor="text1"/>
                      <w:sz w:val="21"/>
                      <w:szCs w:val="21"/>
                    </w:rPr>
                    <w:t>剧毒化学品生产项目</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15233A68">
                  <w:pPr>
                    <w:pStyle w:val="12"/>
                    <w:keepNext w:val="0"/>
                    <w:keepLines w:val="0"/>
                    <w:pageBreakBefore w:val="0"/>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435D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1A02D7F1">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污染物排放管控</w:t>
                  </w:r>
                </w:p>
              </w:tc>
              <w:tc>
                <w:tcPr>
                  <w:tcW w:w="936" w:type="pct"/>
                  <w:noWrap w:val="0"/>
                  <w:vAlign w:val="center"/>
                </w:tcPr>
                <w:p w14:paraId="33F65443">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现有源提标升级改造</w:t>
                  </w:r>
                </w:p>
              </w:tc>
              <w:tc>
                <w:tcPr>
                  <w:tcW w:w="1668" w:type="pct"/>
                  <w:noWrap w:val="0"/>
                  <w:vAlign w:val="center"/>
                </w:tcPr>
                <w:p w14:paraId="4D29B7F3">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现有企业提标改造，优化转型升级，不断提高清洁生产水平。</w:t>
                  </w:r>
                </w:p>
              </w:tc>
              <w:tc>
                <w:tcPr>
                  <w:tcW w:w="1581" w:type="pct"/>
                  <w:noWrap w:val="0"/>
                  <w:vAlign w:val="center"/>
                </w:tcPr>
                <w:p w14:paraId="64030041">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409" w:type="pct"/>
                  <w:noWrap w:val="0"/>
                  <w:vAlign w:val="center"/>
                </w:tcPr>
                <w:p w14:paraId="602D244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r w14:paraId="1725CB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BE694B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114F72F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新增源等量或倍量替代</w:t>
                  </w:r>
                </w:p>
              </w:tc>
              <w:tc>
                <w:tcPr>
                  <w:tcW w:w="1668" w:type="pct"/>
                  <w:noWrap w:val="0"/>
                  <w:vAlign w:val="center"/>
                </w:tcPr>
                <w:p w14:paraId="3171EAB3">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新建、扩建、改建项目污染物排放量符合总量控制指标要求。</w:t>
                  </w:r>
                </w:p>
              </w:tc>
              <w:tc>
                <w:tcPr>
                  <w:tcW w:w="1581" w:type="pct"/>
                  <w:noWrap w:val="0"/>
                  <w:vAlign w:val="center"/>
                </w:tcPr>
                <w:p w14:paraId="3BBB1BB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项目污染物排放量符合总量控制指标要求</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14F6CF1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328FC3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3270CD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vMerge w:val="restart"/>
                  <w:noWrap w:val="0"/>
                  <w:vAlign w:val="center"/>
                </w:tcPr>
                <w:p w14:paraId="4339078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新增源排放标准限值</w:t>
                  </w:r>
                </w:p>
              </w:tc>
              <w:tc>
                <w:tcPr>
                  <w:tcW w:w="1668" w:type="pct"/>
                  <w:noWrap w:val="0"/>
                  <w:vAlign w:val="center"/>
                </w:tcPr>
                <w:p w14:paraId="0092A701">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①新建、改建、扩建排放废水的项目，废水必须经预处理达到园区污水处理厂接管要求，其中一类污染物需在车间或污染治理设施排口处达标；</w:t>
                  </w:r>
                </w:p>
              </w:tc>
              <w:tc>
                <w:tcPr>
                  <w:tcW w:w="1581" w:type="pct"/>
                  <w:noWrap w:val="0"/>
                  <w:vAlign w:val="center"/>
                </w:tcPr>
                <w:p w14:paraId="0D5767A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本</w:t>
                  </w:r>
                  <w:r>
                    <w:rPr>
                      <w:rFonts w:hint="default" w:ascii="Times New Roman" w:hAnsi="Times New Roman" w:eastAsia="宋体" w:cs="Times New Roman"/>
                      <w:color w:val="000000" w:themeColor="text1"/>
                      <w:sz w:val="21"/>
                      <w:szCs w:val="21"/>
                    </w:rPr>
                    <w:t>项目</w:t>
                  </w:r>
                  <w:r>
                    <w:rPr>
                      <w:rFonts w:hint="default" w:ascii="Times New Roman" w:hAnsi="Times New Roman" w:eastAsia="宋体" w:cs="Times New Roman"/>
                      <w:color w:val="000000" w:themeColor="text1"/>
                      <w:sz w:val="21"/>
                      <w:szCs w:val="21"/>
                      <w:lang w:val="en-US" w:eastAsia="zh-CN"/>
                    </w:rPr>
                    <w:t>外排废水为</w:t>
                  </w:r>
                  <w:r>
                    <w:rPr>
                      <w:rFonts w:hint="eastAsia" w:ascii="Times New Roman" w:hAnsi="Times New Roman" w:eastAsia="宋体" w:cs="Times New Roman"/>
                      <w:color w:val="000000" w:themeColor="text1"/>
                      <w:sz w:val="21"/>
                      <w:szCs w:val="21"/>
                      <w:lang w:val="en-US" w:eastAsia="zh-CN"/>
                    </w:rPr>
                    <w:t>地面清洗水</w:t>
                  </w:r>
                  <w:r>
                    <w:rPr>
                      <w:rFonts w:hint="default" w:ascii="Times New Roman" w:hAnsi="Times New Roman" w:eastAsia="宋体" w:cs="Times New Roman"/>
                      <w:color w:val="000000" w:themeColor="text1"/>
                      <w:sz w:val="21"/>
                      <w:szCs w:val="21"/>
                      <w:lang w:val="en-US" w:eastAsia="zh-CN"/>
                    </w:rPr>
                    <w:t>，废水经预处理</w:t>
                  </w:r>
                  <w:r>
                    <w:rPr>
                      <w:rFonts w:hint="default" w:ascii="Times New Roman" w:hAnsi="Times New Roman" w:eastAsia="宋体" w:cs="Times New Roman"/>
                      <w:color w:val="000000" w:themeColor="text1"/>
                      <w:sz w:val="21"/>
                      <w:szCs w:val="21"/>
                    </w:rPr>
                    <w:t>后满足园区污水处理厂接管要求</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31F9D5D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49967B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04D506E1">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sz w:val="21"/>
                      <w:szCs w:val="21"/>
                    </w:rPr>
                  </w:pPr>
                </w:p>
              </w:tc>
              <w:tc>
                <w:tcPr>
                  <w:tcW w:w="936" w:type="pct"/>
                  <w:vMerge w:val="continue"/>
                  <w:noWrap w:val="0"/>
                  <w:vAlign w:val="center"/>
                </w:tcPr>
                <w:p w14:paraId="5F4DBCB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1668" w:type="pct"/>
                  <w:noWrap w:val="0"/>
                  <w:vAlign w:val="center"/>
                </w:tcPr>
                <w:p w14:paraId="5827660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②新建、改建、扩建污水集中处理设施的出水水质应当达到《城镇污水处理厂污染物排放标准》（GB18918-2002）一级A标准；</w:t>
                  </w:r>
                </w:p>
              </w:tc>
              <w:tc>
                <w:tcPr>
                  <w:tcW w:w="1581" w:type="pct"/>
                  <w:noWrap w:val="0"/>
                  <w:vAlign w:val="center"/>
                </w:tcPr>
                <w:p w14:paraId="1C780F0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409" w:type="pct"/>
                  <w:noWrap w:val="0"/>
                  <w:vAlign w:val="center"/>
                </w:tcPr>
                <w:p w14:paraId="14B732B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14:paraId="5017D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524D03A">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sz w:val="21"/>
                      <w:szCs w:val="21"/>
                    </w:rPr>
                  </w:pPr>
                </w:p>
              </w:tc>
              <w:tc>
                <w:tcPr>
                  <w:tcW w:w="936" w:type="pct"/>
                  <w:vMerge w:val="continue"/>
                  <w:noWrap w:val="0"/>
                  <w:vAlign w:val="center"/>
                </w:tcPr>
                <w:p w14:paraId="6298F473">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1668" w:type="pct"/>
                  <w:noWrap w:val="0"/>
                  <w:vAlign w:val="center"/>
                </w:tcPr>
                <w:p w14:paraId="0D61707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rPr>
                    <w:t>③严格控制五类重金属外排</w:t>
                  </w:r>
                  <w:r>
                    <w:rPr>
                      <w:rFonts w:hint="default" w:ascii="Times New Roman" w:hAnsi="Times New Roman" w:eastAsia="宋体" w:cs="Times New Roman"/>
                      <w:color w:val="000000" w:themeColor="text1"/>
                      <w:kern w:val="0"/>
                      <w:sz w:val="21"/>
                      <w:szCs w:val="21"/>
                      <w:lang w:eastAsia="zh-CN"/>
                    </w:rPr>
                    <w:t>；</w:t>
                  </w:r>
                </w:p>
              </w:tc>
              <w:tc>
                <w:tcPr>
                  <w:tcW w:w="1581" w:type="pct"/>
                  <w:noWrap w:val="0"/>
                  <w:vAlign w:val="center"/>
                </w:tcPr>
                <w:p w14:paraId="5235106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本项目不涉及重金属</w:t>
                  </w:r>
                  <w:r>
                    <w:rPr>
                      <w:rFonts w:hint="default" w:ascii="Times New Roman" w:hAnsi="Times New Roman" w:eastAsia="宋体" w:cs="Times New Roman"/>
                      <w:color w:val="000000" w:themeColor="text1"/>
                      <w:sz w:val="21"/>
                      <w:szCs w:val="21"/>
                      <w:lang w:val="en-US" w:eastAsia="zh-CN"/>
                    </w:rPr>
                    <w:t>外排</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1279E58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B30B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4A8EF6A">
                  <w:pPr>
                    <w:keepNext w:val="0"/>
                    <w:keepLines w:val="0"/>
                    <w:pageBreakBefore w:val="0"/>
                    <w:widowControl/>
                    <w:kinsoku/>
                    <w:wordWrap/>
                    <w:overflowPunct/>
                    <w:topLinePunct w:val="0"/>
                    <w:autoSpaceDE/>
                    <w:autoSpaceDN/>
                    <w:bidi w:val="0"/>
                    <w:adjustRightInd/>
                    <w:snapToGrid w:val="0"/>
                    <w:spacing w:line="240" w:lineRule="auto"/>
                    <w:ind w:right="0" w:firstLine="0" w:firstLineChars="0"/>
                    <w:textAlignment w:val="auto"/>
                    <w:rPr>
                      <w:rFonts w:hint="default" w:ascii="Times New Roman" w:hAnsi="Times New Roman" w:eastAsia="宋体" w:cs="Times New Roman"/>
                      <w:color w:val="000000" w:themeColor="text1"/>
                      <w:sz w:val="21"/>
                      <w:szCs w:val="21"/>
                    </w:rPr>
                  </w:pPr>
                </w:p>
              </w:tc>
              <w:tc>
                <w:tcPr>
                  <w:tcW w:w="936" w:type="pct"/>
                  <w:vMerge w:val="continue"/>
                  <w:noWrap w:val="0"/>
                  <w:vAlign w:val="center"/>
                </w:tcPr>
                <w:p w14:paraId="074BA35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1668" w:type="pct"/>
                  <w:noWrap w:val="0"/>
                  <w:vAlign w:val="center"/>
                </w:tcPr>
                <w:p w14:paraId="5CD9419B">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④</w:t>
                  </w:r>
                  <w:r>
                    <w:rPr>
                      <w:rFonts w:hint="default" w:ascii="Times New Roman" w:hAnsi="Times New Roman" w:eastAsia="宋体" w:cs="Times New Roman"/>
                      <w:color w:val="000000" w:themeColor="text1"/>
                      <w:kern w:val="0"/>
                      <w:sz w:val="21"/>
                      <w:szCs w:val="21"/>
                    </w:rPr>
                    <w:t>有色金属等</w:t>
                  </w:r>
                  <w:r>
                    <w:rPr>
                      <w:rFonts w:hint="default" w:ascii="Times New Roman" w:hAnsi="Times New Roman" w:eastAsia="宋体" w:cs="Times New Roman"/>
                      <w:color w:val="000000" w:themeColor="text1"/>
                      <w:sz w:val="21"/>
                      <w:szCs w:val="21"/>
                    </w:rPr>
                    <w:t>重点行业建设项目新建、改建、扩建</w:t>
                  </w:r>
                  <w:r>
                    <w:rPr>
                      <w:rFonts w:hint="default" w:ascii="Times New Roman" w:hAnsi="Times New Roman" w:eastAsia="宋体" w:cs="Times New Roman"/>
                      <w:color w:val="000000" w:themeColor="text1"/>
                      <w:spacing w:val="-1"/>
                      <w:sz w:val="21"/>
                      <w:szCs w:val="21"/>
                    </w:rPr>
                    <w:t>实施主要水污染排</w:t>
                  </w:r>
                  <w:r>
                    <w:rPr>
                      <w:rFonts w:hint="default" w:ascii="Times New Roman" w:hAnsi="Times New Roman" w:eastAsia="宋体" w:cs="Times New Roman"/>
                      <w:color w:val="000000" w:themeColor="text1"/>
                      <w:sz w:val="21"/>
                      <w:szCs w:val="21"/>
                    </w:rPr>
                    <w:t>放总量等量或减量置换。</w:t>
                  </w:r>
                </w:p>
              </w:tc>
              <w:tc>
                <w:tcPr>
                  <w:tcW w:w="1581" w:type="pct"/>
                  <w:noWrap w:val="0"/>
                  <w:vAlign w:val="center"/>
                </w:tcPr>
                <w:p w14:paraId="3376EC8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rPr>
                    <w:t>本项目不属于有色金属等</w:t>
                  </w:r>
                  <w:r>
                    <w:rPr>
                      <w:rFonts w:hint="default" w:ascii="Times New Roman" w:hAnsi="Times New Roman" w:eastAsia="宋体" w:cs="Times New Roman"/>
                      <w:color w:val="000000" w:themeColor="text1"/>
                      <w:sz w:val="21"/>
                      <w:szCs w:val="21"/>
                    </w:rPr>
                    <w:t>重点行业建设项目</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3A8A3A5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7ED9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6CBE595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6CA48C8D">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污染物排放绩效水平准入要求</w:t>
                  </w:r>
                </w:p>
              </w:tc>
              <w:tc>
                <w:tcPr>
                  <w:tcW w:w="1668" w:type="pct"/>
                  <w:noWrap w:val="0"/>
                  <w:vAlign w:val="center"/>
                </w:tcPr>
                <w:p w14:paraId="45FC6C95">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现有保留的化工行业等应达到相应行业准入要求和清洁生产二级及以上水平。</w:t>
                  </w:r>
                </w:p>
                <w:p w14:paraId="621F0C25">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园区现有化工产业能效水平在规划末期达到“发改产业〔2021〕1609号”中标杆水平。</w:t>
                  </w:r>
                </w:p>
              </w:tc>
              <w:tc>
                <w:tcPr>
                  <w:tcW w:w="1581" w:type="pct"/>
                  <w:noWrap w:val="0"/>
                  <w:vAlign w:val="center"/>
                </w:tcPr>
                <w:p w14:paraId="2CF75EDE">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本项目不属于化工行业</w:t>
                  </w:r>
                  <w:r>
                    <w:rPr>
                      <w:rFonts w:hint="default" w:ascii="Times New Roman" w:hAnsi="Times New Roman" w:eastAsia="宋体" w:cs="Times New Roman"/>
                      <w:color w:val="000000" w:themeColor="text1"/>
                      <w:sz w:val="21"/>
                      <w:szCs w:val="21"/>
                      <w:lang w:val="en-US" w:eastAsia="zh-CN"/>
                    </w:rPr>
                    <w:t>项目</w:t>
                  </w:r>
                  <w:r>
                    <w:rPr>
                      <w:rFonts w:hint="default" w:ascii="Times New Roman" w:hAnsi="Times New Roman" w:eastAsia="宋体" w:cs="Times New Roman"/>
                      <w:color w:val="000000" w:themeColor="text1"/>
                      <w:sz w:val="21"/>
                      <w:szCs w:val="21"/>
                      <w:lang w:eastAsia="zh-CN"/>
                    </w:rPr>
                    <w:t>。</w:t>
                  </w:r>
                </w:p>
              </w:tc>
              <w:tc>
                <w:tcPr>
                  <w:tcW w:w="409" w:type="pct"/>
                  <w:noWrap w:val="0"/>
                  <w:vAlign w:val="center"/>
                </w:tcPr>
                <w:p w14:paraId="6EFDE539">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5074D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03CDAE01">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环境风险防控</w:t>
                  </w:r>
                </w:p>
              </w:tc>
              <w:tc>
                <w:tcPr>
                  <w:tcW w:w="936" w:type="pct"/>
                  <w:noWrap w:val="0"/>
                  <w:vAlign w:val="center"/>
                </w:tcPr>
                <w:p w14:paraId="2914ADE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用地环境风险防控要求</w:t>
                  </w:r>
                </w:p>
              </w:tc>
              <w:tc>
                <w:tcPr>
                  <w:tcW w:w="1668" w:type="pct"/>
                  <w:noWrap w:val="0"/>
                  <w:vAlign w:val="center"/>
                </w:tcPr>
                <w:p w14:paraId="3ADC99A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区内部分紧邻规划居住用地等环境敏感目标的工业用地，严格限制涉及使用剧毒化学品的企业进入。</w:t>
                  </w:r>
                </w:p>
              </w:tc>
              <w:tc>
                <w:tcPr>
                  <w:tcW w:w="1581" w:type="pct"/>
                  <w:noWrap w:val="0"/>
                  <w:vAlign w:val="center"/>
                </w:tcPr>
                <w:p w14:paraId="084649A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本项目不属于使用剧毒化学品</w:t>
                  </w:r>
                  <w:r>
                    <w:rPr>
                      <w:rFonts w:hint="default" w:ascii="Times New Roman" w:hAnsi="Times New Roman" w:eastAsia="宋体" w:cs="Times New Roman"/>
                      <w:color w:val="000000" w:themeColor="text1"/>
                      <w:kern w:val="0"/>
                      <w:sz w:val="21"/>
                      <w:szCs w:val="21"/>
                      <w:lang w:val="en-US" w:eastAsia="zh-CN"/>
                    </w:rPr>
                    <w:t>项目</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48EA86D5">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52DF2F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098E54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3164149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园区环境风险防控要求</w:t>
                  </w:r>
                </w:p>
              </w:tc>
              <w:tc>
                <w:tcPr>
                  <w:tcW w:w="1668" w:type="pct"/>
                  <w:noWrap w:val="0"/>
                  <w:vAlign w:val="center"/>
                </w:tcPr>
                <w:p w14:paraId="3BDBCB7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紧邻居住、行政等环境敏感点的工业用地，禁止新建环境风险等级高的建设项目。园区应建立三级环境风险防控体系。</w:t>
                  </w:r>
                </w:p>
              </w:tc>
              <w:tc>
                <w:tcPr>
                  <w:tcW w:w="1581" w:type="pct"/>
                  <w:noWrap w:val="0"/>
                  <w:vAlign w:val="center"/>
                </w:tcPr>
                <w:p w14:paraId="7C8EDC8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w:t>
                  </w:r>
                  <w:r>
                    <w:rPr>
                      <w:rFonts w:hint="default" w:ascii="Times New Roman" w:hAnsi="Times New Roman" w:eastAsia="宋体" w:cs="Times New Roman"/>
                      <w:color w:val="000000" w:themeColor="text1"/>
                      <w:kern w:val="0"/>
                      <w:sz w:val="21"/>
                      <w:szCs w:val="21"/>
                      <w:lang w:val="en-US" w:eastAsia="zh-CN"/>
                    </w:rPr>
                    <w:t>所在地</w:t>
                  </w:r>
                  <w:r>
                    <w:rPr>
                      <w:rFonts w:hint="default" w:ascii="Times New Roman" w:hAnsi="Times New Roman" w:eastAsia="宋体" w:cs="Times New Roman"/>
                      <w:color w:val="000000" w:themeColor="text1"/>
                      <w:kern w:val="0"/>
                      <w:sz w:val="21"/>
                      <w:szCs w:val="21"/>
                    </w:rPr>
                    <w:t>不属于紧邻居住、行政等环境敏感点的工业用地</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0EE0CE0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729FD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673E65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099D7CF9">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企业环境风险防控要求</w:t>
                  </w:r>
                </w:p>
              </w:tc>
              <w:tc>
                <w:tcPr>
                  <w:tcW w:w="1668" w:type="pct"/>
                  <w:noWrap w:val="0"/>
                  <w:vAlign w:val="center"/>
                </w:tcPr>
                <w:p w14:paraId="19798204">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新增或改扩建存在环境风险的项目，在建设项目环评阶段须重点开展环境风险评价，与项目周边环境敏感目标之前控制合理的风险控制距离，提出并落实风险防范措施及应急联动要求，编制应急预案，并与园区应急预案联动。</w:t>
                  </w:r>
                </w:p>
              </w:tc>
              <w:tc>
                <w:tcPr>
                  <w:tcW w:w="1581" w:type="pct"/>
                  <w:noWrap w:val="0"/>
                  <w:vAlign w:val="center"/>
                </w:tcPr>
                <w:p w14:paraId="47ADD4B0">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w:t>
                  </w:r>
                  <w:r>
                    <w:rPr>
                      <w:rFonts w:hint="default" w:ascii="Times New Roman" w:hAnsi="Times New Roman" w:eastAsia="宋体" w:cs="Times New Roman"/>
                      <w:color w:val="000000" w:themeColor="text1"/>
                      <w:kern w:val="0"/>
                      <w:sz w:val="21"/>
                      <w:szCs w:val="21"/>
                      <w:lang w:val="en-US" w:eastAsia="zh-CN"/>
                    </w:rPr>
                    <w:t>已</w:t>
                  </w:r>
                  <w:r>
                    <w:rPr>
                      <w:rFonts w:hint="default" w:ascii="Times New Roman" w:hAnsi="Times New Roman" w:eastAsia="宋体" w:cs="Times New Roman"/>
                      <w:color w:val="000000" w:themeColor="text1"/>
                      <w:kern w:val="0"/>
                      <w:sz w:val="21"/>
                      <w:szCs w:val="21"/>
                    </w:rPr>
                    <w:t>开展环境风险评价，与项目周边环境敏感目标之前控制合理的风险控制距离，提出并落实风险防范措施及应急联动要求，编制应急预案，并与园区应急预案联动。</w:t>
                  </w:r>
                </w:p>
              </w:tc>
              <w:tc>
                <w:tcPr>
                  <w:tcW w:w="409" w:type="pct"/>
                  <w:noWrap w:val="0"/>
                  <w:vAlign w:val="center"/>
                </w:tcPr>
                <w:p w14:paraId="46BF218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5118A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restart"/>
                  <w:noWrap w:val="0"/>
                  <w:vAlign w:val="center"/>
                </w:tcPr>
                <w:p w14:paraId="368226BD">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资源开发利用管控</w:t>
                  </w:r>
                </w:p>
              </w:tc>
              <w:tc>
                <w:tcPr>
                  <w:tcW w:w="936" w:type="pct"/>
                  <w:noWrap w:val="0"/>
                  <w:vAlign w:val="center"/>
                </w:tcPr>
                <w:p w14:paraId="13C1BE8C">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水资源利用效率要求</w:t>
                  </w:r>
                </w:p>
              </w:tc>
              <w:tc>
                <w:tcPr>
                  <w:tcW w:w="1668" w:type="pct"/>
                  <w:noWrap w:val="0"/>
                  <w:vAlign w:val="center"/>
                </w:tcPr>
                <w:p w14:paraId="68703F03">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单位工业增加值新鲜水耗≤8</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m</w:t>
                  </w:r>
                  <w:r>
                    <w:rPr>
                      <w:rFonts w:hint="default" w:ascii="Times New Roman" w:hAnsi="Times New Roman" w:eastAsia="宋体" w:cs="Times New Roman"/>
                      <w:color w:val="000000" w:themeColor="text1"/>
                      <w:kern w:val="0"/>
                      <w:sz w:val="21"/>
                      <w:szCs w:val="21"/>
                      <w:vertAlign w:val="superscript"/>
                    </w:rPr>
                    <w:t>3</w:t>
                  </w:r>
                  <w:r>
                    <w:rPr>
                      <w:rFonts w:hint="default" w:ascii="Times New Roman" w:hAnsi="Times New Roman" w:eastAsia="宋体" w:cs="Times New Roman"/>
                      <w:color w:val="000000" w:themeColor="text1"/>
                      <w:kern w:val="0"/>
                      <w:sz w:val="21"/>
                      <w:szCs w:val="21"/>
                    </w:rPr>
                    <w:t>/万元</w:t>
                  </w:r>
                  <w:r>
                    <w:rPr>
                      <w:rFonts w:hint="default" w:ascii="Times New Roman" w:hAnsi="Times New Roman" w:eastAsia="宋体" w:cs="Times New Roman"/>
                      <w:color w:val="000000" w:themeColor="text1"/>
                      <w:kern w:val="0"/>
                      <w:sz w:val="21"/>
                      <w:szCs w:val="21"/>
                      <w:lang w:eastAsia="zh-CN"/>
                    </w:rPr>
                    <w:t>）。</w:t>
                  </w:r>
                </w:p>
              </w:tc>
              <w:tc>
                <w:tcPr>
                  <w:tcW w:w="1581" w:type="pct"/>
                  <w:noWrap w:val="0"/>
                  <w:vAlign w:val="center"/>
                </w:tcPr>
                <w:p w14:paraId="2B0C93E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409" w:type="pct"/>
                  <w:noWrap w:val="0"/>
                  <w:vAlign w:val="center"/>
                </w:tcPr>
                <w:p w14:paraId="3D1344B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r w14:paraId="12D33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58F20C8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936" w:type="pct"/>
                  <w:noWrap w:val="0"/>
                  <w:vAlign w:val="center"/>
                </w:tcPr>
                <w:p w14:paraId="1C646289">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土地资源利用要求</w:t>
                  </w:r>
                </w:p>
              </w:tc>
              <w:tc>
                <w:tcPr>
                  <w:tcW w:w="1668" w:type="pct"/>
                  <w:noWrap w:val="0"/>
                  <w:vAlign w:val="center"/>
                </w:tcPr>
                <w:p w14:paraId="1117FB8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满足《江西省建设用地控制指标》（2018年）中的相关要求</w:t>
                  </w:r>
                  <w:r>
                    <w:rPr>
                      <w:rFonts w:hint="default" w:ascii="Times New Roman" w:hAnsi="Times New Roman" w:eastAsia="宋体" w:cs="Times New Roman"/>
                      <w:color w:val="000000" w:themeColor="text1"/>
                      <w:kern w:val="0"/>
                      <w:sz w:val="21"/>
                      <w:szCs w:val="21"/>
                      <w:lang w:eastAsia="zh-CN"/>
                    </w:rPr>
                    <w:t>。</w:t>
                  </w:r>
                </w:p>
              </w:tc>
              <w:tc>
                <w:tcPr>
                  <w:tcW w:w="1581" w:type="pct"/>
                  <w:noWrap w:val="0"/>
                  <w:vAlign w:val="center"/>
                </w:tcPr>
                <w:p w14:paraId="4E8A322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项目满足《江西省建设用地控制指标》（2018年）中的相关要求</w:t>
                  </w:r>
                  <w:r>
                    <w:rPr>
                      <w:rFonts w:hint="default" w:ascii="Times New Roman" w:hAnsi="Times New Roman" w:eastAsia="宋体" w:cs="Times New Roman"/>
                      <w:color w:val="000000" w:themeColor="text1"/>
                      <w:kern w:val="0"/>
                      <w:sz w:val="21"/>
                      <w:szCs w:val="21"/>
                      <w:lang w:eastAsia="zh-CN"/>
                    </w:rPr>
                    <w:t>。</w:t>
                  </w:r>
                </w:p>
              </w:tc>
              <w:tc>
                <w:tcPr>
                  <w:tcW w:w="409" w:type="pct"/>
                  <w:noWrap w:val="0"/>
                  <w:vAlign w:val="center"/>
                </w:tcPr>
                <w:p w14:paraId="081B1B5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11BF9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7D24A18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sz w:val="21"/>
                      <w:szCs w:val="21"/>
                    </w:rPr>
                  </w:pPr>
                </w:p>
              </w:tc>
              <w:tc>
                <w:tcPr>
                  <w:tcW w:w="936" w:type="pct"/>
                  <w:noWrap w:val="0"/>
                  <w:vAlign w:val="center"/>
                </w:tcPr>
                <w:p w14:paraId="1F9798CF">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能源利用效率要求</w:t>
                  </w:r>
                </w:p>
              </w:tc>
              <w:tc>
                <w:tcPr>
                  <w:tcW w:w="1668" w:type="pct"/>
                  <w:noWrap w:val="0"/>
                  <w:vAlign w:val="center"/>
                </w:tcPr>
                <w:p w14:paraId="1A6744CA">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单位工业增加值能耗≤0.50</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t标煤/万元</w:t>
                  </w:r>
                  <w:r>
                    <w:rPr>
                      <w:rFonts w:hint="default" w:ascii="Times New Roman" w:hAnsi="Times New Roman" w:eastAsia="宋体" w:cs="Times New Roman"/>
                      <w:color w:val="000000" w:themeColor="text1"/>
                      <w:kern w:val="0"/>
                      <w:sz w:val="21"/>
                      <w:szCs w:val="21"/>
                      <w:lang w:eastAsia="zh-CN"/>
                    </w:rPr>
                    <w:t>）。</w:t>
                  </w:r>
                </w:p>
              </w:tc>
              <w:tc>
                <w:tcPr>
                  <w:tcW w:w="1581" w:type="pct"/>
                  <w:noWrap w:val="0"/>
                  <w:vAlign w:val="center"/>
                </w:tcPr>
                <w:p w14:paraId="35FB248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409" w:type="pct"/>
                  <w:noWrap w:val="0"/>
                  <w:vAlign w:val="center"/>
                </w:tcPr>
                <w:p w14:paraId="3F10891C">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r w14:paraId="30103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4325A35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42492927">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禁止使用燃料</w:t>
                  </w:r>
                </w:p>
              </w:tc>
              <w:tc>
                <w:tcPr>
                  <w:tcW w:w="1668" w:type="pct"/>
                  <w:noWrap w:val="0"/>
                  <w:vAlign w:val="center"/>
                </w:tcPr>
                <w:p w14:paraId="55D6EE98">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禁止使用高污染燃料</w:t>
                  </w:r>
                  <w:r>
                    <w:rPr>
                      <w:rFonts w:hint="default" w:ascii="Times New Roman" w:hAnsi="Times New Roman" w:eastAsia="宋体" w:cs="Times New Roman"/>
                      <w:color w:val="000000" w:themeColor="text1"/>
                      <w:kern w:val="0"/>
                      <w:sz w:val="21"/>
                      <w:szCs w:val="21"/>
                      <w:lang w:eastAsia="zh-CN"/>
                    </w:rPr>
                    <w:t>。</w:t>
                  </w:r>
                </w:p>
              </w:tc>
              <w:tc>
                <w:tcPr>
                  <w:tcW w:w="1581" w:type="pct"/>
                  <w:noWrap w:val="0"/>
                  <w:vAlign w:val="center"/>
                </w:tcPr>
                <w:p w14:paraId="262AFE97">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w:t>
                  </w:r>
                  <w:r>
                    <w:rPr>
                      <w:rFonts w:hint="default" w:ascii="Times New Roman" w:hAnsi="Times New Roman" w:eastAsia="宋体" w:cs="Times New Roman"/>
                      <w:color w:val="000000" w:themeColor="text1"/>
                      <w:kern w:val="0"/>
                      <w:sz w:val="21"/>
                      <w:szCs w:val="21"/>
                      <w:lang w:eastAsia="zh-CN"/>
                    </w:rPr>
                    <w:t>使用</w:t>
                  </w:r>
                  <w:r>
                    <w:rPr>
                      <w:rFonts w:hint="default" w:ascii="Times New Roman" w:hAnsi="Times New Roman" w:eastAsia="宋体" w:cs="Times New Roman"/>
                      <w:color w:val="000000" w:themeColor="text1"/>
                      <w:kern w:val="0"/>
                      <w:sz w:val="21"/>
                      <w:szCs w:val="21"/>
                      <w:lang w:val="en-US" w:eastAsia="zh-CN"/>
                    </w:rPr>
                    <w:t>能源主要为</w:t>
                  </w:r>
                  <w:r>
                    <w:rPr>
                      <w:rFonts w:hint="default" w:ascii="Times New Roman" w:hAnsi="Times New Roman" w:eastAsia="宋体" w:cs="Times New Roman"/>
                      <w:color w:val="000000" w:themeColor="text1"/>
                      <w:kern w:val="0"/>
                      <w:sz w:val="21"/>
                      <w:szCs w:val="21"/>
                      <w:lang w:eastAsia="zh-CN"/>
                    </w:rPr>
                    <w:t>电能，</w:t>
                  </w:r>
                  <w:r>
                    <w:rPr>
                      <w:rFonts w:hint="default" w:ascii="Times New Roman" w:hAnsi="Times New Roman" w:eastAsia="宋体" w:cs="Times New Roman"/>
                      <w:color w:val="000000" w:themeColor="text1"/>
                      <w:kern w:val="0"/>
                      <w:sz w:val="21"/>
                      <w:szCs w:val="21"/>
                      <w:lang w:val="en-US" w:eastAsia="zh-CN"/>
                    </w:rPr>
                    <w:t>不使用高污染燃料。</w:t>
                  </w:r>
                </w:p>
              </w:tc>
              <w:tc>
                <w:tcPr>
                  <w:tcW w:w="409" w:type="pct"/>
                  <w:noWrap w:val="0"/>
                  <w:vAlign w:val="center"/>
                </w:tcPr>
                <w:p w14:paraId="32C004C2">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符合</w:t>
                  </w:r>
                </w:p>
              </w:tc>
            </w:tr>
            <w:tr w14:paraId="5F8D23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3" w:type="pct"/>
                  <w:vMerge w:val="continue"/>
                  <w:noWrap w:val="0"/>
                  <w:vAlign w:val="center"/>
                </w:tcPr>
                <w:p w14:paraId="1E4A83DF">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p>
              </w:tc>
              <w:tc>
                <w:tcPr>
                  <w:tcW w:w="936" w:type="pct"/>
                  <w:noWrap w:val="0"/>
                  <w:vAlign w:val="center"/>
                </w:tcPr>
                <w:p w14:paraId="39EB591E">
                  <w:pPr>
                    <w:keepNext w:val="0"/>
                    <w:keepLines w:val="0"/>
                    <w:pageBreakBefore w:val="0"/>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二氧化碳排放总量及强度</w:t>
                  </w:r>
                </w:p>
              </w:tc>
              <w:tc>
                <w:tcPr>
                  <w:tcW w:w="1668" w:type="pct"/>
                  <w:noWrap w:val="0"/>
                  <w:vAlign w:val="center"/>
                </w:tcPr>
                <w:p w14:paraId="0C88A97E">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满足政府相关部门下发的目标指标要求。</w:t>
                  </w:r>
                </w:p>
              </w:tc>
              <w:tc>
                <w:tcPr>
                  <w:tcW w:w="1581" w:type="pct"/>
                  <w:noWrap w:val="0"/>
                  <w:vAlign w:val="center"/>
                </w:tcPr>
                <w:p w14:paraId="14C1E42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409" w:type="pct"/>
                  <w:noWrap w:val="0"/>
                  <w:vAlign w:val="center"/>
                </w:tcPr>
                <w:p w14:paraId="5078DC96">
                  <w:pPr>
                    <w:keepNext w:val="0"/>
                    <w:keepLines w:val="0"/>
                    <w:pageBreakBefore w:val="0"/>
                    <w:widowControl/>
                    <w:kinsoku/>
                    <w:wordWrap/>
                    <w:overflowPunct/>
                    <w:topLinePunct w:val="0"/>
                    <w:autoSpaceDE/>
                    <w:autoSpaceDN/>
                    <w:bidi w:val="0"/>
                    <w:adjustRightInd/>
                    <w:snapToGrid w:val="0"/>
                    <w:spacing w:line="240" w:lineRule="auto"/>
                    <w:ind w:right="0"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r>
          </w:tbl>
          <w:p w14:paraId="0E09EFF3">
            <w:pPr>
              <w:pStyle w:val="79"/>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Times New Roman" w:hAnsi="Times New Roman" w:cs="Times New Roman"/>
                <w:bCs/>
                <w:color w:val="000000" w:themeColor="text1"/>
                <w:sz w:val="24"/>
                <w:szCs w:val="24"/>
              </w:rPr>
            </w:pPr>
            <w:r>
              <w:rPr>
                <w:rFonts w:hint="eastAsia" w:ascii="Times New Roman" w:hAnsi="Times New Roman" w:cs="Times New Roman"/>
                <w:color w:val="000000" w:themeColor="text1"/>
                <w:sz w:val="24"/>
                <w:szCs w:val="24"/>
                <w:lang w:val="en-US" w:eastAsia="zh-CN"/>
              </w:rPr>
              <w:t>综上所述，</w:t>
            </w:r>
            <w:r>
              <w:rPr>
                <w:rFonts w:ascii="Times New Roman" w:hAnsi="Times New Roman" w:cs="Times New Roman"/>
                <w:color w:val="000000" w:themeColor="text1"/>
                <w:sz w:val="24"/>
                <w:szCs w:val="24"/>
              </w:rPr>
              <w:t>本项目</w:t>
            </w:r>
            <w:r>
              <w:rPr>
                <w:rFonts w:hint="eastAsia" w:ascii="Times New Roman" w:hAnsi="Times New Roman" w:cs="Times New Roman"/>
                <w:color w:val="000000" w:themeColor="text1"/>
                <w:sz w:val="24"/>
                <w:szCs w:val="24"/>
                <w:lang w:val="en-US" w:eastAsia="zh-CN"/>
              </w:rPr>
              <w:t>建设</w:t>
            </w:r>
            <w:r>
              <w:rPr>
                <w:rFonts w:ascii="Times New Roman" w:hAnsi="Times New Roman" w:cs="Times New Roman"/>
                <w:color w:val="000000" w:themeColor="text1"/>
                <w:sz w:val="24"/>
                <w:szCs w:val="24"/>
              </w:rPr>
              <w:t>与《</w:t>
            </w:r>
            <w:r>
              <w:rPr>
                <w:rFonts w:hint="eastAsia" w:ascii="Times New Roman" w:hAnsi="Times New Roman" w:cs="Times New Roman"/>
                <w:color w:val="000000" w:themeColor="text1"/>
                <w:sz w:val="24"/>
                <w:szCs w:val="24"/>
              </w:rPr>
              <w:t>江西九江沙城工业园区扩区调区规划环境影响报告书</w:t>
            </w:r>
            <w:r>
              <w:rPr>
                <w:rFonts w:ascii="Times New Roman" w:hAnsi="Times New Roman" w:cs="Times New Roman"/>
                <w:color w:val="000000" w:themeColor="text1"/>
                <w:sz w:val="24"/>
                <w:szCs w:val="24"/>
              </w:rPr>
              <w:t>》</w:t>
            </w:r>
            <w:r>
              <w:rPr>
                <w:rFonts w:hint="eastAsia" w:ascii="Times New Roman" w:hAnsi="Times New Roman" w:cs="Times New Roman"/>
                <w:color w:val="000000" w:themeColor="text1"/>
                <w:sz w:val="24"/>
                <w:szCs w:val="24"/>
              </w:rPr>
              <w:t>中生态环境准入清单</w:t>
            </w:r>
            <w:r>
              <w:rPr>
                <w:rFonts w:ascii="Times New Roman" w:hAnsi="Times New Roman" w:cs="Times New Roman"/>
                <w:color w:val="000000" w:themeColor="text1"/>
                <w:sz w:val="24"/>
                <w:szCs w:val="24"/>
              </w:rPr>
              <w:t>相符</w:t>
            </w:r>
            <w:r>
              <w:rPr>
                <w:rFonts w:ascii="Times New Roman" w:hAnsi="Times New Roman" w:cs="Times New Roman"/>
                <w:bCs/>
                <w:color w:val="000000" w:themeColor="text1"/>
                <w:sz w:val="24"/>
                <w:szCs w:val="24"/>
              </w:rPr>
              <w:t>。</w:t>
            </w:r>
          </w:p>
          <w:p w14:paraId="3A5E6028">
            <w:pPr>
              <w:pStyle w:val="85"/>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b/>
                <w:bCs/>
                <w:color w:val="000000" w:themeColor="text1"/>
                <w:sz w:val="24"/>
                <w:szCs w:val="24"/>
                <w:lang w:val="en-US" w:eastAsia="zh-CN"/>
              </w:rPr>
            </w:pPr>
            <w:r>
              <w:rPr>
                <w:rFonts w:hint="eastAsia" w:ascii="Times New Roman" w:hAnsi="Times New Roman"/>
                <w:b/>
                <w:bCs/>
                <w:color w:val="000000" w:themeColor="text1"/>
                <w:sz w:val="24"/>
                <w:szCs w:val="24"/>
                <w:lang w:val="en-US" w:eastAsia="zh-CN"/>
              </w:rPr>
              <w:t>5、项目与《江西九江沙城工业园区扩区调区规划环境影响报告书》中产业准入清单相符性分析</w:t>
            </w:r>
          </w:p>
          <w:p w14:paraId="71D81EC2">
            <w:pPr>
              <w:pStyle w:val="85"/>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000000" w:themeColor="text1"/>
                <w:sz w:val="21"/>
                <w:szCs w:val="21"/>
                <w:lang w:val="en-US" w:eastAsia="zh-CN"/>
              </w:rPr>
            </w:pPr>
            <w:r>
              <w:rPr>
                <w:rFonts w:ascii="Times New Roman" w:hAnsi="Times New Roman"/>
                <w:b/>
                <w:bCs/>
                <w:color w:val="000000" w:themeColor="text1"/>
                <w:sz w:val="21"/>
                <w:szCs w:val="21"/>
              </w:rPr>
              <w:t>表1-</w:t>
            </w:r>
            <w:r>
              <w:rPr>
                <w:rFonts w:hint="eastAsia" w:ascii="Times New Roman" w:hAnsi="Times New Roman"/>
                <w:b/>
                <w:bCs/>
                <w:color w:val="000000" w:themeColor="text1"/>
                <w:sz w:val="21"/>
                <w:szCs w:val="21"/>
                <w:lang w:val="en-US" w:eastAsia="zh-CN"/>
              </w:rPr>
              <w:t>5</w:t>
            </w:r>
            <w:r>
              <w:rPr>
                <w:rFonts w:ascii="Times New Roman" w:hAnsi="Times New Roman"/>
                <w:b/>
                <w:bCs/>
                <w:color w:val="000000" w:themeColor="text1"/>
                <w:sz w:val="21"/>
                <w:szCs w:val="21"/>
              </w:rPr>
              <w:t xml:space="preserve"> </w:t>
            </w:r>
            <w:r>
              <w:rPr>
                <w:rFonts w:hint="eastAsia" w:ascii="Times New Roman" w:hAnsi="Times New Roman"/>
                <w:b/>
                <w:bCs/>
                <w:color w:val="000000" w:themeColor="text1"/>
                <w:sz w:val="21"/>
                <w:szCs w:val="21"/>
                <w:lang w:val="en-US" w:eastAsia="zh-CN"/>
              </w:rPr>
              <w:t xml:space="preserve">  </w:t>
            </w:r>
            <w:r>
              <w:rPr>
                <w:rFonts w:ascii="Times New Roman" w:hAnsi="Times New Roman"/>
                <w:b/>
                <w:bCs/>
                <w:color w:val="000000" w:themeColor="text1"/>
                <w:sz w:val="21"/>
                <w:szCs w:val="21"/>
              </w:rPr>
              <w:t>项目与《</w:t>
            </w:r>
            <w:r>
              <w:rPr>
                <w:rFonts w:hint="eastAsia" w:ascii="Times New Roman" w:hAnsi="Times New Roman"/>
                <w:b/>
                <w:bCs/>
                <w:color w:val="000000" w:themeColor="text1"/>
                <w:sz w:val="21"/>
                <w:szCs w:val="21"/>
              </w:rPr>
              <w:t>江西九江沙城工业园区扩区调区规划环境影响报告书</w:t>
            </w:r>
            <w:r>
              <w:rPr>
                <w:rFonts w:ascii="Times New Roman" w:hAnsi="Times New Roman"/>
                <w:b/>
                <w:bCs/>
                <w:color w:val="000000" w:themeColor="text1"/>
                <w:sz w:val="21"/>
                <w:szCs w:val="21"/>
              </w:rPr>
              <w:t>》</w:t>
            </w:r>
            <w:r>
              <w:rPr>
                <w:rFonts w:hint="eastAsia" w:ascii="Times New Roman" w:hAnsi="Times New Roman"/>
                <w:b/>
                <w:bCs/>
                <w:color w:val="000000" w:themeColor="text1"/>
                <w:sz w:val="21"/>
                <w:szCs w:val="21"/>
              </w:rPr>
              <w:t>中产业准入清单</w:t>
            </w:r>
            <w:r>
              <w:rPr>
                <w:rFonts w:ascii="Times New Roman" w:hAnsi="Times New Roman"/>
                <w:b/>
                <w:bCs/>
                <w:color w:val="000000" w:themeColor="text1"/>
                <w:sz w:val="21"/>
                <w:szCs w:val="21"/>
              </w:rPr>
              <w:t>相符性</w:t>
            </w:r>
            <w:r>
              <w:rPr>
                <w:rFonts w:hint="eastAsia" w:ascii="Times New Roman" w:hAnsi="Times New Roman"/>
                <w:b/>
                <w:bCs/>
                <w:color w:val="000000" w:themeColor="text1"/>
                <w:sz w:val="21"/>
                <w:szCs w:val="21"/>
                <w:lang w:val="en-US" w:eastAsia="zh-CN"/>
              </w:rPr>
              <w:t>分析</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1072"/>
              <w:gridCol w:w="3280"/>
              <w:gridCol w:w="2150"/>
              <w:gridCol w:w="660"/>
            </w:tblGrid>
            <w:tr w14:paraId="630ED6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noWrap w:val="0"/>
                  <w:vAlign w:val="center"/>
                </w:tcPr>
                <w:p w14:paraId="740A1FC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清单编制要求</w:t>
                  </w:r>
                </w:p>
              </w:tc>
              <w:tc>
                <w:tcPr>
                  <w:tcW w:w="666" w:type="pct"/>
                  <w:noWrap w:val="0"/>
                  <w:vAlign w:val="center"/>
                </w:tcPr>
                <w:p w14:paraId="3777BE8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规划产业</w:t>
                  </w:r>
                </w:p>
              </w:tc>
              <w:tc>
                <w:tcPr>
                  <w:tcW w:w="2039" w:type="pct"/>
                  <w:noWrap w:val="0"/>
                  <w:vAlign w:val="center"/>
                </w:tcPr>
                <w:p w14:paraId="0E0E436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江西九江沙城工业园区扩区调区规划环境影响报告书要求</w:t>
                  </w:r>
                </w:p>
              </w:tc>
              <w:tc>
                <w:tcPr>
                  <w:tcW w:w="1336" w:type="pct"/>
                  <w:noWrap w:val="0"/>
                  <w:vAlign w:val="center"/>
                </w:tcPr>
                <w:p w14:paraId="680A53F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相符性分析</w:t>
                  </w:r>
                </w:p>
              </w:tc>
              <w:tc>
                <w:tcPr>
                  <w:tcW w:w="410" w:type="pct"/>
                  <w:noWrap w:val="0"/>
                  <w:vAlign w:val="center"/>
                </w:tcPr>
                <w:p w14:paraId="2454DBD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val="en-US" w:eastAsia="zh-CN"/>
                    </w:rPr>
                    <w:t>结论</w:t>
                  </w:r>
                </w:p>
              </w:tc>
            </w:tr>
            <w:tr w14:paraId="46224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restart"/>
                  <w:noWrap w:val="0"/>
                  <w:vAlign w:val="center"/>
                </w:tcPr>
                <w:p w14:paraId="52F1B3C2">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r>
                    <w:rPr>
                      <w:rFonts w:hint="default" w:ascii="Times New Roman" w:hAnsi="Times New Roman" w:eastAsia="宋体" w:cs="Times New Roman"/>
                      <w:color w:val="000000" w:themeColor="text1"/>
                      <w:kern w:val="0"/>
                      <w:sz w:val="21"/>
                      <w:szCs w:val="21"/>
                      <w:lang w:val="zh-CN"/>
                    </w:rPr>
                    <w:t>限制发展项目</w:t>
                  </w:r>
                </w:p>
              </w:tc>
              <w:tc>
                <w:tcPr>
                  <w:tcW w:w="666" w:type="pct"/>
                  <w:noWrap w:val="0"/>
                  <w:vAlign w:val="center"/>
                </w:tcPr>
                <w:p w14:paraId="108E75A3">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rPr>
                    <w:t>新材料</w:t>
                  </w:r>
                </w:p>
              </w:tc>
              <w:tc>
                <w:tcPr>
                  <w:tcW w:w="2039" w:type="pct"/>
                  <w:noWrap w:val="0"/>
                  <w:vAlign w:val="center"/>
                </w:tcPr>
                <w:p w14:paraId="37E7B695">
                  <w:pPr>
                    <w:pStyle w:val="42"/>
                    <w:keepNext w:val="0"/>
                    <w:keepLines w:val="0"/>
                    <w:pageBreakBefore w:val="0"/>
                    <w:kinsoku/>
                    <w:wordWrap/>
                    <w:overflowPunct/>
                    <w:topLinePunct w:val="0"/>
                    <w:bidi w:val="0"/>
                    <w:adjustRightInd/>
                    <w:snapToGrid w:val="0"/>
                    <w:spacing w:after="0" w:line="240" w:lineRule="auto"/>
                    <w:ind w:firstLine="0" w:firstLineChars="0"/>
                    <w:jc w:val="both"/>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336" w:type="pct"/>
                  <w:noWrap w:val="0"/>
                  <w:vAlign w:val="center"/>
                </w:tcPr>
                <w:p w14:paraId="7B47BEBB">
                  <w:pPr>
                    <w:pStyle w:val="42"/>
                    <w:keepNext w:val="0"/>
                    <w:keepLines w:val="0"/>
                    <w:pageBreakBefore w:val="0"/>
                    <w:widowControl w:val="0"/>
                    <w:kinsoku/>
                    <w:wordWrap/>
                    <w:overflowPunct/>
                    <w:topLinePunct w:val="0"/>
                    <w:autoSpaceDE w:val="0"/>
                    <w:autoSpaceDN w:val="0"/>
                    <w:bidi w:val="0"/>
                    <w:adjustRightInd/>
                    <w:snapToGrid w:val="0"/>
                    <w:spacing w:after="0" w:line="240" w:lineRule="auto"/>
                    <w:ind w:firstLine="0" w:firstLineChars="0"/>
                    <w:jc w:val="both"/>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410" w:type="pct"/>
                  <w:noWrap w:val="0"/>
                  <w:vAlign w:val="center"/>
                </w:tcPr>
                <w:p w14:paraId="04578C75">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14:paraId="6AD79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467A7F6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noWrap w:val="0"/>
                  <w:vAlign w:val="center"/>
                </w:tcPr>
                <w:p w14:paraId="2BC3FC94">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rPr>
                    <w:t>装备制造</w:t>
                  </w:r>
                  <w:r>
                    <w:rPr>
                      <w:rFonts w:hint="default" w:ascii="Times New Roman" w:hAnsi="Times New Roman" w:eastAsia="宋体" w:cs="Times New Roman"/>
                      <w:color w:val="000000" w:themeColor="text1"/>
                      <w:sz w:val="21"/>
                      <w:szCs w:val="21"/>
                      <w:lang w:val="en-US" w:eastAsia="zh-CN"/>
                    </w:rPr>
                    <w:t>及再生资源利用</w:t>
                  </w:r>
                </w:p>
              </w:tc>
              <w:tc>
                <w:tcPr>
                  <w:tcW w:w="2039" w:type="pct"/>
                  <w:noWrap w:val="0"/>
                  <w:vAlign w:val="center"/>
                </w:tcPr>
                <w:p w14:paraId="466D80C5">
                  <w:pPr>
                    <w:pStyle w:val="42"/>
                    <w:keepNext w:val="0"/>
                    <w:keepLines w:val="0"/>
                    <w:pageBreakBefore w:val="0"/>
                    <w:kinsoku/>
                    <w:wordWrap/>
                    <w:overflowPunct/>
                    <w:topLinePunct w:val="0"/>
                    <w:bidi w:val="0"/>
                    <w:adjustRightInd/>
                    <w:snapToGrid w:val="0"/>
                    <w:spacing w:after="0" w:line="240" w:lineRule="auto"/>
                    <w:ind w:firstLine="0" w:firstLineChars="0"/>
                    <w:jc w:val="both"/>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1336" w:type="pct"/>
                  <w:noWrap w:val="0"/>
                  <w:vAlign w:val="center"/>
                </w:tcPr>
                <w:p w14:paraId="4360DEA9">
                  <w:pPr>
                    <w:pStyle w:val="42"/>
                    <w:keepNext w:val="0"/>
                    <w:keepLines w:val="0"/>
                    <w:pageBreakBefore w:val="0"/>
                    <w:kinsoku/>
                    <w:wordWrap/>
                    <w:overflowPunct/>
                    <w:topLinePunct w:val="0"/>
                    <w:bidi w:val="0"/>
                    <w:adjustRightInd/>
                    <w:snapToGrid w:val="0"/>
                    <w:spacing w:after="0" w:line="240" w:lineRule="auto"/>
                    <w:ind w:firstLine="0" w:firstLineChars="0"/>
                    <w:jc w:val="both"/>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c>
                <w:tcPr>
                  <w:tcW w:w="410" w:type="pct"/>
                  <w:noWrap w:val="0"/>
                  <w:vAlign w:val="center"/>
                </w:tcPr>
                <w:p w14:paraId="1DDD1277">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lang w:val="en-US" w:eastAsia="zh-CN"/>
                    </w:rPr>
                    <w:t>/</w:t>
                  </w:r>
                </w:p>
              </w:tc>
            </w:tr>
            <w:tr w14:paraId="14D43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7BD80FB1">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p>
              </w:tc>
              <w:tc>
                <w:tcPr>
                  <w:tcW w:w="666" w:type="pct"/>
                  <w:noWrap w:val="0"/>
                  <w:vAlign w:val="center"/>
                </w:tcPr>
                <w:p w14:paraId="60D1E306">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r>
                    <w:rPr>
                      <w:rFonts w:hint="default" w:ascii="Times New Roman" w:hAnsi="Times New Roman" w:eastAsia="宋体" w:cs="Times New Roman"/>
                      <w:color w:val="000000" w:themeColor="text1"/>
                      <w:kern w:val="0"/>
                      <w:sz w:val="21"/>
                      <w:szCs w:val="21"/>
                      <w:lang w:val="zh-CN"/>
                    </w:rPr>
                    <w:t>高新</w:t>
                  </w:r>
                  <w:r>
                    <w:rPr>
                      <w:rFonts w:hint="default" w:ascii="Times New Roman" w:hAnsi="Times New Roman" w:eastAsia="宋体" w:cs="Times New Roman"/>
                      <w:color w:val="000000" w:themeColor="text1"/>
                      <w:kern w:val="0"/>
                      <w:sz w:val="21"/>
                      <w:szCs w:val="21"/>
                      <w:lang w:val="en-US" w:eastAsia="zh-CN"/>
                    </w:rPr>
                    <w:t>科技</w:t>
                  </w:r>
                </w:p>
              </w:tc>
              <w:tc>
                <w:tcPr>
                  <w:tcW w:w="2039" w:type="pct"/>
                  <w:noWrap w:val="0"/>
                  <w:vAlign w:val="center"/>
                </w:tcPr>
                <w:p w14:paraId="7A2245FA">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r>
                    <w:rPr>
                      <w:rFonts w:hint="default" w:ascii="Times New Roman" w:hAnsi="Times New Roman" w:eastAsia="宋体" w:cs="Times New Roman"/>
                      <w:color w:val="000000" w:themeColor="text1"/>
                      <w:kern w:val="0"/>
                      <w:sz w:val="21"/>
                      <w:szCs w:val="21"/>
                    </w:rPr>
                    <w:t>线路板项目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2CCE0F07">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kern w:val="0"/>
                      <w:sz w:val="21"/>
                      <w:szCs w:val="21"/>
                    </w:rPr>
                    <w:t>不属于线路板项目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0FE556EB">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zh-CN"/>
                    </w:rPr>
                  </w:pPr>
                  <w:r>
                    <w:rPr>
                      <w:rFonts w:hint="default" w:ascii="Times New Roman" w:hAnsi="Times New Roman" w:eastAsia="宋体" w:cs="Times New Roman"/>
                      <w:color w:val="000000" w:themeColor="text1"/>
                      <w:kern w:val="0"/>
                      <w:sz w:val="21"/>
                      <w:szCs w:val="21"/>
                    </w:rPr>
                    <w:t>符合</w:t>
                  </w:r>
                </w:p>
              </w:tc>
            </w:tr>
            <w:tr w14:paraId="5C2C7B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restart"/>
                  <w:noWrap w:val="0"/>
                  <w:vAlign w:val="center"/>
                </w:tcPr>
                <w:p w14:paraId="18F661A6">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禁止准入项目</w:t>
                  </w:r>
                </w:p>
              </w:tc>
              <w:tc>
                <w:tcPr>
                  <w:tcW w:w="666" w:type="pct"/>
                  <w:vMerge w:val="restart"/>
                  <w:noWrap w:val="0"/>
                  <w:vAlign w:val="center"/>
                </w:tcPr>
                <w:p w14:paraId="1AEF16D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新材料</w:t>
                  </w:r>
                </w:p>
              </w:tc>
              <w:tc>
                <w:tcPr>
                  <w:tcW w:w="2039" w:type="pct"/>
                  <w:noWrap w:val="0"/>
                  <w:vAlign w:val="center"/>
                </w:tcPr>
                <w:p w14:paraId="35FDC226">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新建危险化学品生产项目（与其他行业生产装置配套建设的项目除外）</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63D809D3">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本项目不属于危险化学品生产项目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6CE71F8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符合</w:t>
                  </w:r>
                </w:p>
              </w:tc>
            </w:tr>
            <w:tr w14:paraId="2C9BAF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230BB150">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00439FC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3E6AD3F5">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新建重金属排放量超出区域总量的项目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2EF90DFD">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本项目不涉及重金属</w:t>
                  </w:r>
                  <w:r>
                    <w:rPr>
                      <w:rFonts w:hint="default" w:ascii="Times New Roman" w:hAnsi="Times New Roman" w:eastAsia="宋体" w:cs="Times New Roman"/>
                      <w:color w:val="000000" w:themeColor="text1"/>
                      <w:kern w:val="0"/>
                      <w:sz w:val="21"/>
                      <w:szCs w:val="21"/>
                      <w:lang w:val="en-US" w:eastAsia="zh-CN"/>
                    </w:rPr>
                    <w:t>排放。</w:t>
                  </w:r>
                </w:p>
              </w:tc>
              <w:tc>
                <w:tcPr>
                  <w:tcW w:w="410" w:type="pct"/>
                  <w:noWrap w:val="0"/>
                  <w:vAlign w:val="center"/>
                </w:tcPr>
                <w:p w14:paraId="2D7F2183">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符合</w:t>
                  </w:r>
                </w:p>
              </w:tc>
            </w:tr>
            <w:tr w14:paraId="68EC23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5C6A76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396E410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0707F6B2">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不符合产业定位或碳排放要求的“两高”项目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4F83F68E">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本项目</w:t>
                  </w:r>
                  <w:r>
                    <w:rPr>
                      <w:rFonts w:hint="default" w:ascii="Times New Roman" w:hAnsi="Times New Roman" w:eastAsia="宋体" w:cs="Times New Roman"/>
                      <w:color w:val="000000" w:themeColor="text1"/>
                      <w:kern w:val="0"/>
                      <w:sz w:val="21"/>
                      <w:szCs w:val="21"/>
                      <w:lang w:val="en-US" w:eastAsia="zh-CN"/>
                    </w:rPr>
                    <w:t>不属于</w:t>
                  </w:r>
                  <w:r>
                    <w:rPr>
                      <w:rFonts w:hint="default" w:ascii="Times New Roman" w:hAnsi="Times New Roman" w:eastAsia="宋体" w:cs="Times New Roman"/>
                      <w:color w:val="000000" w:themeColor="text1"/>
                      <w:kern w:val="0"/>
                      <w:sz w:val="21"/>
                      <w:szCs w:val="21"/>
                    </w:rPr>
                    <w:t>不符合产业定位或碳排放要求的“两高”项目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1EC5E62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kern w:val="0"/>
                      <w:sz w:val="21"/>
                      <w:szCs w:val="21"/>
                    </w:rPr>
                    <w:t>符合</w:t>
                  </w:r>
                </w:p>
              </w:tc>
            </w:tr>
            <w:tr w14:paraId="67F28B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EC545F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1CD234F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438E0ED4">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新建废水排放量大且不能有效处理的项目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5E4841F2">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本项目外排废水为</w:t>
                  </w:r>
                  <w:r>
                    <w:rPr>
                      <w:rFonts w:hint="eastAsia" w:ascii="Times New Roman" w:hAnsi="Times New Roman" w:eastAsia="宋体" w:cs="Times New Roman"/>
                      <w:b w:val="0"/>
                      <w:bCs w:val="0"/>
                      <w:color w:val="000000" w:themeColor="text1"/>
                      <w:spacing w:val="4"/>
                      <w:kern w:val="18"/>
                      <w:sz w:val="21"/>
                      <w:szCs w:val="21"/>
                      <w:highlight w:val="none"/>
                      <w:vertAlign w:val="baseline"/>
                      <w:lang w:val="en-US" w:eastAsia="zh-CN"/>
                    </w:rPr>
                    <w:t>地面清洗水</w:t>
                  </w: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，生活污水经厂区化粪池预处理达赤湖工业园污水处理厂接管标准，与经园区污水管网排入赤湖工业园污水处理厂进一步处理后达标排放。</w:t>
                  </w:r>
                </w:p>
              </w:tc>
              <w:tc>
                <w:tcPr>
                  <w:tcW w:w="410" w:type="pct"/>
                  <w:noWrap w:val="0"/>
                  <w:vAlign w:val="center"/>
                </w:tcPr>
                <w:p w14:paraId="09AFA91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6980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4942C1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5DDA0DF4">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33F67FFE">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排放恶臭异味或高浓度有机废气，且不能有效处置的项目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67F085B9">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本项目不排放恶臭异味或高浓度有机废气</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617AF65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0B8A44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6017C3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42EBE1CB">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5A88993C">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长江干流九江段岸线1公里内禁止新建化工、造纸、印染、制革和冶炼等重污染项目。</w:t>
                  </w:r>
                </w:p>
              </w:tc>
              <w:tc>
                <w:tcPr>
                  <w:tcW w:w="1336" w:type="pct"/>
                  <w:noWrap w:val="0"/>
                  <w:vAlign w:val="center"/>
                </w:tcPr>
                <w:p w14:paraId="60CCE99D">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kern w:val="0"/>
                      <w:sz w:val="21"/>
                      <w:szCs w:val="21"/>
                      <w:lang w:val="en-US" w:eastAsia="zh-CN"/>
                    </w:rPr>
                    <w:t>不属于</w:t>
                  </w:r>
                  <w:r>
                    <w:rPr>
                      <w:rFonts w:hint="default" w:ascii="Times New Roman" w:hAnsi="Times New Roman" w:eastAsia="宋体" w:cs="Times New Roman"/>
                      <w:color w:val="000000" w:themeColor="text1"/>
                      <w:kern w:val="0"/>
                      <w:sz w:val="21"/>
                      <w:szCs w:val="21"/>
                    </w:rPr>
                    <w:t>化工、造纸、印染、制革和冶炼等重污染项目。</w:t>
                  </w:r>
                </w:p>
              </w:tc>
              <w:tc>
                <w:tcPr>
                  <w:tcW w:w="410" w:type="pct"/>
                  <w:noWrap w:val="0"/>
                  <w:vAlign w:val="center"/>
                </w:tcPr>
                <w:p w14:paraId="304D4A4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36C4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27081C4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5C1ADED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3E98A174">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距赤湖岸线或堤防50米范围内，不得建设除桥梁、码头和必要设施外的建筑物；50~200米范围内列为控制建设带，禁止新建化工、造纸、印染、制革和冶炼等重污染项目。</w:t>
                  </w:r>
                </w:p>
              </w:tc>
              <w:tc>
                <w:tcPr>
                  <w:tcW w:w="1336" w:type="pct"/>
                  <w:noWrap w:val="0"/>
                  <w:vAlign w:val="center"/>
                </w:tcPr>
                <w:p w14:paraId="7B5A7B1B">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本项目不在赤湖岸线或堤防50米范围内建设除桥梁、码头和必要设施外的建筑物</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lang w:val="en-US" w:eastAsia="zh-CN"/>
                    </w:rPr>
                    <w:t>项目不属于</w:t>
                  </w:r>
                  <w:r>
                    <w:rPr>
                      <w:rFonts w:hint="default" w:ascii="Times New Roman" w:hAnsi="Times New Roman" w:eastAsia="宋体" w:cs="Times New Roman"/>
                      <w:color w:val="000000" w:themeColor="text1"/>
                      <w:kern w:val="0"/>
                      <w:sz w:val="21"/>
                      <w:szCs w:val="21"/>
                    </w:rPr>
                    <w:t>化工、造纸、印染、制革和冶炼等重污染项目。</w:t>
                  </w:r>
                </w:p>
              </w:tc>
              <w:tc>
                <w:tcPr>
                  <w:tcW w:w="410" w:type="pct"/>
                  <w:noWrap w:val="0"/>
                  <w:vAlign w:val="center"/>
                </w:tcPr>
                <w:p w14:paraId="0BED6C86">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4ECC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1783CF7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restart"/>
                  <w:noWrap w:val="0"/>
                  <w:vAlign w:val="center"/>
                </w:tcPr>
                <w:p w14:paraId="3794165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装备制造及再生资源利用</w:t>
                  </w:r>
                </w:p>
              </w:tc>
              <w:tc>
                <w:tcPr>
                  <w:tcW w:w="2039" w:type="pct"/>
                  <w:noWrap w:val="0"/>
                  <w:vAlign w:val="center"/>
                </w:tcPr>
                <w:p w14:paraId="15FBF7B9">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排放恶臭异味或高浓度有机废气，且不能有效处置的项目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4FFDF593">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本项目有机废气</w:t>
                  </w:r>
                  <w:r>
                    <w:rPr>
                      <w:rFonts w:hint="eastAsia" w:ascii="Times New Roman" w:hAnsi="Times New Roman" w:eastAsia="宋体" w:cs="Times New Roman"/>
                      <w:color w:val="000000" w:themeColor="text1"/>
                      <w:kern w:val="0"/>
                      <w:sz w:val="21"/>
                      <w:szCs w:val="21"/>
                      <w:lang w:val="en-US" w:eastAsia="zh-CN"/>
                    </w:rPr>
                    <w:t>经一级冷凝+二级活性炭吸附处理达标后排放，能有效处理</w:t>
                  </w:r>
                </w:p>
              </w:tc>
              <w:tc>
                <w:tcPr>
                  <w:tcW w:w="410" w:type="pct"/>
                  <w:noWrap w:val="0"/>
                  <w:vAlign w:val="center"/>
                </w:tcPr>
                <w:p w14:paraId="633B96F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2B657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6427BE8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3806C96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58A34445">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新建电镀、磷肥等涉磷、锰污染物的项目（配套工序的除外）</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2C684493">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本项目不属于电镀、磷肥等涉磷、锰污染物的项目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4AD17E7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AC00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319791F">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4EA3EAD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641DE736">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新建重金属排放量超出区域总量的项目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723A2CD1">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kern w:val="0"/>
                      <w:sz w:val="21"/>
                      <w:szCs w:val="21"/>
                    </w:rPr>
                    <w:t>本项目不涉及重金属</w:t>
                  </w:r>
                  <w:r>
                    <w:rPr>
                      <w:rFonts w:hint="default" w:ascii="Times New Roman" w:hAnsi="Times New Roman" w:eastAsia="宋体" w:cs="Times New Roman"/>
                      <w:color w:val="000000" w:themeColor="text1"/>
                      <w:kern w:val="0"/>
                      <w:sz w:val="21"/>
                      <w:szCs w:val="21"/>
                      <w:lang w:val="en-US" w:eastAsia="zh-CN"/>
                    </w:rPr>
                    <w:t>排放。</w:t>
                  </w:r>
                </w:p>
              </w:tc>
              <w:tc>
                <w:tcPr>
                  <w:tcW w:w="410" w:type="pct"/>
                  <w:noWrap w:val="0"/>
                  <w:vAlign w:val="center"/>
                </w:tcPr>
                <w:p w14:paraId="3CDDFC47">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87C3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212BEE7">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0616E69D">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2E672B46">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长江干流九江段岸线1公里内禁止新建化工、造纸、印染、制革和冶炼等重污染项目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65940F4E">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val="en-US" w:eastAsia="zh-CN"/>
                    </w:rPr>
                  </w:pPr>
                  <w:r>
                    <w:rPr>
                      <w:rFonts w:hint="default" w:ascii="Times New Roman" w:hAnsi="Times New Roman" w:eastAsia="宋体" w:cs="Times New Roman"/>
                      <w:color w:val="000000" w:themeColor="text1"/>
                      <w:sz w:val="21"/>
                      <w:szCs w:val="21"/>
                      <w:lang w:bidi="ar-SA"/>
                    </w:rPr>
                    <w:t>本项目为</w:t>
                  </w:r>
                  <w:r>
                    <w:rPr>
                      <w:rFonts w:hint="eastAsia" w:ascii="Times New Roman" w:hAnsi="Times New Roman" w:eastAsia="宋体" w:cs="Times New Roman"/>
                      <w:color w:val="000000" w:themeColor="text1"/>
                      <w:sz w:val="21"/>
                      <w:szCs w:val="21"/>
                      <w:lang w:val="en-US" w:eastAsia="zh-CN" w:bidi="ar-SA"/>
                    </w:rPr>
                    <w:t>塑料零件及其他塑料制品制造、非金属废料和碎屑加工处理、固体废物治理</w:t>
                  </w:r>
                  <w:r>
                    <w:rPr>
                      <w:rFonts w:hint="default" w:ascii="Times New Roman" w:hAnsi="Times New Roman" w:eastAsia="宋体" w:cs="Times New Roman"/>
                      <w:color w:val="000000" w:themeColor="text1"/>
                      <w:sz w:val="21"/>
                      <w:szCs w:val="21"/>
                      <w:lang w:bidi="ar-SA"/>
                    </w:rPr>
                    <w:t>项目</w:t>
                  </w:r>
                  <w:r>
                    <w:rPr>
                      <w:rFonts w:hint="eastAsia" w:ascii="Times New Roman" w:hAnsi="Times New Roman" w:eastAsia="宋体" w:cs="Times New Roman"/>
                      <w:color w:val="000000" w:themeColor="text1"/>
                      <w:sz w:val="21"/>
                      <w:szCs w:val="21"/>
                      <w:lang w:eastAsia="zh-CN" w:bidi="ar-SA"/>
                    </w:rPr>
                    <w:t>，</w:t>
                  </w:r>
                  <w:r>
                    <w:rPr>
                      <w:rFonts w:hint="default" w:ascii="Times New Roman" w:hAnsi="Times New Roman" w:eastAsia="宋体" w:cs="Times New Roman"/>
                      <w:color w:val="000000" w:themeColor="text1"/>
                      <w:kern w:val="0"/>
                      <w:sz w:val="21"/>
                      <w:szCs w:val="21"/>
                      <w:lang w:val="en-US" w:eastAsia="zh-CN"/>
                    </w:rPr>
                    <w:t>且不属于</w:t>
                  </w:r>
                  <w:r>
                    <w:rPr>
                      <w:rFonts w:hint="default" w:ascii="Times New Roman" w:hAnsi="Times New Roman" w:eastAsia="宋体" w:cs="Times New Roman"/>
                      <w:color w:val="000000" w:themeColor="text1"/>
                      <w:kern w:val="0"/>
                      <w:sz w:val="21"/>
                      <w:szCs w:val="21"/>
                    </w:rPr>
                    <w:t>化工、造纸、印染、制革和冶炼等重污染项目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52354F6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463C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AC4B55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7D9097C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090C073A">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距赤湖岸线或堤防50米范围内，不得建设除桥梁、码头和必要设施外的建筑物；50~200米范围内列为控制建设带，禁止新建化工、造纸、印染、制革和冶炼等重污染项目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1128AF9F">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本项目不在赤湖岸线或堤防50米范围内建设除桥梁、码头和必要设施外的建筑物</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lang w:val="en-US" w:eastAsia="zh-CN"/>
                    </w:rPr>
                    <w:t>项目不属于</w:t>
                  </w:r>
                  <w:r>
                    <w:rPr>
                      <w:rFonts w:hint="default" w:ascii="Times New Roman" w:hAnsi="Times New Roman" w:eastAsia="宋体" w:cs="Times New Roman"/>
                      <w:color w:val="000000" w:themeColor="text1"/>
                      <w:kern w:val="0"/>
                      <w:sz w:val="21"/>
                      <w:szCs w:val="21"/>
                    </w:rPr>
                    <w:t>化工、造纸、印染、制革和冶炼等重污染项目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2046499B">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65594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BAD371E">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restart"/>
                  <w:noWrap w:val="0"/>
                  <w:vAlign w:val="center"/>
                </w:tcPr>
                <w:p w14:paraId="323026F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rPr>
                    <w:t>高新科技</w:t>
                  </w:r>
                </w:p>
              </w:tc>
              <w:tc>
                <w:tcPr>
                  <w:tcW w:w="2039" w:type="pct"/>
                  <w:noWrap w:val="0"/>
                  <w:vAlign w:val="center"/>
                </w:tcPr>
                <w:p w14:paraId="4B1AB91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新建电镀、磷肥等涉磷、锰污染物的项目（配套工序的除外）</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2C421D0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yellow"/>
                      <w:lang w:eastAsia="zh-CN"/>
                    </w:rPr>
                  </w:pPr>
                  <w:r>
                    <w:rPr>
                      <w:rFonts w:hint="default" w:ascii="Times New Roman" w:hAnsi="Times New Roman" w:eastAsia="宋体" w:cs="Times New Roman"/>
                      <w:color w:val="000000" w:themeColor="text1"/>
                      <w:kern w:val="0"/>
                      <w:sz w:val="21"/>
                      <w:szCs w:val="21"/>
                    </w:rPr>
                    <w:t>本项目不属于电镀、磷肥等涉磷、锰污染物的项目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3D9E1978">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3F41C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63EF197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666" w:type="pct"/>
                  <w:vMerge w:val="continue"/>
                  <w:noWrap w:val="0"/>
                  <w:vAlign w:val="center"/>
                </w:tcPr>
                <w:p w14:paraId="04298D0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2039" w:type="pct"/>
                  <w:noWrap w:val="0"/>
                  <w:vAlign w:val="center"/>
                </w:tcPr>
                <w:p w14:paraId="6403CFDF">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禁止引入废水排放量较大、废水难处理的项目</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0B67E70E">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yellow"/>
                    </w:rPr>
                  </w:pP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本项目外排废水为</w:t>
                  </w:r>
                  <w:r>
                    <w:rPr>
                      <w:rFonts w:hint="eastAsia" w:ascii="Times New Roman" w:hAnsi="Times New Roman" w:eastAsia="宋体" w:cs="Times New Roman"/>
                      <w:b w:val="0"/>
                      <w:bCs w:val="0"/>
                      <w:color w:val="000000" w:themeColor="text1"/>
                      <w:spacing w:val="4"/>
                      <w:kern w:val="18"/>
                      <w:sz w:val="21"/>
                      <w:szCs w:val="21"/>
                      <w:highlight w:val="none"/>
                      <w:vertAlign w:val="baseline"/>
                      <w:lang w:val="en-US" w:eastAsia="zh-CN"/>
                    </w:rPr>
                    <w:t>地面清洗水</w:t>
                  </w:r>
                  <w:r>
                    <w:rPr>
                      <w:rFonts w:hint="default" w:ascii="Times New Roman" w:hAnsi="Times New Roman" w:eastAsia="宋体" w:cs="Times New Roman"/>
                      <w:b w:val="0"/>
                      <w:bCs w:val="0"/>
                      <w:color w:val="000000" w:themeColor="text1"/>
                      <w:spacing w:val="4"/>
                      <w:kern w:val="18"/>
                      <w:sz w:val="21"/>
                      <w:szCs w:val="21"/>
                      <w:highlight w:val="none"/>
                      <w:vertAlign w:val="baseline"/>
                      <w:lang w:val="en-US" w:eastAsia="zh-CN"/>
                    </w:rPr>
                    <w:t>，经厂区化粪池预处理达赤湖工业园污水处理厂接管标准，经园区污水管网排入赤湖工业园污水处理厂进一步处理后达标排放。</w:t>
                  </w:r>
                </w:p>
              </w:tc>
              <w:tc>
                <w:tcPr>
                  <w:tcW w:w="410" w:type="pct"/>
                  <w:noWrap w:val="0"/>
                  <w:vAlign w:val="center"/>
                </w:tcPr>
                <w:p w14:paraId="2474992C">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ED65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restart"/>
                  <w:noWrap w:val="0"/>
                  <w:vAlign w:val="center"/>
                </w:tcPr>
                <w:p w14:paraId="5B46EB4C">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允许准入项目</w:t>
                  </w:r>
                </w:p>
              </w:tc>
              <w:tc>
                <w:tcPr>
                  <w:tcW w:w="666" w:type="pct"/>
                  <w:vMerge w:val="restart"/>
                  <w:noWrap w:val="0"/>
                  <w:vAlign w:val="center"/>
                </w:tcPr>
                <w:p w14:paraId="6AB45FBB">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2039" w:type="pct"/>
                  <w:noWrap w:val="0"/>
                  <w:vAlign w:val="center"/>
                </w:tcPr>
                <w:p w14:paraId="687EC535">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工业项目应符合产业政策，清洁生产水平至少达到国内先进水平</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61889C1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本项目符合相关产业政策</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217CAC46">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31408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B9A8B6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continue"/>
                  <w:noWrap w:val="0"/>
                  <w:vAlign w:val="center"/>
                </w:tcPr>
                <w:p w14:paraId="4C00266D">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2039" w:type="pct"/>
                  <w:noWrap w:val="0"/>
                  <w:vAlign w:val="center"/>
                </w:tcPr>
                <w:p w14:paraId="7AC76FBF">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新增主要污染物排放量的工业项目必须取得排污指标，且需按证排污</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403B7804">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w:t>
                  </w:r>
                  <w:r>
                    <w:rPr>
                      <w:rFonts w:hint="default" w:ascii="Times New Roman" w:hAnsi="Times New Roman" w:eastAsia="宋体" w:cs="Times New Roman"/>
                      <w:color w:val="000000" w:themeColor="text1"/>
                      <w:kern w:val="0"/>
                      <w:sz w:val="21"/>
                      <w:szCs w:val="21"/>
                      <w:lang w:val="en-US" w:eastAsia="zh-CN"/>
                    </w:rPr>
                    <w:t>新增</w:t>
                  </w:r>
                  <w:r>
                    <w:rPr>
                      <w:rFonts w:hint="default" w:ascii="Times New Roman" w:hAnsi="Times New Roman" w:eastAsia="宋体" w:cs="Times New Roman"/>
                      <w:color w:val="000000" w:themeColor="text1"/>
                      <w:kern w:val="0"/>
                      <w:sz w:val="21"/>
                      <w:szCs w:val="21"/>
                    </w:rPr>
                    <w:t>主要污染物排放量已取得排污指标，且将在取得排污许可证后按证排污</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1C0D6BF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67A63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11EA9FB6">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continue"/>
                  <w:noWrap w:val="0"/>
                  <w:vAlign w:val="center"/>
                </w:tcPr>
                <w:p w14:paraId="1C1453DF">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2039" w:type="pct"/>
                  <w:noWrap w:val="0"/>
                  <w:vAlign w:val="center"/>
                </w:tcPr>
                <w:p w14:paraId="3CBFA5DD">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工业项目排放污染物必须达到国家和地方规定的污染物排放标准</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4E104749">
                  <w:pPr>
                    <w:keepNext w:val="0"/>
                    <w:keepLines w:val="0"/>
                    <w:pageBreakBefore w:val="0"/>
                    <w:widowControl/>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项目排放污染物满足国家和地方规定的污染物排放标准</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7999F67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2479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2AAEDA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continue"/>
                  <w:noWrap w:val="0"/>
                  <w:vAlign w:val="center"/>
                </w:tcPr>
                <w:p w14:paraId="2265A844">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2039" w:type="pct"/>
                  <w:noWrap w:val="0"/>
                  <w:vAlign w:val="center"/>
                </w:tcPr>
                <w:p w14:paraId="40CBF95C">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严格控制新、改、扩建增加铅、汞、铬、镉、磷和类金属砷等重金属污染物排放的建设项目，对此类建设项目的环评审批需严格执行重金属总量前置制度</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2B8C24AE">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lang w:val="en-US" w:eastAsia="zh-CN"/>
                    </w:rPr>
                    <w:t>本</w:t>
                  </w:r>
                  <w:r>
                    <w:rPr>
                      <w:rFonts w:hint="default" w:ascii="Times New Roman" w:hAnsi="Times New Roman" w:eastAsia="宋体" w:cs="Times New Roman"/>
                      <w:color w:val="000000" w:themeColor="text1"/>
                      <w:kern w:val="0"/>
                      <w:sz w:val="21"/>
                      <w:szCs w:val="21"/>
                    </w:rPr>
                    <w:t>项目不涉及重金属排放</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480D20FA">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518ED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0C1FB4F8">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continue"/>
                  <w:noWrap w:val="0"/>
                  <w:vAlign w:val="center"/>
                </w:tcPr>
                <w:p w14:paraId="7AD7E4BB">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2039" w:type="pct"/>
                  <w:noWrap w:val="0"/>
                  <w:vAlign w:val="center"/>
                </w:tcPr>
                <w:p w14:paraId="3C29B196">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沙城工业园依托区外蛟滩污水处理厂处理，区内企业应严格按规划产业布局入驻，禁止含有《污水综合排放标准》</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GB8978-1996</w:t>
                  </w:r>
                  <w:r>
                    <w:rPr>
                      <w:rFonts w:hint="default" w:ascii="Times New Roman" w:hAnsi="Times New Roman" w:eastAsia="宋体" w:cs="Times New Roman"/>
                      <w:color w:val="000000" w:themeColor="text1"/>
                      <w:kern w:val="0"/>
                      <w:sz w:val="21"/>
                      <w:szCs w:val="21"/>
                      <w:lang w:eastAsia="zh-CN"/>
                    </w:rPr>
                    <w:t>）</w:t>
                  </w:r>
                  <w:r>
                    <w:rPr>
                      <w:rFonts w:hint="default" w:ascii="Times New Roman" w:hAnsi="Times New Roman" w:eastAsia="宋体" w:cs="Times New Roman"/>
                      <w:color w:val="000000" w:themeColor="text1"/>
                      <w:kern w:val="0"/>
                      <w:sz w:val="21"/>
                      <w:szCs w:val="21"/>
                    </w:rPr>
                    <w:t>表1中第一类污染物的工业废水排入污水管网，规划园区内企业严格限制工业废水日排量超过2000吨排入污水管网，严格控制含有重金属、持久性有机污染物、病源体和有毒有害物质的工业废水排入污水管网，各类工业废水预处理达到入水管网要求才能送污水处理厂进行集中处理</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5A64F21F">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kern w:val="0"/>
                      <w:sz w:val="21"/>
                      <w:szCs w:val="21"/>
                    </w:rPr>
                    <w:t>/</w:t>
                  </w:r>
                </w:p>
              </w:tc>
              <w:tc>
                <w:tcPr>
                  <w:tcW w:w="410" w:type="pct"/>
                  <w:noWrap w:val="0"/>
                  <w:vAlign w:val="center"/>
                </w:tcPr>
                <w:p w14:paraId="31A97151">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r>
            <w:tr w14:paraId="41283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47" w:type="pct"/>
                  <w:vMerge w:val="continue"/>
                  <w:noWrap w:val="0"/>
                  <w:vAlign w:val="center"/>
                </w:tcPr>
                <w:p w14:paraId="50627FD0">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666" w:type="pct"/>
                  <w:vMerge w:val="continue"/>
                  <w:noWrap w:val="0"/>
                  <w:vAlign w:val="center"/>
                </w:tcPr>
                <w:p w14:paraId="3EBCC745">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lang w:val="zh-CN"/>
                    </w:rPr>
                  </w:pPr>
                </w:p>
              </w:tc>
              <w:tc>
                <w:tcPr>
                  <w:tcW w:w="2039" w:type="pct"/>
                  <w:noWrap w:val="0"/>
                  <w:vAlign w:val="center"/>
                </w:tcPr>
                <w:p w14:paraId="15358F32">
                  <w:pPr>
                    <w:pStyle w:val="42"/>
                    <w:keepNext w:val="0"/>
                    <w:keepLines w:val="0"/>
                    <w:pageBreakBefore w:val="0"/>
                    <w:kinsoku/>
                    <w:wordWrap/>
                    <w:overflowPunct/>
                    <w:topLinePunct w:val="0"/>
                    <w:bidi w:val="0"/>
                    <w:adjustRightInd/>
                    <w:snapToGrid w:val="0"/>
                    <w:spacing w:after="0"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化工新材料项目严格按照国家和省委省政府最新出台化工项目政策准入</w:t>
                  </w:r>
                  <w:r>
                    <w:rPr>
                      <w:rFonts w:hint="default" w:ascii="Times New Roman" w:hAnsi="Times New Roman" w:eastAsia="宋体" w:cs="Times New Roman"/>
                      <w:color w:val="000000" w:themeColor="text1"/>
                      <w:kern w:val="0"/>
                      <w:sz w:val="21"/>
                      <w:szCs w:val="21"/>
                      <w:lang w:eastAsia="zh-CN"/>
                    </w:rPr>
                    <w:t>。</w:t>
                  </w:r>
                </w:p>
              </w:tc>
              <w:tc>
                <w:tcPr>
                  <w:tcW w:w="1336" w:type="pct"/>
                  <w:noWrap w:val="0"/>
                  <w:vAlign w:val="center"/>
                </w:tcPr>
                <w:p w14:paraId="722B3465">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lang w:eastAsia="zh-CN"/>
                    </w:rPr>
                  </w:pPr>
                  <w:r>
                    <w:rPr>
                      <w:rFonts w:hint="default" w:ascii="Times New Roman" w:hAnsi="Times New Roman" w:eastAsia="宋体" w:cs="Times New Roman"/>
                      <w:color w:val="000000" w:themeColor="text1"/>
                      <w:kern w:val="0"/>
                      <w:sz w:val="21"/>
                      <w:szCs w:val="21"/>
                    </w:rPr>
                    <w:t>本项目不属于化工新材料项目</w:t>
                  </w:r>
                  <w:r>
                    <w:rPr>
                      <w:rFonts w:hint="default" w:ascii="Times New Roman" w:hAnsi="Times New Roman" w:eastAsia="宋体" w:cs="Times New Roman"/>
                      <w:color w:val="000000" w:themeColor="text1"/>
                      <w:kern w:val="0"/>
                      <w:sz w:val="21"/>
                      <w:szCs w:val="21"/>
                      <w:lang w:eastAsia="zh-CN"/>
                    </w:rPr>
                    <w:t>。</w:t>
                  </w:r>
                </w:p>
              </w:tc>
              <w:tc>
                <w:tcPr>
                  <w:tcW w:w="410" w:type="pct"/>
                  <w:noWrap w:val="0"/>
                  <w:vAlign w:val="center"/>
                </w:tcPr>
                <w:p w14:paraId="53309B22">
                  <w:pPr>
                    <w:keepNext w:val="0"/>
                    <w:keepLines w:val="0"/>
                    <w:pageBreakBefore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bl>
          <w:p w14:paraId="10A13792">
            <w:pPr>
              <w:pStyle w:val="107"/>
              <w:pageBreakBefore w:val="0"/>
              <w:widowControl w:val="0"/>
              <w:kinsoku/>
              <w:wordWrap/>
              <w:overflowPunct/>
              <w:topLinePunct w:val="0"/>
              <w:autoSpaceDE/>
              <w:autoSpaceDN/>
              <w:bidi w:val="0"/>
              <w:adjustRightInd/>
              <w:snapToGrid/>
              <w:jc w:val="both"/>
              <w:rPr>
                <w:color w:val="000000" w:themeColor="text1"/>
              </w:rPr>
            </w:pPr>
            <w:r>
              <w:rPr>
                <w:rFonts w:hint="eastAsia" w:ascii="Times New Roman" w:hAnsi="Times New Roman"/>
                <w:b w:val="0"/>
                <w:bCs w:val="0"/>
                <w:color w:val="000000" w:themeColor="text1"/>
                <w:sz w:val="24"/>
                <w:szCs w:val="24"/>
                <w:lang w:val="en-US" w:eastAsia="zh-CN"/>
              </w:rPr>
              <w:t>综上所述，本项目建设与《江西九江沙城工业园区扩区调区规划环境影响报告书》中产业准入清单相符。</w:t>
            </w:r>
          </w:p>
        </w:tc>
      </w:tr>
      <w:tr w14:paraId="366224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1" w:hRule="atLeast"/>
          <w:jc w:val="center"/>
        </w:trPr>
        <w:tc>
          <w:tcPr>
            <w:tcW w:w="1166" w:type="dxa"/>
            <w:noWrap w:val="0"/>
            <w:vAlign w:val="center"/>
          </w:tcPr>
          <w:p w14:paraId="7440CB2E">
            <w:pPr>
              <w:pageBreakBefore w:val="0"/>
              <w:kinsoku/>
              <w:overflowPunct/>
              <w:topLinePunct w:val="0"/>
              <w:autoSpaceDE w:val="0"/>
              <w:autoSpaceDN w:val="0"/>
              <w:bidi w:val="0"/>
              <w:adjustRightInd w:val="0"/>
              <w:snapToGrid w:val="0"/>
              <w:spacing w:line="240" w:lineRule="auto"/>
              <w:ind w:left="0" w:firstLine="0" w:firstLineChars="0"/>
              <w:jc w:val="center"/>
              <w:rPr>
                <w:color w:val="000000" w:themeColor="text1"/>
                <w:kern w:val="0"/>
                <w:szCs w:val="21"/>
                <w:highlight w:val="none"/>
              </w:rPr>
            </w:pPr>
            <w:r>
              <w:rPr>
                <w:color w:val="000000" w:themeColor="text1"/>
                <w:kern w:val="0"/>
                <w:szCs w:val="21"/>
                <w:highlight w:val="none"/>
              </w:rPr>
              <w:t>其他符合性分析</w:t>
            </w:r>
          </w:p>
        </w:tc>
        <w:tc>
          <w:tcPr>
            <w:tcW w:w="8258" w:type="dxa"/>
            <w:gridSpan w:val="3"/>
            <w:noWrap w:val="0"/>
            <w:vAlign w:val="center"/>
          </w:tcPr>
          <w:p w14:paraId="1443A9E3">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both"/>
              <w:textAlignment w:val="auto"/>
              <w:rPr>
                <w:b/>
                <w:bCs/>
                <w:color w:val="000000" w:themeColor="text1"/>
                <w:sz w:val="24"/>
                <w:highlight w:val="none"/>
              </w:rPr>
            </w:pPr>
            <w:r>
              <w:rPr>
                <w:rFonts w:hint="eastAsia"/>
                <w:b/>
                <w:bCs/>
                <w:color w:val="000000" w:themeColor="text1"/>
                <w:sz w:val="24"/>
                <w:highlight w:val="none"/>
              </w:rPr>
              <w:t>1、</w:t>
            </w:r>
            <w:r>
              <w:rPr>
                <w:b/>
                <w:bCs/>
                <w:color w:val="000000" w:themeColor="text1"/>
                <w:sz w:val="24"/>
                <w:highlight w:val="none"/>
              </w:rPr>
              <w:t>产业政策符合性</w:t>
            </w:r>
          </w:p>
          <w:p w14:paraId="71B4E62C">
            <w:pPr>
              <w:keepNext w:val="0"/>
              <w:keepLines w:val="0"/>
              <w:pageBreakBefore w:val="0"/>
              <w:widowControl/>
              <w:kinsoku/>
              <w:wordWrap/>
              <w:overflowPunct/>
              <w:topLinePunct w:val="0"/>
              <w:bidi w:val="0"/>
              <w:spacing w:line="360" w:lineRule="auto"/>
              <w:ind w:left="0" w:firstLine="480" w:firstLineChars="200"/>
              <w:jc w:val="both"/>
              <w:textAlignment w:val="auto"/>
              <w:rPr>
                <w:rFonts w:hint="eastAsia"/>
                <w:color w:val="000000" w:themeColor="text1"/>
                <w:sz w:val="24"/>
                <w:highlight w:val="none"/>
              </w:rPr>
            </w:pPr>
            <w:r>
              <w:rPr>
                <w:rFonts w:hint="eastAsia" w:ascii="Times New Roman" w:hAnsi="Times New Roman" w:eastAsia="宋体" w:cs="Times New Roman"/>
                <w:color w:val="000000" w:themeColor="text1"/>
                <w:sz w:val="24"/>
                <w:szCs w:val="24"/>
                <w:highlight w:val="none"/>
              </w:rPr>
              <w:t>本项目属于</w:t>
            </w:r>
            <w:r>
              <w:rPr>
                <w:rFonts w:hint="default" w:ascii="Times New Roman" w:hAnsi="Times New Roman" w:eastAsia="宋体" w:cs="Times New Roman"/>
                <w:color w:val="000000" w:themeColor="text1"/>
                <w:sz w:val="24"/>
                <w:szCs w:val="24"/>
                <w:highlight w:val="none"/>
                <w:lang w:val="en-US" w:eastAsia="zh-CN"/>
              </w:rPr>
              <w:t>塑料零件及其他塑料制品制造</w:t>
            </w:r>
            <w:r>
              <w:rPr>
                <w:rFonts w:hint="eastAsia" w:ascii="Times New Roman" w:hAnsi="Times New Roman" w:eastAsia="宋体" w:cs="Times New Roman"/>
                <w:color w:val="000000" w:themeColor="text1"/>
                <w:sz w:val="24"/>
                <w:szCs w:val="24"/>
                <w:highlight w:val="none"/>
                <w:lang w:val="en-US" w:eastAsia="zh-CN"/>
              </w:rPr>
              <w:t>、非金属废料和碎屑加工处理</w:t>
            </w:r>
            <w:r>
              <w:rPr>
                <w:rFonts w:hint="eastAsia" w:ascii="Times New Roman" w:hAnsi="Times New Roman" w:eastAsia="宋体" w:cs="Times New Roman"/>
                <w:color w:val="000000" w:themeColor="text1"/>
                <w:sz w:val="24"/>
                <w:szCs w:val="24"/>
                <w:lang w:val="en-US" w:eastAsia="zh-CN" w:bidi="ar-SA"/>
              </w:rPr>
              <w:t>、固体废物治理</w:t>
            </w:r>
            <w:r>
              <w:rPr>
                <w:rFonts w:hint="eastAsia" w:ascii="Times New Roman" w:hAnsi="Times New Roman" w:eastAsia="宋体" w:cs="Times New Roman"/>
                <w:color w:val="000000" w:themeColor="text1"/>
                <w:sz w:val="24"/>
                <w:szCs w:val="24"/>
                <w:highlight w:val="none"/>
              </w:rPr>
              <w:t>，</w:t>
            </w:r>
            <w:r>
              <w:rPr>
                <w:rFonts w:hint="eastAsia" w:ascii="Times New Roman" w:hAnsi="Times New Roman" w:eastAsia="宋体" w:cs="Times New Roman"/>
                <w:color w:val="000000" w:themeColor="text1"/>
                <w:sz w:val="24"/>
                <w:highlight w:val="none"/>
              </w:rPr>
              <w:t>本项目不属于鼓励类、限制类、淘汰类，</w:t>
            </w:r>
            <w:r>
              <w:rPr>
                <w:rFonts w:hint="eastAsia" w:cs="Times New Roman"/>
                <w:color w:val="000000" w:themeColor="text1"/>
                <w:sz w:val="24"/>
                <w:highlight w:val="none"/>
                <w:lang w:eastAsia="zh-CN"/>
              </w:rPr>
              <w:t>属于</w:t>
            </w:r>
            <w:r>
              <w:rPr>
                <w:rFonts w:hint="eastAsia" w:ascii="Times New Roman" w:hAnsi="Times New Roman" w:eastAsia="宋体" w:cs="Times New Roman"/>
                <w:color w:val="000000" w:themeColor="text1"/>
                <w:sz w:val="24"/>
                <w:highlight w:val="none"/>
              </w:rPr>
              <w:t>允许类建设项目，工艺中所使用的设备，未列入国家淘汰类和限制类设备产品目录，符合国家产业政策相关规定。项目</w:t>
            </w:r>
            <w:r>
              <w:rPr>
                <w:rFonts w:hint="eastAsia" w:ascii="Times New Roman" w:hAnsi="Times New Roman" w:cs="Times New Roman"/>
                <w:color w:val="000000" w:themeColor="text1"/>
                <w:sz w:val="24"/>
                <w:szCs w:val="24"/>
                <w:lang w:eastAsia="zh-CN"/>
              </w:rPr>
              <w:t>于202</w:t>
            </w:r>
            <w:r>
              <w:rPr>
                <w:rFonts w:hint="eastAsia" w:ascii="Times New Roman" w:hAnsi="Times New Roman" w:cs="Times New Roman"/>
                <w:color w:val="000000" w:themeColor="text1"/>
                <w:sz w:val="24"/>
                <w:szCs w:val="24"/>
                <w:lang w:val="en-US" w:eastAsia="zh-CN"/>
              </w:rPr>
              <w:t>5</w:t>
            </w:r>
            <w:r>
              <w:rPr>
                <w:rFonts w:hint="eastAsia" w:ascii="Times New Roman" w:hAnsi="Times New Roman" w:cs="Times New Roman"/>
                <w:color w:val="000000" w:themeColor="text1"/>
                <w:sz w:val="24"/>
                <w:szCs w:val="24"/>
                <w:lang w:eastAsia="zh-CN"/>
              </w:rPr>
              <w:t>年</w:t>
            </w:r>
            <w:r>
              <w:rPr>
                <w:rFonts w:hint="eastAsia" w:ascii="Times New Roman" w:hAnsi="Times New Roman" w:cs="Times New Roman"/>
                <w:color w:val="000000" w:themeColor="text1"/>
                <w:sz w:val="24"/>
                <w:szCs w:val="24"/>
                <w:lang w:val="en-US" w:eastAsia="zh-CN"/>
              </w:rPr>
              <w:t>9</w:t>
            </w:r>
            <w:r>
              <w:rPr>
                <w:rFonts w:hint="eastAsia" w:ascii="Times New Roman" w:hAnsi="Times New Roman" w:cs="Times New Roman"/>
                <w:color w:val="000000" w:themeColor="text1"/>
                <w:sz w:val="24"/>
                <w:szCs w:val="24"/>
                <w:lang w:eastAsia="zh-CN"/>
              </w:rPr>
              <w:t>月</w:t>
            </w:r>
            <w:r>
              <w:rPr>
                <w:rFonts w:hint="eastAsia" w:ascii="Times New Roman" w:hAnsi="Times New Roman" w:cs="Times New Roman"/>
                <w:color w:val="000000" w:themeColor="text1"/>
                <w:sz w:val="24"/>
                <w:szCs w:val="24"/>
                <w:lang w:val="en-US" w:eastAsia="zh-CN"/>
              </w:rPr>
              <w:t>12</w:t>
            </w:r>
            <w:r>
              <w:rPr>
                <w:rFonts w:hint="eastAsia" w:ascii="Times New Roman" w:hAnsi="Times New Roman" w:cs="Times New Roman"/>
                <w:color w:val="000000" w:themeColor="text1"/>
                <w:sz w:val="24"/>
                <w:szCs w:val="24"/>
                <w:lang w:eastAsia="zh-CN"/>
              </w:rPr>
              <w:t>日获得</w:t>
            </w:r>
            <w:r>
              <w:rPr>
                <w:rFonts w:hint="eastAsia" w:ascii="Times New Roman" w:hAnsi="Times New Roman" w:cs="Times New Roman"/>
                <w:color w:val="000000" w:themeColor="text1"/>
                <w:sz w:val="24"/>
                <w:szCs w:val="24"/>
                <w:lang w:val="en-US" w:eastAsia="zh-CN"/>
              </w:rPr>
              <w:t>江西九江沙城工业园区管理委员会</w:t>
            </w:r>
            <w:r>
              <w:rPr>
                <w:rFonts w:hint="eastAsia" w:ascii="Times New Roman" w:hAnsi="Times New Roman" w:cs="Times New Roman"/>
                <w:color w:val="000000" w:themeColor="text1"/>
                <w:sz w:val="24"/>
                <w:szCs w:val="24"/>
                <w:lang w:eastAsia="zh-CN"/>
              </w:rPr>
              <w:t>立项（</w:t>
            </w:r>
            <w:r>
              <w:rPr>
                <w:rFonts w:hint="eastAsia" w:ascii="Times New Roman" w:hAnsi="Times New Roman" w:cs="Times New Roman"/>
                <w:color w:val="000000" w:themeColor="text1"/>
                <w:sz w:val="24"/>
                <w:szCs w:val="24"/>
                <w:lang w:val="en-US" w:eastAsia="zh-CN"/>
              </w:rPr>
              <w:t>备案</w:t>
            </w:r>
            <w:r>
              <w:rPr>
                <w:rFonts w:hint="eastAsia" w:ascii="Times New Roman" w:hAnsi="Times New Roman" w:cs="Times New Roman"/>
                <w:color w:val="000000" w:themeColor="text1"/>
                <w:sz w:val="24"/>
                <w:szCs w:val="24"/>
                <w:lang w:eastAsia="zh-CN"/>
              </w:rPr>
              <w:t>号：</w:t>
            </w:r>
            <w:r>
              <w:rPr>
                <w:rFonts w:hint="eastAsia" w:ascii="Times New Roman" w:hAnsi="Times New Roman" w:cs="Times New Roman"/>
                <w:color w:val="000000" w:themeColor="text1"/>
                <w:sz w:val="24"/>
                <w:szCs w:val="24"/>
                <w:lang w:val="en-US" w:eastAsia="zh-CN"/>
              </w:rPr>
              <w:t>2504-360421-07-02-690797</w:t>
            </w:r>
            <w:r>
              <w:rPr>
                <w:rFonts w:hint="eastAsia" w:ascii="Times New Roman" w:hAnsi="Times New Roman" w:cs="Times New Roman"/>
                <w:color w:val="000000" w:themeColor="text1"/>
                <w:sz w:val="24"/>
                <w:szCs w:val="24"/>
                <w:lang w:eastAsia="zh-CN"/>
              </w:rPr>
              <w:t>），符合</w:t>
            </w:r>
            <w:r>
              <w:rPr>
                <w:rFonts w:hint="eastAsia"/>
                <w:color w:val="000000" w:themeColor="text1"/>
                <w:sz w:val="24"/>
                <w:highlight w:val="none"/>
              </w:rPr>
              <w:t>当地产业政策。</w:t>
            </w:r>
          </w:p>
          <w:p w14:paraId="59D9A7DC">
            <w:pPr>
              <w:keepNext w:val="0"/>
              <w:keepLines w:val="0"/>
              <w:pageBreakBefore w:val="0"/>
              <w:widowControl/>
              <w:kinsoku/>
              <w:wordWrap/>
              <w:overflowPunct/>
              <w:topLinePunct w:val="0"/>
              <w:bidi w:val="0"/>
              <w:spacing w:line="360" w:lineRule="auto"/>
              <w:ind w:left="0" w:firstLine="480" w:firstLineChars="200"/>
              <w:jc w:val="both"/>
              <w:textAlignment w:val="auto"/>
              <w:rPr>
                <w:color w:val="000000" w:themeColor="text1"/>
                <w:sz w:val="24"/>
                <w:highlight w:val="none"/>
              </w:rPr>
            </w:pPr>
            <w:r>
              <w:rPr>
                <w:rFonts w:hint="eastAsia"/>
                <w:color w:val="000000" w:themeColor="text1"/>
                <w:sz w:val="24"/>
                <w:highlight w:val="none"/>
              </w:rPr>
              <w:t>综上</w:t>
            </w:r>
            <w:r>
              <w:rPr>
                <w:color w:val="000000" w:themeColor="text1"/>
                <w:sz w:val="24"/>
                <w:highlight w:val="none"/>
              </w:rPr>
              <w:t>，该项目符合国家及当地相关政策。</w:t>
            </w:r>
          </w:p>
          <w:p w14:paraId="115F158C">
            <w:pPr>
              <w:keepNext w:val="0"/>
              <w:keepLines w:val="0"/>
              <w:pageBreakBefore w:val="0"/>
              <w:kinsoku/>
              <w:wordWrap/>
              <w:overflowPunct/>
              <w:topLinePunct w:val="0"/>
              <w:autoSpaceDE w:val="0"/>
              <w:autoSpaceDN w:val="0"/>
              <w:bidi w:val="0"/>
              <w:adjustRightInd w:val="0"/>
              <w:snapToGrid w:val="0"/>
              <w:spacing w:line="360" w:lineRule="auto"/>
              <w:ind w:left="0" w:firstLine="482" w:firstLineChars="200"/>
              <w:jc w:val="both"/>
              <w:textAlignment w:val="auto"/>
              <w:rPr>
                <w:rFonts w:hint="eastAsia"/>
                <w:b/>
                <w:bCs/>
                <w:color w:val="000000" w:themeColor="text1"/>
                <w:sz w:val="24"/>
                <w:highlight w:val="none"/>
              </w:rPr>
            </w:pPr>
            <w:r>
              <w:rPr>
                <w:rFonts w:hint="eastAsia"/>
                <w:b/>
                <w:bCs/>
                <w:color w:val="000000" w:themeColor="text1"/>
                <w:sz w:val="24"/>
                <w:highlight w:val="none"/>
                <w:lang w:val="en-US" w:eastAsia="zh-CN"/>
              </w:rPr>
              <w:t>2</w:t>
            </w:r>
            <w:r>
              <w:rPr>
                <w:rFonts w:hint="eastAsia"/>
                <w:b/>
                <w:bCs/>
                <w:color w:val="000000" w:themeColor="text1"/>
                <w:sz w:val="24"/>
                <w:highlight w:val="none"/>
              </w:rPr>
              <w:t>、选址规划符合性分析</w:t>
            </w:r>
          </w:p>
          <w:p w14:paraId="2555BF17">
            <w:pPr>
              <w:keepNext w:val="0"/>
              <w:keepLines w:val="0"/>
              <w:pageBreakBefore w:val="0"/>
              <w:kinsoku/>
              <w:wordWrap/>
              <w:overflowPunct/>
              <w:topLinePunct w:val="0"/>
              <w:bidi w:val="0"/>
              <w:spacing w:line="360" w:lineRule="auto"/>
              <w:ind w:left="0" w:firstLine="480" w:firstLineChars="200"/>
              <w:jc w:val="both"/>
              <w:textAlignment w:val="auto"/>
              <w:rPr>
                <w:rFonts w:hint="eastAsia"/>
                <w:color w:val="000000" w:themeColor="text1"/>
                <w:sz w:val="24"/>
                <w:highlight w:val="none"/>
              </w:rPr>
            </w:pPr>
            <w:r>
              <w:rPr>
                <w:rFonts w:hint="eastAsia"/>
                <w:color w:val="000000" w:themeColor="text1"/>
                <w:sz w:val="24"/>
                <w:highlight w:val="none"/>
                <w:lang w:val="zh-CN"/>
              </w:rPr>
              <w:t>项目位于九江市柴桑区</w:t>
            </w:r>
            <w:r>
              <w:rPr>
                <w:rFonts w:hint="eastAsia"/>
                <w:color w:val="000000" w:themeColor="text1"/>
                <w:sz w:val="24"/>
                <w:highlight w:val="none"/>
                <w:lang w:val="en-US" w:eastAsia="zh-CN"/>
              </w:rPr>
              <w:t>赤湖</w:t>
            </w:r>
            <w:r>
              <w:rPr>
                <w:rFonts w:hint="eastAsia"/>
                <w:color w:val="000000" w:themeColor="text1"/>
                <w:sz w:val="24"/>
                <w:highlight w:val="none"/>
                <w:lang w:val="zh-CN"/>
              </w:rPr>
              <w:t>工业园</w:t>
            </w:r>
            <w:r>
              <w:rPr>
                <w:rFonts w:hint="eastAsia" w:cs="Times New Roman"/>
                <w:color w:val="000000" w:themeColor="text1"/>
                <w:sz w:val="24"/>
                <w:highlight w:val="none"/>
                <w:lang w:val="en-US" w:eastAsia="zh-CN"/>
              </w:rPr>
              <w:t>兴业大道以南、通江东路以东</w:t>
            </w:r>
            <w:r>
              <w:rPr>
                <w:rFonts w:hint="eastAsia"/>
                <w:color w:val="000000" w:themeColor="text1"/>
                <w:sz w:val="24"/>
                <w:highlight w:val="none"/>
                <w:lang w:val="zh-CN"/>
              </w:rPr>
              <w:t>，</w:t>
            </w:r>
            <w:r>
              <w:rPr>
                <w:rFonts w:hint="eastAsia"/>
                <w:color w:val="000000" w:themeColor="text1"/>
                <w:sz w:val="24"/>
                <w:highlight w:val="none"/>
                <w:lang w:val="en-US" w:eastAsia="zh-CN"/>
              </w:rPr>
              <w:t>中</w:t>
            </w:r>
            <w:r>
              <w:rPr>
                <w:rFonts w:hint="default" w:ascii="Times New Roman" w:hAnsi="Times New Roman" w:cs="Times New Roman"/>
                <w:color w:val="000000" w:themeColor="text1"/>
                <w:sz w:val="24"/>
                <w:highlight w:val="none"/>
                <w:lang w:val="en-US" w:eastAsia="zh-CN"/>
              </w:rPr>
              <w:t>心地理位置</w:t>
            </w:r>
            <w:r>
              <w:rPr>
                <w:rFonts w:hint="default" w:ascii="Times New Roman" w:hAnsi="Times New Roman" w:cs="Times New Roman"/>
                <w:color w:val="000000" w:themeColor="text1"/>
                <w:sz w:val="24"/>
                <w:highlight w:val="none"/>
                <w:lang w:val="zh-CN"/>
              </w:rPr>
              <w:t>（</w:t>
            </w:r>
            <w:r>
              <w:rPr>
                <w:rFonts w:hint="default" w:ascii="Times New Roman" w:hAnsi="Times New Roman" w:cs="Times New Roman"/>
                <w:color w:val="000000" w:themeColor="text1"/>
                <w:sz w:val="24"/>
                <w:szCs w:val="24"/>
                <w:lang w:eastAsia="zh-CN"/>
              </w:rPr>
              <w:t>E115°44'55.135"N29°46'36.516"</w:t>
            </w:r>
            <w:r>
              <w:rPr>
                <w:rFonts w:hint="default" w:ascii="Times New Roman" w:hAnsi="Times New Roman" w:cs="Times New Roman"/>
                <w:color w:val="000000" w:themeColor="text1"/>
                <w:sz w:val="24"/>
                <w:highlight w:val="none"/>
                <w:lang w:val="zh-CN"/>
              </w:rPr>
              <w:t>）</w:t>
            </w:r>
            <w:r>
              <w:rPr>
                <w:rFonts w:hint="default" w:ascii="Times New Roman" w:hAnsi="Times New Roman" w:cs="Times New Roman"/>
                <w:color w:val="000000" w:themeColor="text1"/>
                <w:sz w:val="24"/>
                <w:highlight w:val="none"/>
              </w:rPr>
              <w:t>，项目选址位于</w:t>
            </w:r>
            <w:r>
              <w:rPr>
                <w:rFonts w:hint="default" w:ascii="Times New Roman" w:hAnsi="Times New Roman" w:cs="Times New Roman"/>
                <w:color w:val="000000" w:themeColor="text1"/>
                <w:sz w:val="24"/>
                <w:highlight w:val="none"/>
                <w:lang w:val="zh-CN"/>
              </w:rPr>
              <w:t>九江市柴桑区</w:t>
            </w:r>
            <w:r>
              <w:rPr>
                <w:rFonts w:hint="eastAsia"/>
                <w:color w:val="000000" w:themeColor="text1"/>
                <w:sz w:val="24"/>
                <w:highlight w:val="none"/>
                <w:lang w:val="en-US" w:eastAsia="zh-CN"/>
              </w:rPr>
              <w:t>赤湖</w:t>
            </w:r>
            <w:r>
              <w:rPr>
                <w:rFonts w:hint="eastAsia"/>
                <w:color w:val="000000" w:themeColor="text1"/>
                <w:sz w:val="24"/>
                <w:highlight w:val="none"/>
              </w:rPr>
              <w:t>工业园内，属于工业用地。不属于生活饮用水源地和地下水补给区、风景名胜区、温泉疗养区、水产养殖区、基本农田保护区、自然保护区等需要特殊保护区域。本项目不属于环境风险等级较高的项目。项目所在区域水环境质量、环境空气和环境噪声质量良好，对项目污染因子有环境容量。</w:t>
            </w:r>
          </w:p>
          <w:p w14:paraId="126F7D66">
            <w:pPr>
              <w:keepNext w:val="0"/>
              <w:keepLines w:val="0"/>
              <w:pageBreakBefore w:val="0"/>
              <w:kinsoku/>
              <w:wordWrap/>
              <w:overflowPunct/>
              <w:topLinePunct w:val="0"/>
              <w:bidi w:val="0"/>
              <w:spacing w:line="360" w:lineRule="auto"/>
              <w:ind w:left="0" w:firstLine="482" w:firstLineChars="200"/>
              <w:jc w:val="both"/>
              <w:textAlignment w:val="auto"/>
              <w:rPr>
                <w:b/>
                <w:bCs/>
                <w:color w:val="000000" w:themeColor="text1"/>
                <w:sz w:val="24"/>
                <w:highlight w:val="none"/>
              </w:rPr>
            </w:pPr>
            <w:r>
              <w:rPr>
                <w:rFonts w:hint="eastAsia"/>
                <w:b/>
                <w:bCs/>
                <w:color w:val="000000" w:themeColor="text1"/>
                <w:sz w:val="24"/>
                <w:highlight w:val="none"/>
                <w:lang w:val="en-US" w:eastAsia="zh-CN"/>
              </w:rPr>
              <w:t>3</w:t>
            </w:r>
            <w:r>
              <w:rPr>
                <w:rFonts w:hint="eastAsia"/>
                <w:b/>
                <w:bCs/>
                <w:color w:val="000000" w:themeColor="text1"/>
                <w:sz w:val="24"/>
                <w:highlight w:val="none"/>
              </w:rPr>
              <w:t>、</w:t>
            </w:r>
            <w:r>
              <w:rPr>
                <w:b/>
                <w:bCs/>
                <w:color w:val="000000" w:themeColor="text1"/>
                <w:sz w:val="24"/>
                <w:highlight w:val="none"/>
              </w:rPr>
              <w:t>与“三线一单”符合性分析</w:t>
            </w:r>
          </w:p>
          <w:p w14:paraId="5C861ED7">
            <w:pPr>
              <w:keepNext w:val="0"/>
              <w:keepLines w:val="0"/>
              <w:pageBreakBefore w:val="0"/>
              <w:kinsoku/>
              <w:wordWrap/>
              <w:overflowPunct/>
              <w:topLinePunct w:val="0"/>
              <w:bidi w:val="0"/>
              <w:spacing w:line="360" w:lineRule="auto"/>
              <w:ind w:left="0" w:firstLine="482" w:firstLineChars="200"/>
              <w:jc w:val="both"/>
              <w:textAlignment w:val="auto"/>
              <w:rPr>
                <w:b/>
                <w:bCs/>
                <w:color w:val="000000" w:themeColor="text1"/>
                <w:sz w:val="24"/>
                <w:highlight w:val="none"/>
              </w:rPr>
            </w:pPr>
            <w:r>
              <w:rPr>
                <w:rFonts w:hint="eastAsia"/>
                <w:b/>
                <w:bCs/>
                <w:color w:val="000000" w:themeColor="text1"/>
                <w:sz w:val="24"/>
                <w:highlight w:val="none"/>
                <w:lang w:eastAsia="zh-CN"/>
              </w:rPr>
              <w:t>（</w:t>
            </w:r>
            <w:r>
              <w:rPr>
                <w:rFonts w:hint="eastAsia"/>
                <w:b/>
                <w:bCs/>
                <w:color w:val="000000" w:themeColor="text1"/>
                <w:sz w:val="24"/>
                <w:highlight w:val="none"/>
                <w:lang w:val="en-US" w:eastAsia="zh-CN"/>
              </w:rPr>
              <w:t>1</w:t>
            </w:r>
            <w:r>
              <w:rPr>
                <w:rFonts w:hint="eastAsia"/>
                <w:b/>
                <w:bCs/>
                <w:color w:val="000000" w:themeColor="text1"/>
                <w:sz w:val="24"/>
                <w:highlight w:val="none"/>
                <w:lang w:eastAsia="zh-CN"/>
              </w:rPr>
              <w:t>）</w:t>
            </w:r>
            <w:r>
              <w:rPr>
                <w:b/>
                <w:bCs/>
                <w:color w:val="000000" w:themeColor="text1"/>
                <w:sz w:val="24"/>
                <w:highlight w:val="none"/>
              </w:rPr>
              <w:t>生态保护红线</w:t>
            </w:r>
          </w:p>
          <w:p w14:paraId="3EA0719D">
            <w:pPr>
              <w:keepNext w:val="0"/>
              <w:keepLines w:val="0"/>
              <w:pageBreakBefore w:val="0"/>
              <w:kinsoku/>
              <w:wordWrap/>
              <w:overflowPunct/>
              <w:topLinePunct w:val="0"/>
              <w:bidi w:val="0"/>
              <w:spacing w:line="360" w:lineRule="auto"/>
              <w:ind w:left="0" w:firstLine="480" w:firstLineChars="200"/>
              <w:jc w:val="both"/>
              <w:textAlignment w:val="auto"/>
              <w:rPr>
                <w:rFonts w:hint="default" w:ascii="Times New Roman" w:hAnsi="Times New Roman" w:cs="Times New Roman"/>
                <w:color w:val="000000" w:themeColor="text1"/>
                <w:kern w:val="0"/>
                <w:sz w:val="24"/>
                <w:highlight w:val="none"/>
              </w:rPr>
            </w:pPr>
            <w:r>
              <w:rPr>
                <w:rFonts w:hint="default" w:ascii="Times New Roman" w:hAnsi="Times New Roman" w:cs="Times New Roman"/>
                <w:color w:val="000000" w:themeColor="text1"/>
                <w:kern w:val="0"/>
                <w:sz w:val="24"/>
                <w:highlight w:val="none"/>
              </w:rPr>
              <w:t>江西省生态保护红线划定面积为46876.00平方公里，占国土面积比例为28.06%。江西省生态保护红线基本格局为“一湖五河三屏”：“一湖”为鄱阳湖（主要包括鄱阳湖、南矶山等自然保护区），主要生态功能是生物多样性维护；“五河”指赣、抚、信、饶、修五河源头区及重要水域，主要生态功能是水源涵养；“三屏”为赣东——赣东北山地森林生态屏障（包括怀玉山、武夷山脉、雩山）、赣西——赣西北山地森林生态屏障（包括罗霄山脉、九岭山）和赣南山地森林生态屏障（包括南岭山地、九连山），主要生态功能是生物多样性维护和水源涵养。主要类型和分布范围。全省生态保护红线区按主导生态功能分为水源涵养、生物多样性维护和水土保持3大类，共16个片区。</w:t>
            </w:r>
          </w:p>
          <w:p w14:paraId="44061B88">
            <w:pPr>
              <w:keepNext w:val="0"/>
              <w:keepLines w:val="0"/>
              <w:pageBreakBefore w:val="0"/>
              <w:kinsoku/>
              <w:wordWrap/>
              <w:overflowPunct/>
              <w:topLinePunct w:val="0"/>
              <w:bidi w:val="0"/>
              <w:spacing w:line="360" w:lineRule="auto"/>
              <w:ind w:left="0" w:firstLine="480" w:firstLineChars="200"/>
              <w:jc w:val="both"/>
              <w:textAlignment w:val="auto"/>
              <w:rPr>
                <w:rFonts w:hint="default" w:ascii="Times New Roman" w:hAnsi="Times New Roman" w:cs="Times New Roman"/>
                <w:color w:val="000000" w:themeColor="text1"/>
                <w:sz w:val="24"/>
                <w:highlight w:val="none"/>
              </w:rPr>
            </w:pPr>
            <w:r>
              <w:rPr>
                <w:rFonts w:hint="default" w:ascii="Times New Roman" w:hAnsi="Times New Roman" w:cs="Times New Roman"/>
                <w:color w:val="000000" w:themeColor="text1"/>
                <w:kern w:val="0"/>
                <w:sz w:val="24"/>
                <w:highlight w:val="none"/>
              </w:rPr>
              <w:t>项目位于工业园区，</w:t>
            </w:r>
            <w:r>
              <w:rPr>
                <w:rFonts w:hint="default" w:ascii="Times New Roman" w:hAnsi="Times New Roman" w:eastAsia="宋体" w:cs="Times New Roman"/>
                <w:color w:val="000000" w:themeColor="text1"/>
                <w:sz w:val="24"/>
                <w:szCs w:val="24"/>
              </w:rPr>
              <w:t>用地性质为工业用地，不在当地饮用水源、风景名胜区、自然保护区等生态保护区内，</w:t>
            </w:r>
            <w:r>
              <w:rPr>
                <w:rFonts w:hint="default" w:ascii="Times New Roman" w:hAnsi="Times New Roman" w:cs="Times New Roman"/>
                <w:color w:val="000000" w:themeColor="text1"/>
                <w:kern w:val="0"/>
                <w:sz w:val="24"/>
                <w:highlight w:val="none"/>
              </w:rPr>
              <w:t>依据</w:t>
            </w:r>
            <w:r>
              <w:rPr>
                <w:rFonts w:hint="default" w:ascii="Times New Roman" w:hAnsi="Times New Roman" w:cs="Times New Roman"/>
                <w:color w:val="000000" w:themeColor="text1"/>
                <w:sz w:val="24"/>
                <w:highlight w:val="none"/>
              </w:rPr>
              <w:t>《江西省生态保护红线》（江西省人民政府关于发布江西省生态保护红线的通知，赣府发〔2020〕17号）</w:t>
            </w:r>
            <w:r>
              <w:rPr>
                <w:rFonts w:hint="default" w:ascii="Times New Roman" w:hAnsi="Times New Roman" w:cs="Times New Roman"/>
                <w:color w:val="000000" w:themeColor="text1"/>
                <w:kern w:val="0"/>
                <w:sz w:val="24"/>
                <w:highlight w:val="none"/>
              </w:rPr>
              <w:t>及生态红线分布图，项目不在生态红线范围内，周边无自然保护区、饮用水源保护区等生态保护目标，项目建设与《江西省生态空间保护红线区划》是不冲突的。符合生态保护红线的要求。</w:t>
            </w:r>
          </w:p>
          <w:p w14:paraId="7444C5E0">
            <w:pPr>
              <w:keepNext w:val="0"/>
              <w:keepLines w:val="0"/>
              <w:pageBreakBefore w:val="0"/>
              <w:kinsoku/>
              <w:wordWrap/>
              <w:overflowPunct/>
              <w:topLinePunct w:val="0"/>
              <w:bidi w:val="0"/>
              <w:spacing w:line="360" w:lineRule="auto"/>
              <w:ind w:left="0" w:firstLine="482" w:firstLineChars="200"/>
              <w:jc w:val="both"/>
              <w:textAlignment w:val="auto"/>
              <w:rPr>
                <w:b/>
                <w:bCs/>
                <w:color w:val="000000" w:themeColor="text1"/>
                <w:sz w:val="24"/>
                <w:highlight w:val="none"/>
              </w:rPr>
            </w:pPr>
            <w:r>
              <w:rPr>
                <w:rFonts w:hint="eastAsia"/>
                <w:b/>
                <w:bCs/>
                <w:color w:val="000000" w:themeColor="text1"/>
                <w:sz w:val="24"/>
                <w:highlight w:val="none"/>
                <w:lang w:eastAsia="zh-CN"/>
              </w:rPr>
              <w:t>（</w:t>
            </w:r>
            <w:r>
              <w:rPr>
                <w:rFonts w:hint="eastAsia"/>
                <w:b/>
                <w:bCs/>
                <w:color w:val="000000" w:themeColor="text1"/>
                <w:sz w:val="24"/>
                <w:highlight w:val="none"/>
                <w:lang w:val="en-US" w:eastAsia="zh-CN"/>
              </w:rPr>
              <w:t>2</w:t>
            </w:r>
            <w:r>
              <w:rPr>
                <w:rFonts w:hint="eastAsia"/>
                <w:b/>
                <w:bCs/>
                <w:color w:val="000000" w:themeColor="text1"/>
                <w:sz w:val="24"/>
                <w:highlight w:val="none"/>
                <w:lang w:eastAsia="zh-CN"/>
              </w:rPr>
              <w:t>）</w:t>
            </w:r>
            <w:r>
              <w:rPr>
                <w:b/>
                <w:bCs/>
                <w:color w:val="000000" w:themeColor="text1"/>
                <w:sz w:val="24"/>
                <w:highlight w:val="none"/>
              </w:rPr>
              <w:t>环境质量底线</w:t>
            </w:r>
          </w:p>
          <w:p w14:paraId="3512CB4C">
            <w:pPr>
              <w:pStyle w:val="87"/>
              <w:keepNext w:val="0"/>
              <w:keepLines w:val="0"/>
              <w:pageBreakBefore w:val="0"/>
              <w:kinsoku/>
              <w:wordWrap/>
              <w:overflowPunct/>
              <w:topLinePunct w:val="0"/>
              <w:bidi w:val="0"/>
              <w:spacing w:line="360" w:lineRule="auto"/>
              <w:ind w:left="0" w:firstLine="480" w:firstLineChars="200"/>
              <w:jc w:val="both"/>
              <w:textAlignment w:val="auto"/>
              <w:rPr>
                <w:color w:val="000000" w:themeColor="text1"/>
                <w:highlight w:val="none"/>
              </w:rPr>
            </w:pPr>
            <w:r>
              <w:rPr>
                <w:rFonts w:hint="eastAsia"/>
                <w:color w:val="000000" w:themeColor="text1"/>
                <w:highlight w:val="none"/>
              </w:rPr>
              <w:t>根据九江市柴桑区环境功能区划，项目所在区域环境空气执行《环境空气质量标准》（GB3095-2012）表1中的二级标准，地表水执行《地表水环境质量标准》（GB3838-2002）中的Ⅲ类水质标准，声环境执行《声环境质量标准》（GB3096-2008）3类标准。项目所在区域环境质量均能达到相应环境质量标准要求。项目建成后，项目废气</w:t>
            </w:r>
            <w:r>
              <w:rPr>
                <w:rFonts w:hint="eastAsia"/>
                <w:color w:val="000000" w:themeColor="text1"/>
                <w:highlight w:val="none"/>
                <w:lang w:eastAsia="zh-CN"/>
              </w:rPr>
              <w:t>、</w:t>
            </w:r>
            <w:r>
              <w:rPr>
                <w:rFonts w:hint="eastAsia"/>
                <w:color w:val="000000" w:themeColor="text1"/>
                <w:highlight w:val="none"/>
                <w:lang w:val="en-US" w:eastAsia="zh-CN"/>
              </w:rPr>
              <w:t>废水</w:t>
            </w:r>
            <w:r>
              <w:rPr>
                <w:rFonts w:hint="eastAsia"/>
                <w:color w:val="000000" w:themeColor="text1"/>
                <w:highlight w:val="none"/>
              </w:rPr>
              <w:t>污染物经处理后均可以达标排放，对外环境影响不大。厂界满足</w:t>
            </w:r>
            <w:r>
              <w:rPr>
                <w:color w:val="000000" w:themeColor="text1"/>
                <w:highlight w:val="none"/>
              </w:rPr>
              <w:t>《工业企业厂界环境噪声排放标准》（GB12348-2008）</w:t>
            </w:r>
            <w:r>
              <w:rPr>
                <w:rFonts w:hint="eastAsia"/>
                <w:color w:val="000000" w:themeColor="text1"/>
                <w:highlight w:val="none"/>
              </w:rPr>
              <w:t>3类标准，对周边环境影响不明显，满足环境质量底线要求。</w:t>
            </w:r>
          </w:p>
          <w:p w14:paraId="2ED9A588">
            <w:pPr>
              <w:keepNext w:val="0"/>
              <w:keepLines w:val="0"/>
              <w:pageBreakBefore w:val="0"/>
              <w:kinsoku/>
              <w:wordWrap/>
              <w:overflowPunct/>
              <w:topLinePunct w:val="0"/>
              <w:bidi w:val="0"/>
              <w:spacing w:line="360" w:lineRule="auto"/>
              <w:ind w:left="0" w:firstLine="482" w:firstLineChars="200"/>
              <w:jc w:val="both"/>
              <w:textAlignment w:val="auto"/>
              <w:rPr>
                <w:b/>
                <w:bCs/>
                <w:color w:val="000000" w:themeColor="text1"/>
                <w:sz w:val="24"/>
                <w:highlight w:val="none"/>
              </w:rPr>
            </w:pPr>
            <w:r>
              <w:rPr>
                <w:rFonts w:hint="eastAsia"/>
                <w:b/>
                <w:bCs/>
                <w:color w:val="000000" w:themeColor="text1"/>
                <w:sz w:val="24"/>
                <w:highlight w:val="none"/>
                <w:lang w:eastAsia="zh-CN"/>
              </w:rPr>
              <w:t>（</w:t>
            </w:r>
            <w:r>
              <w:rPr>
                <w:rFonts w:hint="eastAsia"/>
                <w:b/>
                <w:bCs/>
                <w:color w:val="000000" w:themeColor="text1"/>
                <w:sz w:val="24"/>
                <w:highlight w:val="none"/>
                <w:lang w:val="en-US" w:eastAsia="zh-CN"/>
              </w:rPr>
              <w:t>3</w:t>
            </w:r>
            <w:r>
              <w:rPr>
                <w:rFonts w:hint="eastAsia"/>
                <w:b/>
                <w:bCs/>
                <w:color w:val="000000" w:themeColor="text1"/>
                <w:sz w:val="24"/>
                <w:highlight w:val="none"/>
                <w:lang w:eastAsia="zh-CN"/>
              </w:rPr>
              <w:t>）</w:t>
            </w:r>
            <w:r>
              <w:rPr>
                <w:b/>
                <w:bCs/>
                <w:color w:val="000000" w:themeColor="text1"/>
                <w:sz w:val="24"/>
                <w:highlight w:val="none"/>
              </w:rPr>
              <w:t>资源利用上</w:t>
            </w:r>
            <w:r>
              <w:rPr>
                <w:rFonts w:hint="eastAsia"/>
                <w:b/>
                <w:bCs/>
                <w:color w:val="000000" w:themeColor="text1"/>
                <w:sz w:val="24"/>
                <w:highlight w:val="none"/>
              </w:rPr>
              <w:t>限</w:t>
            </w:r>
          </w:p>
          <w:p w14:paraId="3E8EDB8F">
            <w:pPr>
              <w:keepNext w:val="0"/>
              <w:keepLines w:val="0"/>
              <w:pageBreakBefore w:val="0"/>
              <w:kinsoku/>
              <w:wordWrap/>
              <w:overflowPunct/>
              <w:topLinePunct w:val="0"/>
              <w:bidi w:val="0"/>
              <w:adjustRightInd w:val="0"/>
              <w:spacing w:line="360" w:lineRule="auto"/>
              <w:ind w:left="0" w:firstLine="480" w:firstLineChars="200"/>
              <w:jc w:val="both"/>
              <w:textAlignment w:val="auto"/>
              <w:rPr>
                <w:color w:val="000000" w:themeColor="text1"/>
                <w:sz w:val="24"/>
                <w:highlight w:val="none"/>
              </w:rPr>
            </w:pPr>
            <w:r>
              <w:rPr>
                <w:color w:val="000000" w:themeColor="text1"/>
                <w:sz w:val="24"/>
                <w:highlight w:val="none"/>
              </w:rPr>
              <w:t>资源利用上</w:t>
            </w:r>
            <w:r>
              <w:rPr>
                <w:rFonts w:hint="eastAsia"/>
                <w:color w:val="000000" w:themeColor="text1"/>
                <w:sz w:val="24"/>
                <w:highlight w:val="none"/>
              </w:rPr>
              <w:t>限</w:t>
            </w:r>
            <w:r>
              <w:rPr>
                <w:color w:val="000000" w:themeColor="text1"/>
                <w:sz w:val="24"/>
                <w:highlight w:val="none"/>
              </w:rPr>
              <w:t>资源是环境的载体，资源利用上</w:t>
            </w:r>
            <w:r>
              <w:rPr>
                <w:rFonts w:hint="eastAsia"/>
                <w:color w:val="000000" w:themeColor="text1"/>
                <w:sz w:val="24"/>
                <w:highlight w:val="none"/>
              </w:rPr>
              <w:t>限</w:t>
            </w:r>
            <w:r>
              <w:rPr>
                <w:color w:val="000000" w:themeColor="text1"/>
                <w:sz w:val="24"/>
                <w:highlight w:val="none"/>
              </w:rPr>
              <w:t>是促进资源能源节约，保障能源、水、土地等资源高效利用，不应突破的最高限值。本项目不属于高能耗、高污染、资源型企业，用水来自市政供水管网，用电来自市政供电。建成运行后通过内部管理、设备选择、原辅材料的选用和管理、废物回收利用、污染治理等多方面采取合理可行的防治措施，以</w:t>
            </w:r>
            <w:r>
              <w:rPr>
                <w:rFonts w:hint="eastAsia"/>
                <w:color w:val="000000" w:themeColor="text1"/>
                <w:sz w:val="24"/>
                <w:highlight w:val="none"/>
              </w:rPr>
              <w:t>“</w:t>
            </w:r>
            <w:r>
              <w:rPr>
                <w:color w:val="000000" w:themeColor="text1"/>
                <w:sz w:val="24"/>
                <w:highlight w:val="none"/>
              </w:rPr>
              <w:t>节能、降耗、减污</w:t>
            </w:r>
            <w:r>
              <w:rPr>
                <w:rFonts w:hint="eastAsia"/>
                <w:color w:val="000000" w:themeColor="text1"/>
                <w:sz w:val="24"/>
                <w:highlight w:val="none"/>
              </w:rPr>
              <w:t>”</w:t>
            </w:r>
            <w:r>
              <w:rPr>
                <w:color w:val="000000" w:themeColor="text1"/>
                <w:sz w:val="24"/>
                <w:highlight w:val="none"/>
              </w:rPr>
              <w:t>为目标，有效</w:t>
            </w:r>
            <w:r>
              <w:rPr>
                <w:rFonts w:hint="eastAsia"/>
                <w:color w:val="000000" w:themeColor="text1"/>
                <w:sz w:val="24"/>
                <w:highlight w:val="none"/>
                <w:lang w:eastAsia="zh-CN"/>
              </w:rPr>
              <w:t>地</w:t>
            </w:r>
            <w:r>
              <w:rPr>
                <w:color w:val="000000" w:themeColor="text1"/>
                <w:sz w:val="24"/>
                <w:highlight w:val="none"/>
              </w:rPr>
              <w:t>控制污染。水、电等资源利用不会突破区域的资源利用上</w:t>
            </w:r>
            <w:r>
              <w:rPr>
                <w:rFonts w:hint="eastAsia"/>
                <w:color w:val="000000" w:themeColor="text1"/>
                <w:sz w:val="24"/>
                <w:highlight w:val="none"/>
              </w:rPr>
              <w:t>限</w:t>
            </w:r>
            <w:r>
              <w:rPr>
                <w:color w:val="000000" w:themeColor="text1"/>
                <w:sz w:val="24"/>
                <w:highlight w:val="none"/>
              </w:rPr>
              <w:t>。</w:t>
            </w:r>
          </w:p>
          <w:p w14:paraId="4F5BEDA8">
            <w:pPr>
              <w:keepNext w:val="0"/>
              <w:keepLines w:val="0"/>
              <w:pageBreakBefore w:val="0"/>
              <w:kinsoku/>
              <w:wordWrap/>
              <w:overflowPunct/>
              <w:topLinePunct w:val="0"/>
              <w:bidi w:val="0"/>
              <w:spacing w:line="360" w:lineRule="auto"/>
              <w:ind w:left="0" w:firstLine="482" w:firstLineChars="200"/>
              <w:jc w:val="both"/>
              <w:textAlignment w:val="auto"/>
              <w:rPr>
                <w:b/>
                <w:bCs/>
                <w:color w:val="000000" w:themeColor="text1"/>
                <w:sz w:val="24"/>
                <w:highlight w:val="none"/>
              </w:rPr>
            </w:pPr>
            <w:r>
              <w:rPr>
                <w:rFonts w:hint="eastAsia" w:ascii="宋体" w:hAnsi="宋体" w:cs="宋体"/>
                <w:b/>
                <w:bCs/>
                <w:color w:val="000000" w:themeColor="text1"/>
                <w:sz w:val="24"/>
                <w:highlight w:val="none"/>
                <w:lang w:val="en-US" w:eastAsia="zh-CN"/>
              </w:rPr>
              <w:t>（4）</w:t>
            </w:r>
            <w:r>
              <w:rPr>
                <w:b/>
                <w:bCs/>
                <w:color w:val="000000" w:themeColor="text1"/>
                <w:sz w:val="24"/>
                <w:highlight w:val="none"/>
              </w:rPr>
              <w:t>环境</w:t>
            </w:r>
            <w:r>
              <w:rPr>
                <w:rFonts w:hint="eastAsia"/>
                <w:b/>
                <w:bCs/>
                <w:color w:val="000000" w:themeColor="text1"/>
                <w:sz w:val="24"/>
                <w:highlight w:val="none"/>
              </w:rPr>
              <w:t>准入</w:t>
            </w:r>
            <w:r>
              <w:rPr>
                <w:b/>
                <w:bCs/>
                <w:color w:val="000000" w:themeColor="text1"/>
                <w:sz w:val="24"/>
                <w:highlight w:val="none"/>
              </w:rPr>
              <w:t>负面清单</w:t>
            </w:r>
          </w:p>
          <w:p w14:paraId="21A7E5DA">
            <w:pPr>
              <w:keepNext w:val="0"/>
              <w:keepLines w:val="0"/>
              <w:pageBreakBefore w:val="0"/>
              <w:kinsoku/>
              <w:wordWrap/>
              <w:overflowPunct/>
              <w:topLinePunct w:val="0"/>
              <w:bidi w:val="0"/>
              <w:spacing w:line="360" w:lineRule="auto"/>
              <w:ind w:left="0" w:firstLine="480" w:firstLineChars="200"/>
              <w:jc w:val="both"/>
              <w:textAlignment w:val="auto"/>
              <w:rPr>
                <w:color w:val="000000" w:themeColor="text1"/>
                <w:sz w:val="24"/>
                <w:highlight w:val="none"/>
              </w:rPr>
            </w:pPr>
            <w:r>
              <w:rPr>
                <w:rFonts w:hint="eastAsia"/>
                <w:color w:val="000000" w:themeColor="text1"/>
                <w:sz w:val="24"/>
                <w:highlight w:val="none"/>
              </w:rPr>
              <w:t>①与长江经济带负面清单指南（试行，2022年版）》相符性分析</w:t>
            </w:r>
          </w:p>
          <w:p w14:paraId="76A6A1F6">
            <w:pPr>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rPr>
              <w:t>表1--</w:t>
            </w:r>
            <w:r>
              <w:rPr>
                <w:rFonts w:hint="eastAsia"/>
                <w:b/>
                <w:bCs/>
                <w:color w:val="000000" w:themeColor="text1"/>
                <w:sz w:val="21"/>
                <w:szCs w:val="21"/>
                <w:highlight w:val="none"/>
                <w:lang w:val="en-US" w:eastAsia="zh-CN"/>
              </w:rPr>
              <w:t>6</w:t>
            </w:r>
            <w:r>
              <w:rPr>
                <w:rFonts w:hint="eastAsia"/>
                <w:b/>
                <w:bCs/>
                <w:color w:val="000000" w:themeColor="text1"/>
                <w:sz w:val="21"/>
                <w:szCs w:val="21"/>
                <w:highlight w:val="none"/>
              </w:rPr>
              <w:t xml:space="preserve">  与</w:t>
            </w:r>
            <w:r>
              <w:rPr>
                <w:b/>
                <w:bCs/>
                <w:color w:val="000000" w:themeColor="text1"/>
                <w:sz w:val="21"/>
                <w:szCs w:val="21"/>
                <w:highlight w:val="none"/>
              </w:rPr>
              <w:t>长江经济带发展负面清单指南</w:t>
            </w:r>
            <w:r>
              <w:rPr>
                <w:rFonts w:hint="eastAsia"/>
                <w:b/>
                <w:bCs/>
                <w:color w:val="000000" w:themeColor="text1"/>
                <w:sz w:val="21"/>
                <w:szCs w:val="21"/>
                <w:highlight w:val="none"/>
              </w:rPr>
              <w:t>相符性分析</w:t>
            </w:r>
          </w:p>
          <w:tbl>
            <w:tblPr>
              <w:tblStyle w:val="33"/>
              <w:tblW w:w="494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934"/>
              <w:gridCol w:w="2272"/>
              <w:gridCol w:w="751"/>
            </w:tblGrid>
            <w:tr w14:paraId="51307D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5E7A7BE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color w:val="000000" w:themeColor="text1"/>
                      <w:sz w:val="21"/>
                      <w:szCs w:val="21"/>
                      <w:highlight w:val="none"/>
                    </w:rPr>
                  </w:pPr>
                  <w:r>
                    <w:rPr>
                      <w:b/>
                      <w:color w:val="000000" w:themeColor="text1"/>
                      <w:sz w:val="21"/>
                      <w:szCs w:val="21"/>
                      <w:highlight w:val="none"/>
                    </w:rPr>
                    <w:t>《长江经济带负面清单指南（试行</w:t>
                  </w:r>
                  <w:r>
                    <w:rPr>
                      <w:rFonts w:hint="eastAsia"/>
                      <w:b/>
                      <w:color w:val="000000" w:themeColor="text1"/>
                      <w:sz w:val="21"/>
                      <w:szCs w:val="21"/>
                      <w:highlight w:val="none"/>
                    </w:rPr>
                    <w:t>，2</w:t>
                  </w:r>
                  <w:r>
                    <w:rPr>
                      <w:b/>
                      <w:color w:val="000000" w:themeColor="text1"/>
                      <w:sz w:val="21"/>
                      <w:szCs w:val="21"/>
                      <w:highlight w:val="none"/>
                    </w:rPr>
                    <w:t>022</w:t>
                  </w:r>
                  <w:r>
                    <w:rPr>
                      <w:rFonts w:hint="eastAsia"/>
                      <w:b/>
                      <w:color w:val="000000" w:themeColor="text1"/>
                      <w:sz w:val="21"/>
                      <w:szCs w:val="21"/>
                      <w:highlight w:val="none"/>
                    </w:rPr>
                    <w:t>年版</w:t>
                  </w:r>
                  <w:r>
                    <w:rPr>
                      <w:b/>
                      <w:color w:val="000000" w:themeColor="text1"/>
                      <w:sz w:val="21"/>
                      <w:szCs w:val="21"/>
                      <w:highlight w:val="none"/>
                    </w:rPr>
                    <w:t>）》</w:t>
                  </w:r>
                </w:p>
              </w:tc>
              <w:tc>
                <w:tcPr>
                  <w:tcW w:w="2272" w:type="dxa"/>
                  <w:noWrap w:val="0"/>
                  <w:vAlign w:val="center"/>
                </w:tcPr>
                <w:p w14:paraId="1903491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color w:val="000000" w:themeColor="text1"/>
                      <w:sz w:val="21"/>
                      <w:szCs w:val="21"/>
                      <w:highlight w:val="none"/>
                    </w:rPr>
                  </w:pPr>
                  <w:r>
                    <w:rPr>
                      <w:b/>
                      <w:color w:val="000000" w:themeColor="text1"/>
                      <w:sz w:val="21"/>
                      <w:szCs w:val="21"/>
                      <w:highlight w:val="none"/>
                    </w:rPr>
                    <w:t>本项目</w:t>
                  </w:r>
                </w:p>
              </w:tc>
              <w:tc>
                <w:tcPr>
                  <w:tcW w:w="751" w:type="dxa"/>
                  <w:noWrap w:val="0"/>
                  <w:vAlign w:val="center"/>
                </w:tcPr>
                <w:p w14:paraId="2051868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color w:val="000000" w:themeColor="text1"/>
                      <w:sz w:val="21"/>
                      <w:szCs w:val="21"/>
                      <w:highlight w:val="none"/>
                    </w:rPr>
                  </w:pPr>
                  <w:r>
                    <w:rPr>
                      <w:b/>
                      <w:color w:val="000000" w:themeColor="text1"/>
                      <w:sz w:val="21"/>
                      <w:szCs w:val="21"/>
                      <w:highlight w:val="none"/>
                    </w:rPr>
                    <w:t>相符性</w:t>
                  </w:r>
                </w:p>
              </w:tc>
            </w:tr>
            <w:tr w14:paraId="67EFE8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467F0B6F">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1、禁止建设不符合全国和省级港口布局规划以及港口总体规划的码头项目，禁止建设不符合《长江干线过江通道布局规划》的过长江通道项目</w:t>
                  </w:r>
                </w:p>
              </w:tc>
              <w:tc>
                <w:tcPr>
                  <w:tcW w:w="2272" w:type="dxa"/>
                  <w:noWrap w:val="0"/>
                  <w:vAlign w:val="center"/>
                </w:tcPr>
                <w:p w14:paraId="5E06011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本项目不属于码头项目和长江通道项目</w:t>
                  </w:r>
                </w:p>
              </w:tc>
              <w:tc>
                <w:tcPr>
                  <w:tcW w:w="751" w:type="dxa"/>
                  <w:noWrap w:val="0"/>
                  <w:vAlign w:val="center"/>
                </w:tcPr>
                <w:p w14:paraId="1610B6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70778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6C4B5E3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2、禁止在自然保护区核心区、缓冲区的岸线和河段范围内投资建设旅游和生产经营项目。禁止在风景名胜区核心景区的岸线和河段范围内投资建设与风景名胜资源保护无关的项目</w:t>
                  </w:r>
                </w:p>
              </w:tc>
              <w:tc>
                <w:tcPr>
                  <w:tcW w:w="2272" w:type="dxa"/>
                  <w:noWrap w:val="0"/>
                  <w:vAlign w:val="center"/>
                </w:tcPr>
                <w:p w14:paraId="42FDBC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本项目不涉及自然保护区和风景名胜区</w:t>
                  </w:r>
                </w:p>
              </w:tc>
              <w:tc>
                <w:tcPr>
                  <w:tcW w:w="751" w:type="dxa"/>
                  <w:noWrap w:val="0"/>
                  <w:vAlign w:val="center"/>
                </w:tcPr>
                <w:p w14:paraId="5966025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724382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6C670EE2">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272" w:type="dxa"/>
                  <w:noWrap w:val="0"/>
                  <w:vAlign w:val="center"/>
                </w:tcPr>
                <w:p w14:paraId="7494C1C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本项目</w:t>
                  </w:r>
                  <w:r>
                    <w:rPr>
                      <w:rFonts w:hint="eastAsia"/>
                      <w:color w:val="000000" w:themeColor="text1"/>
                      <w:sz w:val="21"/>
                      <w:szCs w:val="21"/>
                      <w:highlight w:val="none"/>
                    </w:rPr>
                    <w:t>不涉及饮用水源保护区</w:t>
                  </w:r>
                </w:p>
              </w:tc>
              <w:tc>
                <w:tcPr>
                  <w:tcW w:w="751" w:type="dxa"/>
                  <w:noWrap w:val="0"/>
                  <w:vAlign w:val="center"/>
                </w:tcPr>
                <w:p w14:paraId="40DDAC1A">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63152B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0180C62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272" w:type="dxa"/>
                  <w:noWrap w:val="0"/>
                  <w:vAlign w:val="center"/>
                </w:tcPr>
                <w:p w14:paraId="773B6F4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b/>
                      <w:bCs/>
                      <w:color w:val="000000" w:themeColor="text1"/>
                      <w:sz w:val="21"/>
                      <w:szCs w:val="21"/>
                      <w:highlight w:val="none"/>
                    </w:rPr>
                  </w:pPr>
                  <w:r>
                    <w:rPr>
                      <w:rFonts w:hAnsi="宋体"/>
                      <w:color w:val="000000" w:themeColor="text1"/>
                      <w:sz w:val="21"/>
                      <w:szCs w:val="21"/>
                      <w:highlight w:val="none"/>
                    </w:rPr>
                    <w:t>本项目</w:t>
                  </w:r>
                  <w:r>
                    <w:rPr>
                      <w:rFonts w:hint="eastAsia" w:hAnsi="宋体"/>
                      <w:color w:val="000000" w:themeColor="text1"/>
                      <w:sz w:val="21"/>
                      <w:szCs w:val="21"/>
                      <w:highlight w:val="none"/>
                      <w:lang w:val="en-US" w:eastAsia="zh-CN"/>
                    </w:rPr>
                    <w:t>属于塑料零件及其他塑料制品制造、非金属废料和碎屑加工处理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hAnsi="宋体"/>
                      <w:color w:val="000000" w:themeColor="text1"/>
                      <w:sz w:val="21"/>
                      <w:szCs w:val="21"/>
                      <w:highlight w:val="none"/>
                      <w:lang w:val="en-US" w:eastAsia="zh-CN"/>
                    </w:rPr>
                    <w:t>项目，不</w:t>
                  </w:r>
                  <w:r>
                    <w:rPr>
                      <w:rFonts w:hint="eastAsia" w:hAnsi="宋体"/>
                      <w:color w:val="000000" w:themeColor="text1"/>
                      <w:sz w:val="21"/>
                      <w:szCs w:val="21"/>
                      <w:highlight w:val="none"/>
                    </w:rPr>
                    <w:t>在</w:t>
                  </w:r>
                  <w:r>
                    <w:rPr>
                      <w:rFonts w:hint="eastAsia"/>
                      <w:color w:val="000000" w:themeColor="text1"/>
                      <w:sz w:val="21"/>
                      <w:szCs w:val="21"/>
                      <w:highlight w:val="none"/>
                    </w:rPr>
                    <w:t>水产种质资源保护区的岸线和河段范围</w:t>
                  </w:r>
                  <w:r>
                    <w:rPr>
                      <w:rFonts w:hint="eastAsia"/>
                      <w:color w:val="000000" w:themeColor="text1"/>
                      <w:sz w:val="21"/>
                      <w:szCs w:val="21"/>
                      <w:highlight w:val="none"/>
                      <w:lang w:val="en-US" w:eastAsia="zh-CN"/>
                    </w:rPr>
                    <w:t>内</w:t>
                  </w:r>
                  <w:r>
                    <w:rPr>
                      <w:rFonts w:hint="eastAsia"/>
                      <w:bCs/>
                      <w:color w:val="000000" w:themeColor="text1"/>
                      <w:sz w:val="21"/>
                      <w:szCs w:val="21"/>
                      <w:highlight w:val="none"/>
                      <w:lang w:val="en-US" w:eastAsia="zh-CN"/>
                    </w:rPr>
                    <w:t>以及</w:t>
                  </w:r>
                  <w:r>
                    <w:rPr>
                      <w:rFonts w:hint="eastAsia"/>
                      <w:color w:val="000000" w:themeColor="text1"/>
                      <w:sz w:val="21"/>
                      <w:szCs w:val="21"/>
                      <w:highlight w:val="none"/>
                    </w:rPr>
                    <w:t>国家湿地公园的岸线和河段</w:t>
                  </w:r>
                </w:p>
              </w:tc>
              <w:tc>
                <w:tcPr>
                  <w:tcW w:w="751" w:type="dxa"/>
                  <w:noWrap w:val="0"/>
                  <w:vAlign w:val="center"/>
                </w:tcPr>
                <w:p w14:paraId="443C05CD">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7847A1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10F537A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272" w:type="dxa"/>
                  <w:noWrap w:val="0"/>
                  <w:vAlign w:val="center"/>
                </w:tcPr>
                <w:p w14:paraId="4D08B72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本项目不占用长江流域河湖岸线；</w:t>
                  </w:r>
                  <w:r>
                    <w:rPr>
                      <w:color w:val="000000" w:themeColor="text1"/>
                      <w:sz w:val="21"/>
                      <w:szCs w:val="21"/>
                      <w:highlight w:val="none"/>
                    </w:rPr>
                    <w:t>项目不属于</w:t>
                  </w:r>
                  <w:r>
                    <w:rPr>
                      <w:rFonts w:hint="eastAsia"/>
                      <w:color w:val="000000" w:themeColor="text1"/>
                      <w:sz w:val="21"/>
                      <w:szCs w:val="21"/>
                      <w:highlight w:val="none"/>
                    </w:rPr>
                    <w:t>《长江岸线保护和开发利用总体规划》划定的岸线保护区；不属于《全国重要江河湖泊水功能区划》划定的河段保护区、保留区</w:t>
                  </w:r>
                </w:p>
              </w:tc>
              <w:tc>
                <w:tcPr>
                  <w:tcW w:w="751" w:type="dxa"/>
                  <w:noWrap w:val="0"/>
                  <w:vAlign w:val="center"/>
                </w:tcPr>
                <w:p w14:paraId="2497543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466D9F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0FB156A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6、禁止未经许可在长江干支流及湖泊新设、改设或扩大排污口</w:t>
                  </w:r>
                </w:p>
              </w:tc>
              <w:tc>
                <w:tcPr>
                  <w:tcW w:w="2272" w:type="dxa"/>
                  <w:noWrap w:val="0"/>
                  <w:vAlign w:val="center"/>
                </w:tcPr>
                <w:p w14:paraId="29BEC79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Ansi="宋体"/>
                      <w:color w:val="000000" w:themeColor="text1"/>
                      <w:sz w:val="21"/>
                      <w:szCs w:val="21"/>
                      <w:highlight w:val="none"/>
                    </w:rPr>
                    <w:t>本项目</w:t>
                  </w:r>
                  <w:r>
                    <w:rPr>
                      <w:rFonts w:hint="eastAsia" w:hAnsi="宋体"/>
                      <w:color w:val="000000" w:themeColor="text1"/>
                      <w:sz w:val="21"/>
                      <w:szCs w:val="21"/>
                      <w:highlight w:val="none"/>
                    </w:rPr>
                    <w:t>不新增排污口</w:t>
                  </w:r>
                </w:p>
              </w:tc>
              <w:tc>
                <w:tcPr>
                  <w:tcW w:w="751" w:type="dxa"/>
                  <w:noWrap w:val="0"/>
                  <w:vAlign w:val="center"/>
                </w:tcPr>
                <w:p w14:paraId="333B4855">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2A8DF9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2BA60D3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rPr>
                    <w:t>7、禁止在“一江一口两湖七河”和3</w:t>
                  </w:r>
                  <w:r>
                    <w:rPr>
                      <w:color w:val="000000" w:themeColor="text1"/>
                      <w:sz w:val="21"/>
                      <w:szCs w:val="21"/>
                      <w:highlight w:val="none"/>
                    </w:rPr>
                    <w:t>32</w:t>
                  </w:r>
                  <w:r>
                    <w:rPr>
                      <w:rFonts w:hint="eastAsia"/>
                      <w:color w:val="000000" w:themeColor="text1"/>
                      <w:sz w:val="21"/>
                      <w:szCs w:val="21"/>
                      <w:highlight w:val="none"/>
                    </w:rPr>
                    <w:t>个水生生物保护区开展生产性捕捞</w:t>
                  </w:r>
                </w:p>
              </w:tc>
              <w:tc>
                <w:tcPr>
                  <w:tcW w:w="2272" w:type="dxa"/>
                  <w:noWrap w:val="0"/>
                  <w:vAlign w:val="center"/>
                </w:tcPr>
                <w:p w14:paraId="1E8F6B7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不位于“一江一口两湖七河”和3</w:t>
                  </w:r>
                  <w:r>
                    <w:rPr>
                      <w:color w:val="000000" w:themeColor="text1"/>
                      <w:sz w:val="21"/>
                      <w:szCs w:val="21"/>
                      <w:highlight w:val="none"/>
                    </w:rPr>
                    <w:t>32</w:t>
                  </w:r>
                  <w:r>
                    <w:rPr>
                      <w:rFonts w:hint="eastAsia"/>
                      <w:color w:val="000000" w:themeColor="text1"/>
                      <w:sz w:val="21"/>
                      <w:szCs w:val="21"/>
                      <w:highlight w:val="none"/>
                    </w:rPr>
                    <w:t>个水生生物保护区范围内，</w:t>
                  </w:r>
                  <w:r>
                    <w:rPr>
                      <w:rFonts w:hint="eastAsia"/>
                      <w:color w:val="000000" w:themeColor="text1"/>
                      <w:sz w:val="21"/>
                      <w:szCs w:val="21"/>
                      <w:highlight w:val="none"/>
                      <w:lang w:eastAsia="zh-CN"/>
                    </w:rPr>
                    <w:t>位于赤湖工业园内</w:t>
                  </w:r>
                </w:p>
              </w:tc>
              <w:tc>
                <w:tcPr>
                  <w:tcW w:w="751" w:type="dxa"/>
                  <w:noWrap w:val="0"/>
                  <w:vAlign w:val="center"/>
                </w:tcPr>
                <w:p w14:paraId="4FC92A9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7A431D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343479E6">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272" w:type="dxa"/>
                  <w:noWrap w:val="0"/>
                  <w:vAlign w:val="center"/>
                </w:tcPr>
                <w:p w14:paraId="7EDDD121">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Ansi="宋体"/>
                      <w:color w:val="000000" w:themeColor="text1"/>
                      <w:sz w:val="21"/>
                      <w:szCs w:val="21"/>
                      <w:highlight w:val="none"/>
                    </w:rPr>
                    <w:t>本</w:t>
                  </w:r>
                  <w:r>
                    <w:rPr>
                      <w:color w:val="000000" w:themeColor="text1"/>
                      <w:sz w:val="21"/>
                      <w:szCs w:val="21"/>
                      <w:highlight w:val="none"/>
                    </w:rPr>
                    <w:t>项目</w:t>
                  </w:r>
                  <w:r>
                    <w:rPr>
                      <w:rFonts w:hint="eastAsia"/>
                      <w:color w:val="000000" w:themeColor="text1"/>
                      <w:lang w:eastAsia="zh-CN"/>
                    </w:rPr>
                    <w:t>不属于新建、扩建化工项目，</w:t>
                  </w:r>
                  <w:r>
                    <w:rPr>
                      <w:rFonts w:hint="eastAsia"/>
                      <w:color w:val="000000" w:themeColor="text1"/>
                      <w:lang w:val="en-US" w:eastAsia="zh-CN"/>
                    </w:rPr>
                    <w:t>且</w:t>
                  </w:r>
                  <w:r>
                    <w:rPr>
                      <w:color w:val="000000" w:themeColor="text1"/>
                      <w:sz w:val="21"/>
                      <w:szCs w:val="21"/>
                      <w:highlight w:val="none"/>
                    </w:rPr>
                    <w:t>不</w:t>
                  </w:r>
                  <w:r>
                    <w:rPr>
                      <w:rFonts w:hint="eastAsia"/>
                      <w:color w:val="000000" w:themeColor="text1"/>
                      <w:sz w:val="21"/>
                      <w:szCs w:val="21"/>
                      <w:highlight w:val="none"/>
                      <w:lang w:val="en-US" w:eastAsia="zh-CN"/>
                    </w:rPr>
                    <w:t>属于</w:t>
                  </w:r>
                  <w:r>
                    <w:rPr>
                      <w:rFonts w:hint="eastAsia"/>
                      <w:color w:val="000000" w:themeColor="text1"/>
                      <w:sz w:val="21"/>
                      <w:szCs w:val="21"/>
                      <w:highlight w:val="none"/>
                    </w:rPr>
                    <w:t>尾矿库、冶炼渣库和磷石膏库</w:t>
                  </w:r>
                </w:p>
              </w:tc>
              <w:tc>
                <w:tcPr>
                  <w:tcW w:w="751" w:type="dxa"/>
                  <w:noWrap w:val="0"/>
                  <w:vAlign w:val="center"/>
                </w:tcPr>
                <w:p w14:paraId="3BC8F22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r w14:paraId="6CF2DC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6611AEDC">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rPr>
                    <w:t>9、禁止在合规园区外新建、扩建钢铁、石化、化工、焦化、建材、有色、制浆造纸等高污染项目。</w:t>
                  </w:r>
                </w:p>
              </w:tc>
              <w:tc>
                <w:tcPr>
                  <w:tcW w:w="2272" w:type="dxa"/>
                  <w:noWrap w:val="0"/>
                  <w:vAlign w:val="center"/>
                </w:tcPr>
                <w:p w14:paraId="3AE9EC68">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000000" w:themeColor="text1"/>
                      <w:sz w:val="21"/>
                      <w:szCs w:val="21"/>
                      <w:highlight w:val="none"/>
                    </w:rPr>
                  </w:pPr>
                  <w:r>
                    <w:rPr>
                      <w:rFonts w:hAnsi="宋体"/>
                      <w:color w:val="000000" w:themeColor="text1"/>
                      <w:sz w:val="21"/>
                      <w:szCs w:val="21"/>
                      <w:highlight w:val="none"/>
                    </w:rPr>
                    <w:t>本</w:t>
                  </w:r>
                  <w:r>
                    <w:rPr>
                      <w:color w:val="000000" w:themeColor="text1"/>
                      <w:sz w:val="21"/>
                      <w:szCs w:val="21"/>
                      <w:highlight w:val="none"/>
                    </w:rPr>
                    <w:t>项目</w:t>
                  </w:r>
                  <w:r>
                    <w:rPr>
                      <w:rFonts w:hint="eastAsia"/>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工业园内，不属于钢铁、石化、化工、焦化、建材、有色、制浆造纸等高污染项目</w:t>
                  </w:r>
                </w:p>
              </w:tc>
              <w:tc>
                <w:tcPr>
                  <w:tcW w:w="751" w:type="dxa"/>
                  <w:noWrap w:val="0"/>
                  <w:vAlign w:val="center"/>
                </w:tcPr>
                <w:p w14:paraId="7FCA27D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符合</w:t>
                  </w:r>
                </w:p>
              </w:tc>
            </w:tr>
            <w:tr w14:paraId="47B389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70098627">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rPr>
                    <w:t>1</w:t>
                  </w:r>
                  <w:r>
                    <w:rPr>
                      <w:color w:val="000000" w:themeColor="text1"/>
                      <w:sz w:val="21"/>
                      <w:szCs w:val="21"/>
                      <w:highlight w:val="none"/>
                    </w:rPr>
                    <w:t>0</w:t>
                  </w:r>
                  <w:r>
                    <w:rPr>
                      <w:rFonts w:hint="eastAsia"/>
                      <w:color w:val="000000" w:themeColor="text1"/>
                      <w:sz w:val="21"/>
                      <w:szCs w:val="21"/>
                      <w:highlight w:val="none"/>
                    </w:rPr>
                    <w:t>、禁止新建、扩建不符合国家石化、现代煤化工等产业布局规划的项目。</w:t>
                  </w:r>
                </w:p>
              </w:tc>
              <w:tc>
                <w:tcPr>
                  <w:tcW w:w="2272" w:type="dxa"/>
                  <w:noWrap w:val="0"/>
                  <w:vAlign w:val="center"/>
                </w:tcPr>
                <w:p w14:paraId="255E754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Ansi="宋体"/>
                      <w:color w:val="000000" w:themeColor="text1"/>
                      <w:sz w:val="21"/>
                      <w:szCs w:val="21"/>
                      <w:highlight w:val="none"/>
                    </w:rPr>
                    <w:t>本</w:t>
                  </w:r>
                  <w:r>
                    <w:rPr>
                      <w:rFonts w:hint="eastAsia"/>
                      <w:color w:val="000000" w:themeColor="text1"/>
                      <w:sz w:val="21"/>
                      <w:szCs w:val="21"/>
                      <w:highlight w:val="none"/>
                    </w:rPr>
                    <w:t>项目不属于石化、现代煤化工等产业</w:t>
                  </w:r>
                </w:p>
              </w:tc>
              <w:tc>
                <w:tcPr>
                  <w:tcW w:w="751" w:type="dxa"/>
                  <w:noWrap w:val="0"/>
                  <w:vAlign w:val="center"/>
                </w:tcPr>
                <w:p w14:paraId="5CE9B81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rPr>
                    <w:t>符合</w:t>
                  </w:r>
                </w:p>
              </w:tc>
            </w:tr>
            <w:tr w14:paraId="0F21F0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34" w:type="dxa"/>
                  <w:noWrap w:val="0"/>
                  <w:vAlign w:val="center"/>
                </w:tcPr>
                <w:p w14:paraId="498F783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11</w:t>
                  </w:r>
                  <w:r>
                    <w:rPr>
                      <w:rFonts w:hint="eastAsia"/>
                      <w:color w:val="000000" w:themeColor="text1"/>
                      <w:sz w:val="21"/>
                      <w:szCs w:val="21"/>
                      <w:highlight w:val="none"/>
                    </w:rPr>
                    <w:t>、禁止新建、扩建法律法规和相关政策明令禁止的落后产能项目。禁止新建、扩建不符合国家产能置换要求的严重过剩产能行业的项目</w:t>
                  </w:r>
                </w:p>
              </w:tc>
              <w:tc>
                <w:tcPr>
                  <w:tcW w:w="2272" w:type="dxa"/>
                  <w:noWrap w:val="0"/>
                  <w:vAlign w:val="center"/>
                </w:tcPr>
                <w:p w14:paraId="5023D5BE">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rFonts w:hAnsi="宋体"/>
                      <w:color w:val="000000" w:themeColor="text1"/>
                      <w:sz w:val="21"/>
                      <w:szCs w:val="21"/>
                      <w:highlight w:val="none"/>
                    </w:rPr>
                    <w:t>本</w:t>
                  </w:r>
                  <w:r>
                    <w:rPr>
                      <w:color w:val="000000" w:themeColor="text1"/>
                      <w:sz w:val="21"/>
                      <w:szCs w:val="21"/>
                      <w:highlight w:val="none"/>
                    </w:rPr>
                    <w:t>项目不属于法律法规和相关政策明令禁止的落后产能项目</w:t>
                  </w:r>
                  <w:r>
                    <w:rPr>
                      <w:rFonts w:hint="eastAsia"/>
                      <w:color w:val="000000" w:themeColor="text1"/>
                      <w:sz w:val="21"/>
                      <w:szCs w:val="21"/>
                      <w:highlight w:val="none"/>
                    </w:rPr>
                    <w:t>；不属于产能过剩行业</w:t>
                  </w:r>
                </w:p>
              </w:tc>
              <w:tc>
                <w:tcPr>
                  <w:tcW w:w="751" w:type="dxa"/>
                  <w:noWrap w:val="0"/>
                  <w:vAlign w:val="center"/>
                </w:tcPr>
                <w:p w14:paraId="18312484">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符合</w:t>
                  </w:r>
                </w:p>
              </w:tc>
            </w:tr>
          </w:tbl>
          <w:p w14:paraId="2E7AA7B0">
            <w:pPr>
              <w:keepNext w:val="0"/>
              <w:keepLines w:val="0"/>
              <w:pageBreakBefore w:val="0"/>
              <w:widowControl w:val="0"/>
              <w:tabs>
                <w:tab w:val="left" w:pos="1606"/>
              </w:tabs>
              <w:kinsoku/>
              <w:wordWrap/>
              <w:overflowPunct/>
              <w:topLinePunct w:val="0"/>
              <w:autoSpaceDE/>
              <w:autoSpaceDN/>
              <w:bidi w:val="0"/>
              <w:adjustRightInd/>
              <w:snapToGrid/>
              <w:spacing w:line="360" w:lineRule="auto"/>
              <w:ind w:left="0" w:firstLine="480" w:firstLineChars="200"/>
              <w:textAlignment w:val="auto"/>
              <w:rPr>
                <w:color w:val="000000" w:themeColor="text1"/>
                <w:sz w:val="24"/>
                <w:highlight w:val="none"/>
              </w:rPr>
            </w:pPr>
            <w:r>
              <w:rPr>
                <w:rFonts w:hint="eastAsia"/>
                <w:color w:val="000000" w:themeColor="text1"/>
                <w:sz w:val="24"/>
                <w:highlight w:val="none"/>
              </w:rPr>
              <w:t>②</w:t>
            </w:r>
            <w:r>
              <w:rPr>
                <w:color w:val="000000" w:themeColor="text1"/>
                <w:sz w:val="24"/>
                <w:highlight w:val="none"/>
              </w:rPr>
              <w:t>与《江西省长江经济带发展负面清单实施细则</w:t>
            </w:r>
            <w:r>
              <w:rPr>
                <w:rFonts w:hint="eastAsia"/>
                <w:color w:val="000000" w:themeColor="text1"/>
                <w:sz w:val="24"/>
                <w:highlight w:val="none"/>
              </w:rPr>
              <w:t>（试行）</w:t>
            </w:r>
            <w:r>
              <w:rPr>
                <w:color w:val="000000" w:themeColor="text1"/>
                <w:sz w:val="24"/>
                <w:highlight w:val="none"/>
              </w:rPr>
              <w:t>》（</w:t>
            </w:r>
            <w:r>
              <w:rPr>
                <w:rFonts w:hint="eastAsia"/>
                <w:color w:val="000000" w:themeColor="text1"/>
                <w:sz w:val="24"/>
                <w:highlight w:val="none"/>
              </w:rPr>
              <w:t>2022年</w:t>
            </w:r>
            <w:r>
              <w:rPr>
                <w:color w:val="000000" w:themeColor="text1"/>
                <w:sz w:val="24"/>
                <w:highlight w:val="none"/>
              </w:rPr>
              <w:t>）相符性分析。</w:t>
            </w:r>
          </w:p>
          <w:p w14:paraId="19B64711">
            <w:pPr>
              <w:pageBreakBefore w:val="0"/>
              <w:kinsoku/>
              <w:overflowPunct/>
              <w:topLinePunct w:val="0"/>
              <w:bidi w:val="0"/>
              <w:adjustRightInd w:val="0"/>
              <w:snapToGrid w:val="0"/>
              <w:spacing w:line="240" w:lineRule="auto"/>
              <w:ind w:left="0" w:firstLine="0" w:firstLineChars="0"/>
              <w:jc w:val="center"/>
              <w:rPr>
                <w:b/>
                <w:bCs/>
                <w:color w:val="000000" w:themeColor="text1"/>
                <w:sz w:val="21"/>
                <w:szCs w:val="21"/>
                <w:highlight w:val="none"/>
              </w:rPr>
            </w:pPr>
            <w:r>
              <w:rPr>
                <w:b/>
                <w:bCs/>
                <w:color w:val="000000" w:themeColor="text1"/>
                <w:sz w:val="21"/>
                <w:szCs w:val="21"/>
                <w:highlight w:val="none"/>
              </w:rPr>
              <w:t>表1</w:t>
            </w:r>
            <w:r>
              <w:rPr>
                <w:rFonts w:hint="eastAsia"/>
                <w:b/>
                <w:bCs/>
                <w:color w:val="000000" w:themeColor="text1"/>
                <w:sz w:val="21"/>
                <w:szCs w:val="21"/>
                <w:highlight w:val="none"/>
              </w:rPr>
              <w:t>-</w:t>
            </w:r>
            <w:r>
              <w:rPr>
                <w:rFonts w:hint="eastAsia"/>
                <w:b/>
                <w:bCs/>
                <w:color w:val="000000" w:themeColor="text1"/>
                <w:sz w:val="21"/>
                <w:szCs w:val="21"/>
                <w:highlight w:val="none"/>
                <w:lang w:val="en-US" w:eastAsia="zh-CN"/>
              </w:rPr>
              <w:t xml:space="preserve">7  </w:t>
            </w:r>
            <w:r>
              <w:rPr>
                <w:b/>
                <w:bCs/>
                <w:color w:val="000000" w:themeColor="text1"/>
                <w:sz w:val="21"/>
                <w:szCs w:val="21"/>
                <w:highlight w:val="none"/>
              </w:rPr>
              <w:t>江西省长江经济带发展负面清单实施细则</w:t>
            </w:r>
          </w:p>
          <w:tbl>
            <w:tblPr>
              <w:tblStyle w:val="33"/>
              <w:tblW w:w="78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1"/>
              <w:gridCol w:w="4256"/>
              <w:gridCol w:w="2227"/>
              <w:gridCol w:w="865"/>
            </w:tblGrid>
            <w:tr w14:paraId="5C7F9B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tblHeader/>
                <w:jc w:val="center"/>
              </w:trPr>
              <w:tc>
                <w:tcPr>
                  <w:tcW w:w="325" w:type="pct"/>
                  <w:tcBorders>
                    <w:tl2br w:val="nil"/>
                    <w:tr2bl w:val="nil"/>
                  </w:tcBorders>
                  <w:noWrap w:val="0"/>
                  <w:vAlign w:val="center"/>
                </w:tcPr>
                <w:p w14:paraId="0E43390D">
                  <w:pPr>
                    <w:pStyle w:val="55"/>
                    <w:pageBreakBefore w:val="0"/>
                    <w:kinsoku/>
                    <w:overflowPunct/>
                    <w:topLinePunct w:val="0"/>
                    <w:bidi w:val="0"/>
                    <w:spacing w:line="240" w:lineRule="auto"/>
                    <w:ind w:left="0" w:firstLine="0" w:firstLineChars="0"/>
                    <w:rPr>
                      <w:rFonts w:ascii="Times New Roman"/>
                      <w:b/>
                      <w:color w:val="000000" w:themeColor="text1"/>
                      <w:sz w:val="21"/>
                      <w:szCs w:val="21"/>
                      <w:highlight w:val="none"/>
                    </w:rPr>
                  </w:pPr>
                  <w:r>
                    <w:rPr>
                      <w:rFonts w:ascii="Times New Roman"/>
                      <w:b/>
                      <w:color w:val="000000" w:themeColor="text1"/>
                      <w:sz w:val="21"/>
                      <w:szCs w:val="21"/>
                      <w:highlight w:val="none"/>
                    </w:rPr>
                    <w:t>序号</w:t>
                  </w:r>
                </w:p>
              </w:tc>
              <w:tc>
                <w:tcPr>
                  <w:tcW w:w="2707" w:type="pct"/>
                  <w:tcBorders>
                    <w:tl2br w:val="nil"/>
                    <w:tr2bl w:val="nil"/>
                  </w:tcBorders>
                  <w:noWrap w:val="0"/>
                  <w:vAlign w:val="center"/>
                </w:tcPr>
                <w:p w14:paraId="563B7226">
                  <w:pPr>
                    <w:pStyle w:val="55"/>
                    <w:pageBreakBefore w:val="0"/>
                    <w:kinsoku/>
                    <w:overflowPunct/>
                    <w:topLinePunct w:val="0"/>
                    <w:bidi w:val="0"/>
                    <w:spacing w:line="240" w:lineRule="auto"/>
                    <w:ind w:left="0" w:firstLine="0" w:firstLineChars="0"/>
                    <w:rPr>
                      <w:rFonts w:ascii="Times New Roman"/>
                      <w:b/>
                      <w:color w:val="000000" w:themeColor="text1"/>
                      <w:sz w:val="21"/>
                      <w:szCs w:val="21"/>
                      <w:highlight w:val="none"/>
                    </w:rPr>
                  </w:pPr>
                  <w:r>
                    <w:rPr>
                      <w:rFonts w:ascii="Times New Roman"/>
                      <w:b/>
                      <w:color w:val="000000" w:themeColor="text1"/>
                      <w:sz w:val="21"/>
                      <w:szCs w:val="21"/>
                      <w:highlight w:val="none"/>
                    </w:rPr>
                    <w:t>内容</w:t>
                  </w:r>
                </w:p>
              </w:tc>
              <w:tc>
                <w:tcPr>
                  <w:tcW w:w="1416" w:type="pct"/>
                  <w:tcBorders>
                    <w:tl2br w:val="nil"/>
                    <w:tr2bl w:val="nil"/>
                  </w:tcBorders>
                  <w:noWrap w:val="0"/>
                  <w:vAlign w:val="center"/>
                </w:tcPr>
                <w:p w14:paraId="0CD34CCF">
                  <w:pPr>
                    <w:pStyle w:val="55"/>
                    <w:pageBreakBefore w:val="0"/>
                    <w:kinsoku/>
                    <w:overflowPunct/>
                    <w:topLinePunct w:val="0"/>
                    <w:bidi w:val="0"/>
                    <w:spacing w:line="240" w:lineRule="auto"/>
                    <w:ind w:left="0" w:firstLine="0" w:firstLineChars="0"/>
                    <w:rPr>
                      <w:rFonts w:ascii="Times New Roman"/>
                      <w:b/>
                      <w:color w:val="000000" w:themeColor="text1"/>
                      <w:sz w:val="21"/>
                      <w:szCs w:val="21"/>
                      <w:highlight w:val="none"/>
                    </w:rPr>
                  </w:pPr>
                  <w:r>
                    <w:rPr>
                      <w:rFonts w:ascii="Times New Roman"/>
                      <w:b/>
                      <w:color w:val="000000" w:themeColor="text1"/>
                      <w:sz w:val="21"/>
                      <w:szCs w:val="21"/>
                      <w:highlight w:val="none"/>
                    </w:rPr>
                    <w:t>项目情况</w:t>
                  </w:r>
                </w:p>
              </w:tc>
              <w:tc>
                <w:tcPr>
                  <w:tcW w:w="550" w:type="pct"/>
                  <w:tcBorders>
                    <w:tl2br w:val="nil"/>
                    <w:tr2bl w:val="nil"/>
                  </w:tcBorders>
                  <w:noWrap w:val="0"/>
                  <w:vAlign w:val="center"/>
                </w:tcPr>
                <w:p w14:paraId="2D5B9D1F">
                  <w:pPr>
                    <w:pStyle w:val="55"/>
                    <w:pageBreakBefore w:val="0"/>
                    <w:kinsoku/>
                    <w:overflowPunct/>
                    <w:topLinePunct w:val="0"/>
                    <w:bidi w:val="0"/>
                    <w:spacing w:line="240" w:lineRule="auto"/>
                    <w:ind w:left="0" w:firstLine="0" w:firstLineChars="0"/>
                    <w:rPr>
                      <w:rFonts w:ascii="Times New Roman"/>
                      <w:b/>
                      <w:color w:val="000000" w:themeColor="text1"/>
                      <w:sz w:val="21"/>
                      <w:szCs w:val="21"/>
                      <w:highlight w:val="none"/>
                    </w:rPr>
                  </w:pPr>
                  <w:r>
                    <w:rPr>
                      <w:rFonts w:ascii="Times New Roman"/>
                      <w:b/>
                      <w:color w:val="000000" w:themeColor="text1"/>
                      <w:sz w:val="21"/>
                      <w:szCs w:val="21"/>
                      <w:highlight w:val="none"/>
                    </w:rPr>
                    <w:t>符合性</w:t>
                  </w:r>
                </w:p>
              </w:tc>
            </w:tr>
            <w:tr w14:paraId="67977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325" w:type="pct"/>
                  <w:tcBorders>
                    <w:tl2br w:val="nil"/>
                    <w:tr2bl w:val="nil"/>
                  </w:tcBorders>
                  <w:noWrap w:val="0"/>
                  <w:vAlign w:val="center"/>
                </w:tcPr>
                <w:p w14:paraId="3CC392DA">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1</w:t>
                  </w:r>
                </w:p>
              </w:tc>
              <w:tc>
                <w:tcPr>
                  <w:tcW w:w="2707" w:type="pct"/>
                  <w:tcBorders>
                    <w:tl2br w:val="nil"/>
                    <w:tr2bl w:val="nil"/>
                  </w:tcBorders>
                  <w:noWrap w:val="0"/>
                  <w:vAlign w:val="center"/>
                </w:tcPr>
                <w:p w14:paraId="326334D0">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pacing w:val="12"/>
                      <w:sz w:val="21"/>
                      <w:szCs w:val="21"/>
                      <w:highlight w:val="none"/>
                    </w:rPr>
                    <w:t>禁止建设不符合国家和省级港口布局规划以及港</w:t>
                  </w:r>
                  <w:r>
                    <w:rPr>
                      <w:rFonts w:ascii="Times New Roman"/>
                      <w:color w:val="000000" w:themeColor="text1"/>
                      <w:spacing w:val="-2"/>
                      <w:sz w:val="21"/>
                      <w:szCs w:val="21"/>
                      <w:highlight w:val="none"/>
                    </w:rPr>
                    <w:t>口总体规划的码头项目。禁</w:t>
                  </w:r>
                  <w:r>
                    <w:rPr>
                      <w:rFonts w:ascii="Times New Roman"/>
                      <w:color w:val="000000" w:themeColor="text1"/>
                      <w:spacing w:val="-1"/>
                      <w:sz w:val="21"/>
                      <w:szCs w:val="21"/>
                      <w:highlight w:val="none"/>
                    </w:rPr>
                    <w:t>止建设不符合《长江干线过江通道布</w:t>
                  </w:r>
                  <w:r>
                    <w:rPr>
                      <w:rFonts w:ascii="Times New Roman"/>
                      <w:color w:val="000000" w:themeColor="text1"/>
                      <w:spacing w:val="-6"/>
                      <w:sz w:val="21"/>
                      <w:szCs w:val="21"/>
                      <w:highlight w:val="none"/>
                    </w:rPr>
                    <w:t>局规划》</w:t>
                  </w:r>
                  <w:r>
                    <w:rPr>
                      <w:rFonts w:ascii="Times New Roman"/>
                      <w:color w:val="000000" w:themeColor="text1"/>
                      <w:spacing w:val="-4"/>
                      <w:sz w:val="21"/>
                      <w:szCs w:val="21"/>
                      <w:highlight w:val="none"/>
                    </w:rPr>
                    <w:t>的</w:t>
                  </w:r>
                  <w:r>
                    <w:rPr>
                      <w:rFonts w:ascii="Times New Roman"/>
                      <w:color w:val="000000" w:themeColor="text1"/>
                      <w:spacing w:val="-3"/>
                      <w:sz w:val="21"/>
                      <w:szCs w:val="21"/>
                      <w:highlight w:val="none"/>
                    </w:rPr>
                    <w:t>过长江通道项目 。</w:t>
                  </w:r>
                </w:p>
              </w:tc>
              <w:tc>
                <w:tcPr>
                  <w:tcW w:w="1416" w:type="pct"/>
                  <w:tcBorders>
                    <w:tl2br w:val="nil"/>
                    <w:tr2bl w:val="nil"/>
                  </w:tcBorders>
                  <w:noWrap w:val="0"/>
                  <w:vAlign w:val="center"/>
                </w:tcPr>
                <w:p w14:paraId="47229988">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项目为</w:t>
                  </w:r>
                  <w:r>
                    <w:rPr>
                      <w:rFonts w:hint="eastAsia"/>
                      <w:color w:val="000000" w:themeColor="text1"/>
                      <w:sz w:val="21"/>
                      <w:szCs w:val="21"/>
                      <w:highlight w:val="none"/>
                      <w:lang w:val="en-US"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ascii="Times New Roman"/>
                      <w:color w:val="000000" w:themeColor="text1"/>
                      <w:sz w:val="21"/>
                      <w:szCs w:val="21"/>
                      <w:highlight w:val="none"/>
                    </w:rPr>
                    <w:t>项目，不属于码头项目</w:t>
                  </w:r>
                  <w:r>
                    <w:rPr>
                      <w:rFonts w:hint="eastAsia" w:ascii="Times New Roman"/>
                      <w:color w:val="000000" w:themeColor="text1"/>
                      <w:sz w:val="21"/>
                      <w:szCs w:val="21"/>
                      <w:highlight w:val="none"/>
                    </w:rPr>
                    <w:t>和</w:t>
                  </w:r>
                  <w:r>
                    <w:rPr>
                      <w:rFonts w:ascii="Times New Roman"/>
                      <w:color w:val="000000" w:themeColor="text1"/>
                      <w:sz w:val="21"/>
                      <w:szCs w:val="21"/>
                      <w:highlight w:val="none"/>
                    </w:rPr>
                    <w:t>长江通道项目。</w:t>
                  </w:r>
                </w:p>
              </w:tc>
              <w:tc>
                <w:tcPr>
                  <w:tcW w:w="550" w:type="pct"/>
                  <w:tcBorders>
                    <w:tl2br w:val="nil"/>
                    <w:tr2bl w:val="nil"/>
                  </w:tcBorders>
                  <w:noWrap w:val="0"/>
                  <w:vAlign w:val="center"/>
                </w:tcPr>
                <w:p w14:paraId="46D5E0CC">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2BAAC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325" w:type="pct"/>
                  <w:tcBorders>
                    <w:tl2br w:val="nil"/>
                    <w:tr2bl w:val="nil"/>
                  </w:tcBorders>
                  <w:noWrap w:val="0"/>
                  <w:vAlign w:val="center"/>
                </w:tcPr>
                <w:p w14:paraId="667FCA7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2</w:t>
                  </w:r>
                </w:p>
              </w:tc>
              <w:tc>
                <w:tcPr>
                  <w:tcW w:w="2707" w:type="pct"/>
                  <w:tcBorders>
                    <w:tl2br w:val="nil"/>
                    <w:tr2bl w:val="nil"/>
                  </w:tcBorders>
                  <w:noWrap w:val="0"/>
                  <w:vAlign w:val="center"/>
                </w:tcPr>
                <w:p w14:paraId="7BAB97D2">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pacing w:val="4"/>
                      <w:sz w:val="21"/>
                      <w:szCs w:val="21"/>
                      <w:highlight w:val="none"/>
                    </w:rPr>
                    <w:t>禁止在自然保护区核心区、缓冲区的岸线和河段范</w:t>
                  </w:r>
                  <w:r>
                    <w:rPr>
                      <w:rFonts w:ascii="Times New Roman"/>
                      <w:color w:val="000000" w:themeColor="text1"/>
                      <w:spacing w:val="-8"/>
                      <w:sz w:val="21"/>
                      <w:szCs w:val="21"/>
                      <w:highlight w:val="none"/>
                    </w:rPr>
                    <w:t>围内投</w:t>
                  </w:r>
                  <w:r>
                    <w:rPr>
                      <w:rFonts w:ascii="Times New Roman"/>
                      <w:color w:val="000000" w:themeColor="text1"/>
                      <w:spacing w:val="-6"/>
                      <w:sz w:val="21"/>
                      <w:szCs w:val="21"/>
                      <w:highlight w:val="none"/>
                    </w:rPr>
                    <w:t>资</w:t>
                  </w:r>
                  <w:r>
                    <w:rPr>
                      <w:rFonts w:ascii="Times New Roman"/>
                      <w:color w:val="000000" w:themeColor="text1"/>
                      <w:spacing w:val="-4"/>
                      <w:sz w:val="21"/>
                      <w:szCs w:val="21"/>
                      <w:highlight w:val="none"/>
                    </w:rPr>
                    <w:t>建设旅游和生产经营项目 。</w:t>
                  </w:r>
                </w:p>
              </w:tc>
              <w:tc>
                <w:tcPr>
                  <w:tcW w:w="1416" w:type="pct"/>
                  <w:tcBorders>
                    <w:tl2br w:val="nil"/>
                    <w:tr2bl w:val="nil"/>
                  </w:tcBorders>
                  <w:noWrap w:val="0"/>
                  <w:vAlign w:val="center"/>
                </w:tcPr>
                <w:p w14:paraId="6F262626">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，不在</w:t>
                  </w:r>
                  <w:r>
                    <w:rPr>
                      <w:rFonts w:ascii="Times New Roman"/>
                      <w:color w:val="000000" w:themeColor="text1"/>
                      <w:spacing w:val="4"/>
                      <w:sz w:val="21"/>
                      <w:szCs w:val="21"/>
                      <w:highlight w:val="none"/>
                    </w:rPr>
                    <w:t>自然保护区核心区、缓冲区的岸线和河段范</w:t>
                  </w:r>
                  <w:r>
                    <w:rPr>
                      <w:rFonts w:ascii="Times New Roman"/>
                      <w:color w:val="000000" w:themeColor="text1"/>
                      <w:spacing w:val="-8"/>
                      <w:sz w:val="21"/>
                      <w:szCs w:val="21"/>
                      <w:highlight w:val="none"/>
                    </w:rPr>
                    <w:t>围内</w:t>
                  </w:r>
                </w:p>
              </w:tc>
              <w:tc>
                <w:tcPr>
                  <w:tcW w:w="550" w:type="pct"/>
                  <w:tcBorders>
                    <w:tl2br w:val="nil"/>
                    <w:tr2bl w:val="nil"/>
                  </w:tcBorders>
                  <w:noWrap w:val="0"/>
                  <w:vAlign w:val="center"/>
                </w:tcPr>
                <w:p w14:paraId="7FCD83C4">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00A51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38" w:hRule="atLeast"/>
                <w:jc w:val="center"/>
              </w:trPr>
              <w:tc>
                <w:tcPr>
                  <w:tcW w:w="325" w:type="pct"/>
                  <w:tcBorders>
                    <w:tl2br w:val="nil"/>
                    <w:tr2bl w:val="nil"/>
                  </w:tcBorders>
                  <w:noWrap w:val="0"/>
                  <w:vAlign w:val="center"/>
                </w:tcPr>
                <w:p w14:paraId="60E614C5">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3</w:t>
                  </w:r>
                </w:p>
              </w:tc>
              <w:tc>
                <w:tcPr>
                  <w:tcW w:w="2707" w:type="pct"/>
                  <w:tcBorders>
                    <w:tl2br w:val="nil"/>
                    <w:tr2bl w:val="nil"/>
                  </w:tcBorders>
                  <w:noWrap w:val="0"/>
                  <w:vAlign w:val="center"/>
                </w:tcPr>
                <w:p w14:paraId="37C99907">
                  <w:pPr>
                    <w:pageBreakBefore w:val="0"/>
                    <w:kinsoku/>
                    <w:overflowPunct/>
                    <w:topLinePunct w:val="0"/>
                    <w:bidi w:val="0"/>
                    <w:adjustRightInd w:val="0"/>
                    <w:snapToGrid w:val="0"/>
                    <w:spacing w:line="240" w:lineRule="auto"/>
                    <w:ind w:left="0" w:firstLine="0" w:firstLineChars="0"/>
                    <w:jc w:val="center"/>
                    <w:rPr>
                      <w:color w:val="000000" w:themeColor="text1"/>
                      <w:sz w:val="21"/>
                      <w:szCs w:val="21"/>
                      <w:highlight w:val="none"/>
                    </w:rPr>
                  </w:pPr>
                  <w:r>
                    <w:rPr>
                      <w:color w:val="000000" w:themeColor="text1"/>
                      <w:spacing w:val="16"/>
                      <w:sz w:val="21"/>
                      <w:szCs w:val="21"/>
                      <w:highlight w:val="none"/>
                    </w:rPr>
                    <w:t>禁止在风景名胜区核心景区的岸线和河段范围内</w:t>
                  </w:r>
                  <w:r>
                    <w:rPr>
                      <w:color w:val="000000" w:themeColor="text1"/>
                      <w:spacing w:val="3"/>
                      <w:sz w:val="21"/>
                      <w:szCs w:val="21"/>
                      <w:highlight w:val="none"/>
                    </w:rPr>
                    <w:t>开展以下行为：（</w:t>
                  </w:r>
                  <w:r>
                    <w:rPr>
                      <w:color w:val="000000" w:themeColor="text1"/>
                      <w:spacing w:val="-8"/>
                      <w:sz w:val="21"/>
                      <w:szCs w:val="21"/>
                      <w:highlight w:val="none"/>
                    </w:rPr>
                    <w:t>一</w:t>
                  </w:r>
                  <w:r>
                    <w:rPr>
                      <w:color w:val="000000" w:themeColor="text1"/>
                      <w:spacing w:val="3"/>
                      <w:sz w:val="21"/>
                      <w:szCs w:val="21"/>
                      <w:highlight w:val="none"/>
                    </w:rPr>
                    <w:t>）</w:t>
                  </w:r>
                  <w:r>
                    <w:rPr>
                      <w:color w:val="000000" w:themeColor="text1"/>
                      <w:spacing w:val="-7"/>
                      <w:sz w:val="21"/>
                      <w:szCs w:val="21"/>
                      <w:highlight w:val="none"/>
                    </w:rPr>
                    <w:t>开山、采石、开矿、开荒、修坟立碑等破坏景观、植</w:t>
                  </w:r>
                  <w:r>
                    <w:rPr>
                      <w:color w:val="000000" w:themeColor="text1"/>
                      <w:spacing w:val="10"/>
                      <w:sz w:val="21"/>
                      <w:szCs w:val="21"/>
                      <w:highlight w:val="none"/>
                    </w:rPr>
                    <w:t>被</w:t>
                  </w:r>
                  <w:r>
                    <w:rPr>
                      <w:color w:val="000000" w:themeColor="text1"/>
                      <w:spacing w:val="7"/>
                      <w:sz w:val="21"/>
                      <w:szCs w:val="21"/>
                      <w:highlight w:val="none"/>
                    </w:rPr>
                    <w:t>和地形地貌的活动。</w:t>
                  </w:r>
                  <w:r>
                    <w:rPr>
                      <w:color w:val="000000" w:themeColor="text1"/>
                      <w:spacing w:val="3"/>
                      <w:sz w:val="21"/>
                      <w:szCs w:val="21"/>
                      <w:highlight w:val="none"/>
                    </w:rPr>
                    <w:t>（二）</w:t>
                  </w:r>
                  <w:r>
                    <w:rPr>
                      <w:color w:val="000000" w:themeColor="text1"/>
                      <w:spacing w:val="4"/>
                      <w:sz w:val="21"/>
                      <w:szCs w:val="21"/>
                      <w:highlight w:val="none"/>
                    </w:rPr>
                    <w:t>修建储存爆炸性、易燃性、放射性、毒害性、腐蚀性</w:t>
                  </w:r>
                  <w:r>
                    <w:rPr>
                      <w:color w:val="000000" w:themeColor="text1"/>
                      <w:spacing w:val="9"/>
                      <w:sz w:val="21"/>
                      <w:szCs w:val="21"/>
                      <w:highlight w:val="none"/>
                    </w:rPr>
                    <w:t>物</w:t>
                  </w:r>
                  <w:r>
                    <w:rPr>
                      <w:color w:val="000000" w:themeColor="text1"/>
                      <w:spacing w:val="6"/>
                      <w:sz w:val="21"/>
                      <w:szCs w:val="21"/>
                      <w:highlight w:val="none"/>
                    </w:rPr>
                    <w:t>品的设施。</w:t>
                  </w:r>
                  <w:r>
                    <w:rPr>
                      <w:color w:val="000000" w:themeColor="text1"/>
                      <w:spacing w:val="3"/>
                      <w:sz w:val="21"/>
                      <w:szCs w:val="21"/>
                      <w:highlight w:val="none"/>
                    </w:rPr>
                    <w:t>（三）</w:t>
                  </w:r>
                  <w:r>
                    <w:rPr>
                      <w:color w:val="000000" w:themeColor="text1"/>
                      <w:spacing w:val="8"/>
                      <w:sz w:val="21"/>
                      <w:szCs w:val="21"/>
                      <w:highlight w:val="none"/>
                    </w:rPr>
                    <w:t>违反风景名胜区规划，建设与风景名胜资源保护无关</w:t>
                  </w:r>
                  <w:r>
                    <w:rPr>
                      <w:color w:val="000000" w:themeColor="text1"/>
                      <w:sz w:val="21"/>
                      <w:szCs w:val="21"/>
                      <w:highlight w:val="none"/>
                    </w:rPr>
                    <w:t xml:space="preserve"> </w:t>
                  </w:r>
                  <w:r>
                    <w:rPr>
                      <w:color w:val="000000" w:themeColor="text1"/>
                      <w:spacing w:val="-6"/>
                      <w:sz w:val="21"/>
                      <w:szCs w:val="21"/>
                      <w:highlight w:val="none"/>
                    </w:rPr>
                    <w:t>的</w:t>
                  </w:r>
                  <w:r>
                    <w:rPr>
                      <w:color w:val="000000" w:themeColor="text1"/>
                      <w:spacing w:val="-4"/>
                      <w:sz w:val="21"/>
                      <w:szCs w:val="21"/>
                      <w:highlight w:val="none"/>
                    </w:rPr>
                    <w:t>设施。</w:t>
                  </w:r>
                </w:p>
              </w:tc>
              <w:tc>
                <w:tcPr>
                  <w:tcW w:w="1416" w:type="pct"/>
                  <w:tcBorders>
                    <w:tl2br w:val="nil"/>
                    <w:tr2bl w:val="nil"/>
                  </w:tcBorders>
                  <w:noWrap w:val="0"/>
                  <w:vAlign w:val="center"/>
                </w:tcPr>
                <w:p w14:paraId="25E6DF63">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w:t>
                  </w:r>
                  <w:r>
                    <w:rPr>
                      <w:rFonts w:hint="eastAsia" w:ascii="Times New Roman"/>
                      <w:color w:val="000000" w:themeColor="text1"/>
                      <w:sz w:val="21"/>
                      <w:szCs w:val="21"/>
                      <w:highlight w:val="none"/>
                    </w:rPr>
                    <w:t>在</w:t>
                  </w:r>
                  <w:r>
                    <w:rPr>
                      <w:rFonts w:ascii="Times New Roman"/>
                      <w:color w:val="000000" w:themeColor="text1"/>
                      <w:spacing w:val="16"/>
                      <w:sz w:val="21"/>
                      <w:szCs w:val="21"/>
                      <w:highlight w:val="none"/>
                    </w:rPr>
                    <w:t>风景名胜区核心景区的岸线和河段范围内</w:t>
                  </w:r>
                </w:p>
              </w:tc>
              <w:tc>
                <w:tcPr>
                  <w:tcW w:w="550" w:type="pct"/>
                  <w:tcBorders>
                    <w:tl2br w:val="nil"/>
                    <w:tr2bl w:val="nil"/>
                  </w:tcBorders>
                  <w:noWrap w:val="0"/>
                  <w:vAlign w:val="center"/>
                </w:tcPr>
                <w:p w14:paraId="1D075C3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4CE31F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325" w:type="pct"/>
                  <w:tcBorders>
                    <w:tl2br w:val="nil"/>
                    <w:tr2bl w:val="nil"/>
                  </w:tcBorders>
                  <w:noWrap w:val="0"/>
                  <w:vAlign w:val="center"/>
                </w:tcPr>
                <w:p w14:paraId="5B5371BB">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4</w:t>
                  </w:r>
                </w:p>
              </w:tc>
              <w:tc>
                <w:tcPr>
                  <w:tcW w:w="2707" w:type="pct"/>
                  <w:tcBorders>
                    <w:tl2br w:val="nil"/>
                    <w:tr2bl w:val="nil"/>
                  </w:tcBorders>
                  <w:noWrap w:val="0"/>
                  <w:vAlign w:val="center"/>
                </w:tcPr>
                <w:p w14:paraId="72B9CB10">
                  <w:pPr>
                    <w:pageBreakBefore w:val="0"/>
                    <w:kinsoku/>
                    <w:overflowPunct/>
                    <w:topLinePunct w:val="0"/>
                    <w:bidi w:val="0"/>
                    <w:adjustRightInd w:val="0"/>
                    <w:snapToGrid w:val="0"/>
                    <w:spacing w:line="240" w:lineRule="auto"/>
                    <w:ind w:left="0" w:firstLine="0" w:firstLineChars="0"/>
                    <w:jc w:val="center"/>
                    <w:rPr>
                      <w:color w:val="000000" w:themeColor="text1"/>
                      <w:sz w:val="21"/>
                      <w:szCs w:val="21"/>
                      <w:highlight w:val="none"/>
                    </w:rPr>
                  </w:pPr>
                  <w:r>
                    <w:rPr>
                      <w:color w:val="000000" w:themeColor="text1"/>
                      <w:spacing w:val="12"/>
                      <w:sz w:val="21"/>
                      <w:szCs w:val="21"/>
                      <w:highlight w:val="none"/>
                    </w:rPr>
                    <w:t>禁止在饮用水水源一级保护区的岸线和河段范围</w:t>
                  </w:r>
                  <w:r>
                    <w:rPr>
                      <w:color w:val="000000" w:themeColor="text1"/>
                      <w:spacing w:val="-1"/>
                      <w:sz w:val="21"/>
                      <w:szCs w:val="21"/>
                      <w:highlight w:val="none"/>
                    </w:rPr>
                    <w:t>内开展下列行为：</w:t>
                  </w:r>
                  <w:r>
                    <w:rPr>
                      <w:color w:val="000000" w:themeColor="text1"/>
                      <w:spacing w:val="3"/>
                      <w:sz w:val="21"/>
                      <w:szCs w:val="21"/>
                      <w:highlight w:val="none"/>
                    </w:rPr>
                    <w:t>（</w:t>
                  </w:r>
                  <w:r>
                    <w:rPr>
                      <w:color w:val="000000" w:themeColor="text1"/>
                      <w:spacing w:val="-8"/>
                      <w:sz w:val="21"/>
                      <w:szCs w:val="21"/>
                      <w:highlight w:val="none"/>
                    </w:rPr>
                    <w:t>一</w:t>
                  </w:r>
                  <w:r>
                    <w:rPr>
                      <w:color w:val="000000" w:themeColor="text1"/>
                      <w:spacing w:val="3"/>
                      <w:sz w:val="21"/>
                      <w:szCs w:val="21"/>
                      <w:highlight w:val="none"/>
                    </w:rPr>
                    <w:t>）</w:t>
                  </w:r>
                  <w:r>
                    <w:rPr>
                      <w:color w:val="000000" w:themeColor="text1"/>
                      <w:spacing w:val="-2"/>
                      <w:sz w:val="21"/>
                      <w:szCs w:val="21"/>
                      <w:highlight w:val="none"/>
                    </w:rPr>
                    <w:t>新建、改建、扩建与供水设施</w:t>
                  </w:r>
                  <w:r>
                    <w:rPr>
                      <w:color w:val="000000" w:themeColor="text1"/>
                      <w:spacing w:val="-1"/>
                      <w:sz w:val="21"/>
                      <w:szCs w:val="21"/>
                      <w:highlight w:val="none"/>
                    </w:rPr>
                    <w:t>和保护水源无关的建设</w:t>
                  </w:r>
                  <w:r>
                    <w:rPr>
                      <w:color w:val="000000" w:themeColor="text1"/>
                      <w:spacing w:val="-7"/>
                      <w:sz w:val="21"/>
                      <w:szCs w:val="21"/>
                      <w:highlight w:val="none"/>
                    </w:rPr>
                    <w:t>项目 ；已建成的与供水设施和保护水源无关的建设项目，由县级</w:t>
                  </w:r>
                  <w:r>
                    <w:rPr>
                      <w:color w:val="000000" w:themeColor="text1"/>
                      <w:spacing w:val="12"/>
                      <w:sz w:val="21"/>
                      <w:szCs w:val="21"/>
                      <w:highlight w:val="none"/>
                    </w:rPr>
                    <w:t>以</w:t>
                  </w:r>
                  <w:r>
                    <w:rPr>
                      <w:color w:val="000000" w:themeColor="text1"/>
                      <w:spacing w:val="9"/>
                      <w:sz w:val="21"/>
                      <w:szCs w:val="21"/>
                      <w:highlight w:val="none"/>
                    </w:rPr>
                    <w:t>上人民政府责令拆除或者关闭。</w:t>
                  </w:r>
                  <w:r>
                    <w:rPr>
                      <w:color w:val="000000" w:themeColor="text1"/>
                      <w:spacing w:val="3"/>
                      <w:sz w:val="21"/>
                      <w:szCs w:val="21"/>
                      <w:highlight w:val="none"/>
                    </w:rPr>
                    <w:t>（二）</w:t>
                  </w:r>
                  <w:r>
                    <w:rPr>
                      <w:color w:val="000000" w:themeColor="text1"/>
                      <w:spacing w:val="-2"/>
                      <w:sz w:val="21"/>
                      <w:szCs w:val="21"/>
                      <w:highlight w:val="none"/>
                    </w:rPr>
                    <w:t>禁止在饮用水水源一级保护区内从事</w:t>
                  </w:r>
                  <w:r>
                    <w:rPr>
                      <w:color w:val="000000" w:themeColor="text1"/>
                      <w:spacing w:val="-1"/>
                      <w:sz w:val="21"/>
                      <w:szCs w:val="21"/>
                      <w:highlight w:val="none"/>
                    </w:rPr>
                    <w:t>网箱养殖、旅游、</w:t>
                  </w:r>
                  <w:r>
                    <w:rPr>
                      <w:color w:val="000000" w:themeColor="text1"/>
                      <w:spacing w:val="4"/>
                      <w:sz w:val="21"/>
                      <w:szCs w:val="21"/>
                      <w:highlight w:val="none"/>
                    </w:rPr>
                    <w:t>游泳、垂钓或者其他可能污染饮用水水体的活</w:t>
                  </w:r>
                  <w:r>
                    <w:rPr>
                      <w:color w:val="000000" w:themeColor="text1"/>
                      <w:spacing w:val="3"/>
                      <w:sz w:val="21"/>
                      <w:szCs w:val="21"/>
                      <w:highlight w:val="none"/>
                    </w:rPr>
                    <w:t>动</w:t>
                  </w:r>
                  <w:r>
                    <w:rPr>
                      <w:color w:val="000000" w:themeColor="text1"/>
                      <w:sz w:val="21"/>
                      <w:szCs w:val="21"/>
                      <w:highlight w:val="none"/>
                    </w:rPr>
                    <w:t>。</w:t>
                  </w:r>
                </w:p>
              </w:tc>
              <w:tc>
                <w:tcPr>
                  <w:tcW w:w="1416" w:type="pct"/>
                  <w:tcBorders>
                    <w:tl2br w:val="nil"/>
                    <w:tr2bl w:val="nil"/>
                  </w:tcBorders>
                  <w:noWrap w:val="0"/>
                  <w:vAlign w:val="center"/>
                </w:tcPr>
                <w:p w14:paraId="3D327E69">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，不位于</w:t>
                  </w:r>
                  <w:r>
                    <w:rPr>
                      <w:rFonts w:ascii="Times New Roman"/>
                      <w:color w:val="000000" w:themeColor="text1"/>
                      <w:spacing w:val="12"/>
                      <w:sz w:val="21"/>
                      <w:szCs w:val="21"/>
                      <w:highlight w:val="none"/>
                    </w:rPr>
                    <w:t>饮用水水源一级保护区的岸线和河段范围</w:t>
                  </w:r>
                  <w:r>
                    <w:rPr>
                      <w:rFonts w:ascii="Times New Roman"/>
                      <w:color w:val="000000" w:themeColor="text1"/>
                      <w:sz w:val="21"/>
                      <w:szCs w:val="21"/>
                      <w:highlight w:val="none"/>
                    </w:rPr>
                    <w:t xml:space="preserve"> </w:t>
                  </w:r>
                  <w:r>
                    <w:rPr>
                      <w:rFonts w:ascii="Times New Roman"/>
                      <w:color w:val="000000" w:themeColor="text1"/>
                      <w:spacing w:val="-1"/>
                      <w:sz w:val="21"/>
                      <w:szCs w:val="21"/>
                      <w:highlight w:val="none"/>
                    </w:rPr>
                    <w:t>内</w:t>
                  </w:r>
                </w:p>
              </w:tc>
              <w:tc>
                <w:tcPr>
                  <w:tcW w:w="550" w:type="pct"/>
                  <w:tcBorders>
                    <w:tl2br w:val="nil"/>
                    <w:tr2bl w:val="nil"/>
                  </w:tcBorders>
                  <w:noWrap w:val="0"/>
                  <w:vAlign w:val="center"/>
                </w:tcPr>
                <w:p w14:paraId="5F656C7C">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7DCC0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38" w:hRule="atLeast"/>
                <w:jc w:val="center"/>
              </w:trPr>
              <w:tc>
                <w:tcPr>
                  <w:tcW w:w="325" w:type="pct"/>
                  <w:tcBorders>
                    <w:tl2br w:val="nil"/>
                    <w:tr2bl w:val="nil"/>
                  </w:tcBorders>
                  <w:noWrap w:val="0"/>
                  <w:vAlign w:val="center"/>
                </w:tcPr>
                <w:p w14:paraId="6476DCB3">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5</w:t>
                  </w:r>
                </w:p>
              </w:tc>
              <w:tc>
                <w:tcPr>
                  <w:tcW w:w="2707" w:type="pct"/>
                  <w:tcBorders>
                    <w:tl2br w:val="nil"/>
                    <w:tr2bl w:val="nil"/>
                  </w:tcBorders>
                  <w:noWrap w:val="0"/>
                  <w:vAlign w:val="center"/>
                </w:tcPr>
                <w:p w14:paraId="0E37EF37">
                  <w:pPr>
                    <w:pageBreakBefore w:val="0"/>
                    <w:kinsoku/>
                    <w:overflowPunct/>
                    <w:topLinePunct w:val="0"/>
                    <w:bidi w:val="0"/>
                    <w:adjustRightInd w:val="0"/>
                    <w:snapToGrid w:val="0"/>
                    <w:spacing w:line="240" w:lineRule="auto"/>
                    <w:ind w:left="0" w:firstLine="0" w:firstLineChars="0"/>
                    <w:jc w:val="center"/>
                    <w:rPr>
                      <w:color w:val="000000" w:themeColor="text1"/>
                      <w:sz w:val="21"/>
                      <w:szCs w:val="21"/>
                      <w:highlight w:val="none"/>
                    </w:rPr>
                  </w:pPr>
                  <w:r>
                    <w:rPr>
                      <w:color w:val="000000" w:themeColor="text1"/>
                      <w:spacing w:val="16"/>
                      <w:sz w:val="21"/>
                      <w:szCs w:val="21"/>
                      <w:highlight w:val="none"/>
                    </w:rPr>
                    <w:t>禁止在饮用水水源二级保护区的岸线和河段范围</w:t>
                  </w:r>
                  <w:r>
                    <w:rPr>
                      <w:color w:val="000000" w:themeColor="text1"/>
                      <w:spacing w:val="-2"/>
                      <w:sz w:val="21"/>
                      <w:szCs w:val="21"/>
                      <w:highlight w:val="none"/>
                    </w:rPr>
                    <w:t xml:space="preserve">内开展下列行为： </w:t>
                  </w:r>
                  <w:r>
                    <w:rPr>
                      <w:color w:val="000000" w:themeColor="text1"/>
                      <w:spacing w:val="3"/>
                      <w:sz w:val="21"/>
                      <w:szCs w:val="21"/>
                      <w:highlight w:val="none"/>
                    </w:rPr>
                    <w:t>（</w:t>
                  </w:r>
                  <w:r>
                    <w:rPr>
                      <w:color w:val="000000" w:themeColor="text1"/>
                      <w:spacing w:val="-8"/>
                      <w:sz w:val="21"/>
                      <w:szCs w:val="21"/>
                      <w:highlight w:val="none"/>
                    </w:rPr>
                    <w:t>一</w:t>
                  </w:r>
                  <w:r>
                    <w:rPr>
                      <w:color w:val="000000" w:themeColor="text1"/>
                      <w:spacing w:val="3"/>
                      <w:sz w:val="21"/>
                      <w:szCs w:val="21"/>
                      <w:highlight w:val="none"/>
                    </w:rPr>
                    <w:t>）</w:t>
                  </w:r>
                  <w:r>
                    <w:rPr>
                      <w:color w:val="000000" w:themeColor="text1"/>
                      <w:spacing w:val="-12"/>
                      <w:sz w:val="21"/>
                      <w:szCs w:val="21"/>
                      <w:highlight w:val="none"/>
                    </w:rPr>
                    <w:t>新建、改建、扩建排放污染物的建设项目；已建成</w:t>
                  </w:r>
                  <w:r>
                    <w:rPr>
                      <w:color w:val="000000" w:themeColor="text1"/>
                      <w:spacing w:val="-7"/>
                      <w:sz w:val="21"/>
                      <w:szCs w:val="21"/>
                      <w:highlight w:val="none"/>
                    </w:rPr>
                    <w:t>的</w:t>
                  </w:r>
                  <w:r>
                    <w:rPr>
                      <w:color w:val="000000" w:themeColor="text1"/>
                      <w:spacing w:val="-1"/>
                      <w:sz w:val="21"/>
                      <w:szCs w:val="21"/>
                      <w:highlight w:val="none"/>
                    </w:rPr>
                    <w:t>排放污染物的</w:t>
                  </w:r>
                  <w:r>
                    <w:rPr>
                      <w:color w:val="000000" w:themeColor="text1"/>
                      <w:sz w:val="21"/>
                      <w:szCs w:val="21"/>
                      <w:highlight w:val="none"/>
                    </w:rPr>
                    <w:t>建设项目，由县级以上人民政府责令拆除或者关</w:t>
                  </w:r>
                  <w:r>
                    <w:rPr>
                      <w:color w:val="000000" w:themeColor="text1"/>
                      <w:spacing w:val="-7"/>
                      <w:sz w:val="21"/>
                      <w:szCs w:val="21"/>
                      <w:highlight w:val="none"/>
                    </w:rPr>
                    <w:t>闭</w:t>
                  </w:r>
                  <w:r>
                    <w:rPr>
                      <w:color w:val="000000" w:themeColor="text1"/>
                      <w:spacing w:val="-5"/>
                      <w:sz w:val="21"/>
                      <w:szCs w:val="21"/>
                      <w:highlight w:val="none"/>
                    </w:rPr>
                    <w:t>。</w:t>
                  </w:r>
                  <w:r>
                    <w:rPr>
                      <w:color w:val="000000" w:themeColor="text1"/>
                      <w:spacing w:val="3"/>
                      <w:sz w:val="21"/>
                      <w:szCs w:val="21"/>
                      <w:highlight w:val="none"/>
                    </w:rPr>
                    <w:t>（二）</w:t>
                  </w:r>
                  <w:r>
                    <w:rPr>
                      <w:color w:val="000000" w:themeColor="text1"/>
                      <w:spacing w:val="8"/>
                      <w:sz w:val="21"/>
                      <w:szCs w:val="21"/>
                      <w:highlight w:val="none"/>
                    </w:rPr>
                    <w:t>在饮用水水源二级保护区内从事网箱养殖、旅游等活</w:t>
                  </w:r>
                  <w:r>
                    <w:rPr>
                      <w:color w:val="000000" w:themeColor="text1"/>
                      <w:spacing w:val="-17"/>
                      <w:sz w:val="21"/>
                      <w:szCs w:val="21"/>
                      <w:highlight w:val="none"/>
                    </w:rPr>
                    <w:t>动</w:t>
                  </w:r>
                  <w:r>
                    <w:rPr>
                      <w:color w:val="000000" w:themeColor="text1"/>
                      <w:spacing w:val="-11"/>
                      <w:sz w:val="21"/>
                      <w:szCs w:val="21"/>
                      <w:highlight w:val="none"/>
                    </w:rPr>
                    <w:t>的，应当按照规定采取措施，防止污染饮用水水体。</w:t>
                  </w:r>
                </w:p>
              </w:tc>
              <w:tc>
                <w:tcPr>
                  <w:tcW w:w="1416" w:type="pct"/>
                  <w:tcBorders>
                    <w:tl2br w:val="nil"/>
                    <w:tr2bl w:val="nil"/>
                  </w:tcBorders>
                  <w:noWrap w:val="0"/>
                  <w:vAlign w:val="center"/>
                </w:tcPr>
                <w:p w14:paraId="324EF45C">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hint="eastAsia" w:ascii="Times New Roman"/>
                      <w:color w:val="000000" w:themeColor="text1"/>
                      <w:sz w:val="21"/>
                      <w:szCs w:val="21"/>
                      <w:highlight w:val="none"/>
                    </w:rPr>
                    <w:t>内</w:t>
                  </w:r>
                  <w:r>
                    <w:rPr>
                      <w:rFonts w:ascii="Times New Roman"/>
                      <w:color w:val="000000" w:themeColor="text1"/>
                      <w:sz w:val="21"/>
                      <w:szCs w:val="21"/>
                      <w:highlight w:val="none"/>
                    </w:rPr>
                    <w:t>，不位于</w:t>
                  </w:r>
                  <w:r>
                    <w:rPr>
                      <w:rFonts w:ascii="Times New Roman"/>
                      <w:color w:val="000000" w:themeColor="text1"/>
                      <w:spacing w:val="16"/>
                      <w:sz w:val="21"/>
                      <w:szCs w:val="21"/>
                      <w:highlight w:val="none"/>
                    </w:rPr>
                    <w:t>饮用水水源二级保护区的岸线和河段范围</w:t>
                  </w:r>
                  <w:r>
                    <w:rPr>
                      <w:rFonts w:ascii="Times New Roman"/>
                      <w:color w:val="000000" w:themeColor="text1"/>
                      <w:spacing w:val="-2"/>
                      <w:sz w:val="21"/>
                      <w:szCs w:val="21"/>
                      <w:highlight w:val="none"/>
                    </w:rPr>
                    <w:t>内</w:t>
                  </w:r>
                </w:p>
              </w:tc>
              <w:tc>
                <w:tcPr>
                  <w:tcW w:w="550" w:type="pct"/>
                  <w:tcBorders>
                    <w:tl2br w:val="nil"/>
                    <w:tr2bl w:val="nil"/>
                  </w:tcBorders>
                  <w:noWrap w:val="0"/>
                  <w:vAlign w:val="center"/>
                </w:tcPr>
                <w:p w14:paraId="095BC65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7D73C4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38" w:hRule="atLeast"/>
                <w:jc w:val="center"/>
              </w:trPr>
              <w:tc>
                <w:tcPr>
                  <w:tcW w:w="325" w:type="pct"/>
                  <w:tcBorders>
                    <w:tl2br w:val="nil"/>
                    <w:tr2bl w:val="nil"/>
                  </w:tcBorders>
                  <w:noWrap w:val="0"/>
                  <w:vAlign w:val="center"/>
                </w:tcPr>
                <w:p w14:paraId="1C0990E2">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6</w:t>
                  </w:r>
                </w:p>
              </w:tc>
              <w:tc>
                <w:tcPr>
                  <w:tcW w:w="2707" w:type="pct"/>
                  <w:tcBorders>
                    <w:tl2br w:val="nil"/>
                    <w:tr2bl w:val="nil"/>
                  </w:tcBorders>
                  <w:noWrap w:val="0"/>
                  <w:vAlign w:val="center"/>
                </w:tcPr>
                <w:p w14:paraId="3E9508FA">
                  <w:pPr>
                    <w:pageBreakBefore w:val="0"/>
                    <w:kinsoku/>
                    <w:overflowPunct/>
                    <w:topLinePunct w:val="0"/>
                    <w:bidi w:val="0"/>
                    <w:adjustRightInd w:val="0"/>
                    <w:snapToGrid w:val="0"/>
                    <w:spacing w:line="240" w:lineRule="auto"/>
                    <w:ind w:left="0" w:firstLine="0" w:firstLineChars="0"/>
                    <w:jc w:val="center"/>
                    <w:rPr>
                      <w:color w:val="000000" w:themeColor="text1"/>
                      <w:sz w:val="21"/>
                      <w:szCs w:val="21"/>
                      <w:highlight w:val="none"/>
                    </w:rPr>
                  </w:pPr>
                  <w:r>
                    <w:rPr>
                      <w:color w:val="000000" w:themeColor="text1"/>
                      <w:spacing w:val="16"/>
                      <w:sz w:val="21"/>
                      <w:szCs w:val="21"/>
                      <w:highlight w:val="none"/>
                    </w:rPr>
                    <w:t>禁止在水产种质资源保护区的岸线和河段范围内</w:t>
                  </w:r>
                  <w:r>
                    <w:rPr>
                      <w:color w:val="000000" w:themeColor="text1"/>
                      <w:spacing w:val="18"/>
                      <w:sz w:val="21"/>
                      <w:szCs w:val="21"/>
                      <w:highlight w:val="none"/>
                    </w:rPr>
                    <w:t>新</w:t>
                  </w:r>
                  <w:r>
                    <w:rPr>
                      <w:color w:val="000000" w:themeColor="text1"/>
                      <w:spacing w:val="17"/>
                      <w:sz w:val="21"/>
                      <w:szCs w:val="21"/>
                      <w:highlight w:val="none"/>
                    </w:rPr>
                    <w:t>建</w:t>
                  </w:r>
                  <w:r>
                    <w:rPr>
                      <w:color w:val="000000" w:themeColor="text1"/>
                      <w:spacing w:val="9"/>
                      <w:sz w:val="21"/>
                      <w:szCs w:val="21"/>
                      <w:highlight w:val="none"/>
                    </w:rPr>
                    <w:t>围湖</w:t>
                  </w:r>
                  <w:r>
                    <w:rPr>
                      <w:rFonts w:hint="eastAsia"/>
                      <w:color w:val="000000" w:themeColor="text1"/>
                      <w:spacing w:val="9"/>
                      <w:sz w:val="21"/>
                      <w:szCs w:val="21"/>
                      <w:highlight w:val="none"/>
                      <w:lang w:eastAsia="zh-CN"/>
                    </w:rPr>
                    <w:t>（</w:t>
                  </w:r>
                  <w:r>
                    <w:rPr>
                      <w:color w:val="000000" w:themeColor="text1"/>
                      <w:spacing w:val="9"/>
                      <w:sz w:val="21"/>
                      <w:szCs w:val="21"/>
                      <w:highlight w:val="none"/>
                    </w:rPr>
                    <w:t>河</w:t>
                  </w:r>
                  <w:r>
                    <w:rPr>
                      <w:rFonts w:hint="eastAsia"/>
                      <w:color w:val="000000" w:themeColor="text1"/>
                      <w:spacing w:val="9"/>
                      <w:sz w:val="21"/>
                      <w:szCs w:val="21"/>
                      <w:highlight w:val="none"/>
                      <w:lang w:eastAsia="zh-CN"/>
                    </w:rPr>
                    <w:t>）</w:t>
                  </w:r>
                  <w:r>
                    <w:rPr>
                      <w:color w:val="000000" w:themeColor="text1"/>
                      <w:spacing w:val="9"/>
                      <w:sz w:val="21"/>
                      <w:szCs w:val="21"/>
                      <w:highlight w:val="none"/>
                    </w:rPr>
                    <w:t>造田</w:t>
                  </w:r>
                  <w:r>
                    <w:rPr>
                      <w:rFonts w:hint="eastAsia"/>
                      <w:color w:val="000000" w:themeColor="text1"/>
                      <w:spacing w:val="9"/>
                      <w:sz w:val="21"/>
                      <w:szCs w:val="21"/>
                      <w:highlight w:val="none"/>
                      <w:lang w:eastAsia="zh-CN"/>
                    </w:rPr>
                    <w:t>（</w:t>
                  </w:r>
                  <w:r>
                    <w:rPr>
                      <w:color w:val="000000" w:themeColor="text1"/>
                      <w:spacing w:val="9"/>
                      <w:sz w:val="21"/>
                      <w:szCs w:val="21"/>
                      <w:highlight w:val="none"/>
                    </w:rPr>
                    <w:t>地</w:t>
                  </w:r>
                  <w:r>
                    <w:rPr>
                      <w:rFonts w:hint="eastAsia"/>
                      <w:color w:val="000000" w:themeColor="text1"/>
                      <w:spacing w:val="9"/>
                      <w:sz w:val="21"/>
                      <w:szCs w:val="21"/>
                      <w:highlight w:val="none"/>
                      <w:lang w:eastAsia="zh-CN"/>
                    </w:rPr>
                    <w:t>）</w:t>
                  </w:r>
                  <w:r>
                    <w:rPr>
                      <w:color w:val="000000" w:themeColor="text1"/>
                      <w:spacing w:val="9"/>
                      <w:sz w:val="21"/>
                      <w:szCs w:val="21"/>
                      <w:highlight w:val="none"/>
                    </w:rPr>
                    <w:t>等投资建设项目。单位和个人在水产种质资源保护区内从事水生生物资源</w:t>
                  </w:r>
                  <w:r>
                    <w:rPr>
                      <w:color w:val="000000" w:themeColor="text1"/>
                      <w:spacing w:val="7"/>
                      <w:sz w:val="21"/>
                      <w:szCs w:val="21"/>
                      <w:highlight w:val="none"/>
                    </w:rPr>
                    <w:t>调</w:t>
                  </w:r>
                  <w:r>
                    <w:rPr>
                      <w:color w:val="000000" w:themeColor="text1"/>
                      <w:spacing w:val="2"/>
                      <w:sz w:val="21"/>
                      <w:szCs w:val="21"/>
                      <w:highlight w:val="none"/>
                    </w:rPr>
                    <w:t>查、科学研究、教学实习、参观游览、影视拍摄</w:t>
                  </w:r>
                  <w:r>
                    <w:rPr>
                      <w:color w:val="000000" w:themeColor="text1"/>
                      <w:spacing w:val="1"/>
                      <w:sz w:val="21"/>
                      <w:szCs w:val="21"/>
                      <w:highlight w:val="none"/>
                    </w:rPr>
                    <w:t>等活动，应当遵</w:t>
                  </w:r>
                  <w:r>
                    <w:rPr>
                      <w:color w:val="000000" w:themeColor="text1"/>
                      <w:spacing w:val="9"/>
                      <w:sz w:val="21"/>
                      <w:szCs w:val="21"/>
                      <w:highlight w:val="none"/>
                    </w:rPr>
                    <w:t>守</w:t>
                  </w:r>
                  <w:r>
                    <w:rPr>
                      <w:color w:val="000000" w:themeColor="text1"/>
                      <w:spacing w:val="5"/>
                      <w:sz w:val="21"/>
                      <w:szCs w:val="21"/>
                      <w:highlight w:val="none"/>
                    </w:rPr>
                    <w:t>有关法律法规和保护区管理制度，不得损害水产种质资源及其</w:t>
                  </w:r>
                  <w:r>
                    <w:rPr>
                      <w:color w:val="000000" w:themeColor="text1"/>
                      <w:spacing w:val="4"/>
                      <w:sz w:val="21"/>
                      <w:szCs w:val="21"/>
                      <w:highlight w:val="none"/>
                    </w:rPr>
                    <w:t>生存环境。</w:t>
                  </w:r>
                </w:p>
              </w:tc>
              <w:tc>
                <w:tcPr>
                  <w:tcW w:w="1416" w:type="pct"/>
                  <w:tcBorders>
                    <w:tl2br w:val="nil"/>
                    <w:tr2bl w:val="nil"/>
                  </w:tcBorders>
                  <w:noWrap w:val="0"/>
                  <w:vAlign w:val="center"/>
                </w:tcPr>
                <w:p w14:paraId="314F516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color w:val="000000" w:themeColor="text1"/>
                      <w:sz w:val="21"/>
                      <w:szCs w:val="21"/>
                      <w:highlight w:val="none"/>
                    </w:rPr>
                    <w:t>为</w:t>
                  </w:r>
                  <w:r>
                    <w:rPr>
                      <w:rFonts w:hint="eastAsia"/>
                      <w:color w:val="000000" w:themeColor="text1"/>
                      <w:sz w:val="21"/>
                      <w:szCs w:val="21"/>
                      <w:highlight w:val="none"/>
                      <w:lang w:val="en-US"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color w:val="000000" w:themeColor="text1"/>
                      <w:sz w:val="21"/>
                      <w:szCs w:val="21"/>
                      <w:highlight w:val="none"/>
                    </w:rPr>
                    <w:t>项目，</w:t>
                  </w:r>
                  <w:r>
                    <w:rPr>
                      <w:rFonts w:ascii="Times New Roman"/>
                      <w:color w:val="000000" w:themeColor="text1"/>
                      <w:sz w:val="21"/>
                      <w:szCs w:val="21"/>
                      <w:highlight w:val="none"/>
                    </w:rPr>
                    <w:t>选址</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，不位于</w:t>
                  </w:r>
                  <w:r>
                    <w:rPr>
                      <w:rFonts w:ascii="Times New Roman"/>
                      <w:color w:val="000000" w:themeColor="text1"/>
                      <w:spacing w:val="16"/>
                      <w:sz w:val="21"/>
                      <w:szCs w:val="21"/>
                      <w:highlight w:val="none"/>
                    </w:rPr>
                    <w:t>水产种质资源保护区的岸线和河段范围内</w:t>
                  </w:r>
                </w:p>
              </w:tc>
              <w:tc>
                <w:tcPr>
                  <w:tcW w:w="550" w:type="pct"/>
                  <w:tcBorders>
                    <w:tl2br w:val="nil"/>
                    <w:tr2bl w:val="nil"/>
                  </w:tcBorders>
                  <w:noWrap w:val="0"/>
                  <w:vAlign w:val="center"/>
                </w:tcPr>
                <w:p w14:paraId="678B103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19DA1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jc w:val="center"/>
              </w:trPr>
              <w:tc>
                <w:tcPr>
                  <w:tcW w:w="325" w:type="pct"/>
                  <w:tcBorders>
                    <w:tl2br w:val="nil"/>
                    <w:tr2bl w:val="nil"/>
                  </w:tcBorders>
                  <w:noWrap w:val="0"/>
                  <w:vAlign w:val="center"/>
                </w:tcPr>
                <w:p w14:paraId="1D00213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7</w:t>
                  </w:r>
                </w:p>
              </w:tc>
              <w:tc>
                <w:tcPr>
                  <w:tcW w:w="2707" w:type="pct"/>
                  <w:tcBorders>
                    <w:tl2br w:val="nil"/>
                    <w:tr2bl w:val="nil"/>
                  </w:tcBorders>
                  <w:noWrap w:val="0"/>
                  <w:vAlign w:val="center"/>
                </w:tcPr>
                <w:p w14:paraId="10D557B4">
                  <w:pPr>
                    <w:pStyle w:val="55"/>
                    <w:pageBreakBefore w:val="0"/>
                    <w:kinsoku/>
                    <w:overflowPunct/>
                    <w:topLinePunct w:val="0"/>
                    <w:bidi w:val="0"/>
                    <w:spacing w:line="240" w:lineRule="auto"/>
                    <w:ind w:left="0" w:firstLine="0" w:firstLineChars="0"/>
                    <w:jc w:val="center"/>
                    <w:rPr>
                      <w:rFonts w:ascii="Times New Roman"/>
                      <w:color w:val="000000" w:themeColor="text1"/>
                      <w:sz w:val="21"/>
                      <w:szCs w:val="21"/>
                      <w:highlight w:val="none"/>
                    </w:rPr>
                  </w:pPr>
                  <w:r>
                    <w:rPr>
                      <w:rFonts w:ascii="Times New Roman"/>
                      <w:color w:val="000000" w:themeColor="text1"/>
                      <w:spacing w:val="4"/>
                      <w:sz w:val="21"/>
                      <w:szCs w:val="21"/>
                      <w:highlight w:val="none"/>
                    </w:rPr>
                    <w:t>除国家规定的外，禁止在国家湿地公园的岸线和河</w:t>
                  </w:r>
                  <w:r>
                    <w:rPr>
                      <w:rFonts w:ascii="Times New Roman"/>
                      <w:color w:val="000000" w:themeColor="text1"/>
                      <w:spacing w:val="5"/>
                      <w:sz w:val="21"/>
                      <w:szCs w:val="21"/>
                      <w:highlight w:val="none"/>
                    </w:rPr>
                    <w:t>段范围内挖沙、采矿以及任何不符合主体功能定位的投资建设</w:t>
                  </w:r>
                  <w:r>
                    <w:rPr>
                      <w:rFonts w:ascii="Times New Roman"/>
                      <w:color w:val="000000" w:themeColor="text1"/>
                      <w:spacing w:val="4"/>
                      <w:sz w:val="21"/>
                      <w:szCs w:val="21"/>
                      <w:highlight w:val="none"/>
                    </w:rPr>
                    <w:t>项</w:t>
                  </w:r>
                  <w:r>
                    <w:rPr>
                      <w:rFonts w:ascii="Times New Roman"/>
                      <w:color w:val="000000" w:themeColor="text1"/>
                      <w:spacing w:val="-1"/>
                      <w:sz w:val="21"/>
                      <w:szCs w:val="21"/>
                      <w:highlight w:val="none"/>
                    </w:rPr>
                    <w:t>目：</w:t>
                  </w:r>
                </w:p>
              </w:tc>
              <w:tc>
                <w:tcPr>
                  <w:tcW w:w="1416" w:type="pct"/>
                  <w:tcBorders>
                    <w:tl2br w:val="nil"/>
                    <w:tr2bl w:val="nil"/>
                  </w:tcBorders>
                  <w:noWrap w:val="0"/>
                  <w:vAlign w:val="center"/>
                </w:tcPr>
                <w:p w14:paraId="0A373835">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color w:val="000000" w:themeColor="text1"/>
                      <w:sz w:val="21"/>
                      <w:szCs w:val="21"/>
                      <w:highlight w:val="none"/>
                    </w:rPr>
                    <w:t>为</w:t>
                  </w:r>
                  <w:r>
                    <w:rPr>
                      <w:rFonts w:hint="eastAsia"/>
                      <w:color w:val="000000" w:themeColor="text1"/>
                      <w:sz w:val="21"/>
                      <w:szCs w:val="21"/>
                      <w:highlight w:val="none"/>
                      <w:lang w:val="en-US"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，不位于</w:t>
                  </w:r>
                  <w:r>
                    <w:rPr>
                      <w:rFonts w:ascii="Times New Roman"/>
                      <w:color w:val="000000" w:themeColor="text1"/>
                      <w:spacing w:val="4"/>
                      <w:sz w:val="21"/>
                      <w:szCs w:val="21"/>
                      <w:highlight w:val="none"/>
                    </w:rPr>
                    <w:t>国家湿地公园的岸线和河</w:t>
                  </w:r>
                  <w:r>
                    <w:rPr>
                      <w:rFonts w:ascii="Times New Roman"/>
                      <w:color w:val="000000" w:themeColor="text1"/>
                      <w:spacing w:val="5"/>
                      <w:sz w:val="21"/>
                      <w:szCs w:val="21"/>
                      <w:highlight w:val="none"/>
                    </w:rPr>
                    <w:t>段范围内</w:t>
                  </w:r>
                </w:p>
              </w:tc>
              <w:tc>
                <w:tcPr>
                  <w:tcW w:w="550" w:type="pct"/>
                  <w:tcBorders>
                    <w:tl2br w:val="nil"/>
                    <w:tr2bl w:val="nil"/>
                  </w:tcBorders>
                  <w:noWrap w:val="0"/>
                  <w:vAlign w:val="center"/>
                </w:tcPr>
                <w:p w14:paraId="178FB8D5">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491B0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92" w:hRule="atLeast"/>
                <w:jc w:val="center"/>
              </w:trPr>
              <w:tc>
                <w:tcPr>
                  <w:tcW w:w="325" w:type="pct"/>
                  <w:tcBorders>
                    <w:tl2br w:val="nil"/>
                    <w:tr2bl w:val="nil"/>
                  </w:tcBorders>
                  <w:noWrap w:val="0"/>
                  <w:vAlign w:val="center"/>
                </w:tcPr>
                <w:p w14:paraId="122A470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8</w:t>
                  </w:r>
                </w:p>
              </w:tc>
              <w:tc>
                <w:tcPr>
                  <w:tcW w:w="2707" w:type="pct"/>
                  <w:tcBorders>
                    <w:tl2br w:val="nil"/>
                    <w:tr2bl w:val="nil"/>
                  </w:tcBorders>
                  <w:noWrap w:val="0"/>
                  <w:vAlign w:val="center"/>
                </w:tcPr>
                <w:p w14:paraId="3A4240EA">
                  <w:pPr>
                    <w:pageBreakBefore w:val="0"/>
                    <w:kinsoku/>
                    <w:overflowPunct/>
                    <w:topLinePunct w:val="0"/>
                    <w:bidi w:val="0"/>
                    <w:adjustRightInd w:val="0"/>
                    <w:snapToGrid w:val="0"/>
                    <w:spacing w:line="240" w:lineRule="auto"/>
                    <w:ind w:left="0" w:firstLine="0" w:firstLineChars="0"/>
                    <w:jc w:val="center"/>
                    <w:rPr>
                      <w:color w:val="000000" w:themeColor="text1"/>
                      <w:sz w:val="21"/>
                      <w:szCs w:val="21"/>
                      <w:highlight w:val="none"/>
                    </w:rPr>
                  </w:pPr>
                  <w:r>
                    <w:rPr>
                      <w:color w:val="000000" w:themeColor="text1"/>
                      <w:spacing w:val="4"/>
                      <w:sz w:val="21"/>
                      <w:szCs w:val="21"/>
                      <w:highlight w:val="none"/>
                    </w:rPr>
                    <w:t>禁止违法利用、占用长江流域河湖岸线。禁止在</w:t>
                  </w:r>
                  <w:r>
                    <w:rPr>
                      <w:color w:val="000000" w:themeColor="text1"/>
                      <w:sz w:val="21"/>
                      <w:szCs w:val="21"/>
                      <w:highlight w:val="none"/>
                    </w:rPr>
                    <w:t xml:space="preserve"> </w:t>
                  </w:r>
                  <w:r>
                    <w:rPr>
                      <w:color w:val="000000" w:themeColor="text1"/>
                      <w:spacing w:val="12"/>
                      <w:sz w:val="21"/>
                      <w:szCs w:val="21"/>
                      <w:highlight w:val="none"/>
                    </w:rPr>
                    <w:t>《长</w:t>
                  </w:r>
                  <w:r>
                    <w:rPr>
                      <w:color w:val="000000" w:themeColor="text1"/>
                      <w:spacing w:val="7"/>
                      <w:sz w:val="21"/>
                      <w:szCs w:val="21"/>
                      <w:highlight w:val="none"/>
                    </w:rPr>
                    <w:t>江</w:t>
                  </w:r>
                  <w:r>
                    <w:rPr>
                      <w:color w:val="000000" w:themeColor="text1"/>
                      <w:spacing w:val="6"/>
                      <w:sz w:val="21"/>
                      <w:szCs w:val="21"/>
                      <w:highlight w:val="none"/>
                    </w:rPr>
                    <w:t>岸线保护和开发利用总体规划》划定的岸线保护区和保留</w:t>
                  </w:r>
                  <w:r>
                    <w:rPr>
                      <w:color w:val="000000" w:themeColor="text1"/>
                      <w:spacing w:val="14"/>
                      <w:sz w:val="21"/>
                      <w:szCs w:val="21"/>
                      <w:highlight w:val="none"/>
                    </w:rPr>
                    <w:t>内投资建设除事关公共安全及公众利益的防洪护岸 、河道治</w:t>
                  </w:r>
                  <w:r>
                    <w:rPr>
                      <w:color w:val="000000" w:themeColor="text1"/>
                      <w:sz w:val="21"/>
                      <w:szCs w:val="21"/>
                      <w:highlight w:val="none"/>
                    </w:rPr>
                    <w:t xml:space="preserve"> </w:t>
                  </w:r>
                  <w:r>
                    <w:rPr>
                      <w:color w:val="000000" w:themeColor="text1"/>
                      <w:spacing w:val="5"/>
                      <w:sz w:val="21"/>
                      <w:szCs w:val="21"/>
                      <w:highlight w:val="none"/>
                    </w:rPr>
                    <w:t>理</w:t>
                  </w:r>
                  <w:r>
                    <w:rPr>
                      <w:color w:val="000000" w:themeColor="text1"/>
                      <w:spacing w:val="3"/>
                      <w:sz w:val="21"/>
                      <w:szCs w:val="21"/>
                      <w:highlight w:val="none"/>
                    </w:rPr>
                    <w:t>、供水 、生态环境保护、航道整治、国家重要基础设施以外的</w:t>
                  </w:r>
                  <w:r>
                    <w:rPr>
                      <w:color w:val="000000" w:themeColor="text1"/>
                      <w:spacing w:val="-16"/>
                      <w:sz w:val="21"/>
                      <w:szCs w:val="21"/>
                      <w:highlight w:val="none"/>
                    </w:rPr>
                    <w:t xml:space="preserve">项 </w:t>
                  </w:r>
                  <w:r>
                    <w:rPr>
                      <w:color w:val="000000" w:themeColor="text1"/>
                      <w:spacing w:val="-14"/>
                      <w:sz w:val="21"/>
                      <w:szCs w:val="21"/>
                      <w:highlight w:val="none"/>
                    </w:rPr>
                    <w:t>目</w:t>
                  </w:r>
                  <w:r>
                    <w:rPr>
                      <w:color w:val="000000" w:themeColor="text1"/>
                      <w:spacing w:val="-8"/>
                      <w:sz w:val="21"/>
                      <w:szCs w:val="21"/>
                      <w:highlight w:val="none"/>
                    </w:rPr>
                    <w:t xml:space="preserve"> 。</w:t>
                  </w:r>
                </w:p>
              </w:tc>
              <w:tc>
                <w:tcPr>
                  <w:tcW w:w="1416" w:type="pct"/>
                  <w:tcBorders>
                    <w:tl2br w:val="nil"/>
                    <w:tr2bl w:val="nil"/>
                  </w:tcBorders>
                  <w:noWrap w:val="0"/>
                  <w:vAlign w:val="center"/>
                </w:tcPr>
                <w:p w14:paraId="2E1A4E9B">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，不位于</w:t>
                  </w:r>
                  <w:r>
                    <w:rPr>
                      <w:rFonts w:ascii="Times New Roman"/>
                      <w:color w:val="000000" w:themeColor="text1"/>
                      <w:spacing w:val="12"/>
                      <w:sz w:val="21"/>
                      <w:szCs w:val="21"/>
                      <w:highlight w:val="none"/>
                    </w:rPr>
                    <w:t>《长</w:t>
                  </w:r>
                  <w:r>
                    <w:rPr>
                      <w:rFonts w:ascii="Times New Roman"/>
                      <w:color w:val="000000" w:themeColor="text1"/>
                      <w:spacing w:val="7"/>
                      <w:sz w:val="21"/>
                      <w:szCs w:val="21"/>
                      <w:highlight w:val="none"/>
                    </w:rPr>
                    <w:t>江</w:t>
                  </w:r>
                  <w:r>
                    <w:rPr>
                      <w:rFonts w:ascii="Times New Roman"/>
                      <w:color w:val="000000" w:themeColor="text1"/>
                      <w:spacing w:val="6"/>
                      <w:sz w:val="21"/>
                      <w:szCs w:val="21"/>
                      <w:highlight w:val="none"/>
                    </w:rPr>
                    <w:t>岸线保护和开发利用总体规划》划定的岸线保护区和保留</w:t>
                  </w:r>
                  <w:r>
                    <w:rPr>
                      <w:rFonts w:ascii="Times New Roman"/>
                      <w:color w:val="000000" w:themeColor="text1"/>
                      <w:spacing w:val="14"/>
                      <w:sz w:val="21"/>
                      <w:szCs w:val="21"/>
                      <w:highlight w:val="none"/>
                    </w:rPr>
                    <w:t>内</w:t>
                  </w:r>
                </w:p>
              </w:tc>
              <w:tc>
                <w:tcPr>
                  <w:tcW w:w="550" w:type="pct"/>
                  <w:tcBorders>
                    <w:tl2br w:val="nil"/>
                    <w:tr2bl w:val="nil"/>
                  </w:tcBorders>
                  <w:noWrap w:val="0"/>
                  <w:vAlign w:val="center"/>
                </w:tcPr>
                <w:p w14:paraId="1AB1A615">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7589CE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97" w:hRule="atLeast"/>
                <w:jc w:val="center"/>
              </w:trPr>
              <w:tc>
                <w:tcPr>
                  <w:tcW w:w="325" w:type="pct"/>
                  <w:tcBorders>
                    <w:tl2br w:val="nil"/>
                    <w:tr2bl w:val="nil"/>
                  </w:tcBorders>
                  <w:noWrap w:val="0"/>
                  <w:vAlign w:val="center"/>
                </w:tcPr>
                <w:p w14:paraId="5FD03CFB">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9</w:t>
                  </w:r>
                </w:p>
              </w:tc>
              <w:tc>
                <w:tcPr>
                  <w:tcW w:w="2707" w:type="pct"/>
                  <w:tcBorders>
                    <w:tl2br w:val="nil"/>
                    <w:tr2bl w:val="nil"/>
                  </w:tcBorders>
                  <w:noWrap w:val="0"/>
                  <w:vAlign w:val="center"/>
                </w:tcPr>
                <w:p w14:paraId="40D9A8DD">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pacing w:val="4"/>
                      <w:sz w:val="21"/>
                      <w:szCs w:val="21"/>
                      <w:highlight w:val="none"/>
                    </w:rPr>
                    <w:t>禁止在《全国重要江河湖泊水功能区划》划定的</w:t>
                  </w:r>
                  <w:r>
                    <w:rPr>
                      <w:rFonts w:ascii="Times New Roman"/>
                      <w:color w:val="000000" w:themeColor="text1"/>
                      <w:spacing w:val="10"/>
                      <w:sz w:val="21"/>
                      <w:szCs w:val="21"/>
                      <w:highlight w:val="none"/>
                    </w:rPr>
                    <w:t>河</w:t>
                  </w:r>
                  <w:r>
                    <w:rPr>
                      <w:rFonts w:ascii="Times New Roman"/>
                      <w:color w:val="000000" w:themeColor="text1"/>
                      <w:spacing w:val="9"/>
                      <w:sz w:val="21"/>
                      <w:szCs w:val="21"/>
                      <w:highlight w:val="none"/>
                    </w:rPr>
                    <w:t>段</w:t>
                  </w:r>
                  <w:r>
                    <w:rPr>
                      <w:rFonts w:ascii="Times New Roman"/>
                      <w:color w:val="000000" w:themeColor="text1"/>
                      <w:spacing w:val="5"/>
                      <w:sz w:val="21"/>
                      <w:szCs w:val="21"/>
                      <w:highlight w:val="none"/>
                    </w:rPr>
                    <w:t>及湖泊保护区、保留区内投资建设不利于水资源及自然生态</w:t>
                  </w:r>
                  <w:r>
                    <w:rPr>
                      <w:rFonts w:ascii="Times New Roman"/>
                      <w:color w:val="000000" w:themeColor="text1"/>
                      <w:spacing w:val="-10"/>
                      <w:sz w:val="21"/>
                      <w:szCs w:val="21"/>
                      <w:highlight w:val="none"/>
                    </w:rPr>
                    <w:t>保护的项</w:t>
                  </w:r>
                  <w:r>
                    <w:rPr>
                      <w:rFonts w:ascii="Times New Roman"/>
                      <w:color w:val="000000" w:themeColor="text1"/>
                      <w:spacing w:val="-7"/>
                      <w:sz w:val="21"/>
                      <w:szCs w:val="21"/>
                      <w:highlight w:val="none"/>
                    </w:rPr>
                    <w:t xml:space="preserve"> </w:t>
                  </w:r>
                  <w:r>
                    <w:rPr>
                      <w:rFonts w:ascii="Times New Roman"/>
                      <w:color w:val="000000" w:themeColor="text1"/>
                      <w:spacing w:val="-5"/>
                      <w:sz w:val="21"/>
                      <w:szCs w:val="21"/>
                      <w:highlight w:val="none"/>
                    </w:rPr>
                    <w:t xml:space="preserve">目 。  </w:t>
                  </w:r>
                </w:p>
              </w:tc>
              <w:tc>
                <w:tcPr>
                  <w:tcW w:w="1416" w:type="pct"/>
                  <w:tcBorders>
                    <w:tl2br w:val="nil"/>
                    <w:tr2bl w:val="nil"/>
                  </w:tcBorders>
                  <w:noWrap w:val="0"/>
                  <w:vAlign w:val="center"/>
                </w:tcPr>
                <w:p w14:paraId="6BFF05F7">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，不位于</w:t>
                  </w:r>
                  <w:r>
                    <w:rPr>
                      <w:rFonts w:ascii="Times New Roman"/>
                      <w:color w:val="000000" w:themeColor="text1"/>
                      <w:spacing w:val="4"/>
                      <w:sz w:val="21"/>
                      <w:szCs w:val="21"/>
                      <w:highlight w:val="none"/>
                    </w:rPr>
                    <w:t>《全国重要江河湖泊水功能区划》划定的</w:t>
                  </w:r>
                  <w:r>
                    <w:rPr>
                      <w:rFonts w:ascii="Times New Roman"/>
                      <w:color w:val="000000" w:themeColor="text1"/>
                      <w:spacing w:val="10"/>
                      <w:sz w:val="21"/>
                      <w:szCs w:val="21"/>
                      <w:highlight w:val="none"/>
                    </w:rPr>
                    <w:t>河</w:t>
                  </w:r>
                  <w:r>
                    <w:rPr>
                      <w:rFonts w:ascii="Times New Roman"/>
                      <w:color w:val="000000" w:themeColor="text1"/>
                      <w:spacing w:val="9"/>
                      <w:sz w:val="21"/>
                      <w:szCs w:val="21"/>
                      <w:highlight w:val="none"/>
                    </w:rPr>
                    <w:t>段</w:t>
                  </w:r>
                  <w:r>
                    <w:rPr>
                      <w:rFonts w:ascii="Times New Roman"/>
                      <w:color w:val="000000" w:themeColor="text1"/>
                      <w:spacing w:val="5"/>
                      <w:sz w:val="21"/>
                      <w:szCs w:val="21"/>
                      <w:highlight w:val="none"/>
                    </w:rPr>
                    <w:t>及湖泊保护区、保留区内</w:t>
                  </w:r>
                </w:p>
              </w:tc>
              <w:tc>
                <w:tcPr>
                  <w:tcW w:w="550" w:type="pct"/>
                  <w:tcBorders>
                    <w:tl2br w:val="nil"/>
                    <w:tr2bl w:val="nil"/>
                  </w:tcBorders>
                  <w:noWrap w:val="0"/>
                  <w:vAlign w:val="center"/>
                </w:tcPr>
                <w:p w14:paraId="2A7F0822">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333EF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325" w:type="pct"/>
                  <w:tcBorders>
                    <w:tl2br w:val="nil"/>
                    <w:tr2bl w:val="nil"/>
                  </w:tcBorders>
                  <w:noWrap w:val="0"/>
                  <w:vAlign w:val="center"/>
                </w:tcPr>
                <w:p w14:paraId="7FBD98A9">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10</w:t>
                  </w:r>
                </w:p>
              </w:tc>
              <w:tc>
                <w:tcPr>
                  <w:tcW w:w="2707" w:type="pct"/>
                  <w:tcBorders>
                    <w:tl2br w:val="nil"/>
                    <w:tr2bl w:val="nil"/>
                  </w:tcBorders>
                  <w:noWrap w:val="0"/>
                  <w:vAlign w:val="center"/>
                </w:tcPr>
                <w:p w14:paraId="7AB5A5F8">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pacing w:val="4"/>
                      <w:sz w:val="21"/>
                      <w:szCs w:val="21"/>
                      <w:highlight w:val="none"/>
                    </w:rPr>
                    <w:t xml:space="preserve"> 禁止未经许可在长江干支流及湖泊新设、改设或</w:t>
                  </w:r>
                  <w:r>
                    <w:rPr>
                      <w:rFonts w:ascii="Times New Roman"/>
                      <w:color w:val="000000" w:themeColor="text1"/>
                      <w:spacing w:val="-1"/>
                      <w:sz w:val="21"/>
                      <w:szCs w:val="21"/>
                      <w:highlight w:val="none"/>
                    </w:rPr>
                    <w:t xml:space="preserve">扩大排污口。  </w:t>
                  </w:r>
                </w:p>
              </w:tc>
              <w:tc>
                <w:tcPr>
                  <w:tcW w:w="1416" w:type="pct"/>
                  <w:tcBorders>
                    <w:tl2br w:val="nil"/>
                    <w:tr2bl w:val="nil"/>
                  </w:tcBorders>
                  <w:noWrap w:val="0"/>
                  <w:vAlign w:val="center"/>
                </w:tcPr>
                <w:p w14:paraId="7E4A8811">
                  <w:pPr>
                    <w:pStyle w:val="55"/>
                    <w:pageBreakBefore w:val="0"/>
                    <w:kinsoku/>
                    <w:overflowPunct/>
                    <w:topLinePunct w:val="0"/>
                    <w:bidi w:val="0"/>
                    <w:spacing w:line="240" w:lineRule="auto"/>
                    <w:ind w:left="0" w:firstLine="0" w:firstLineChars="0"/>
                    <w:rPr>
                      <w:rFonts w:hint="eastAsia" w:ascii="Times New Roman" w:eastAsia="宋体"/>
                      <w:color w:val="000000" w:themeColor="text1"/>
                      <w:sz w:val="21"/>
                      <w:szCs w:val="21"/>
                      <w:highlight w:val="none"/>
                      <w:lang w:val="en-US" w:eastAsia="zh-CN"/>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不</w:t>
                  </w:r>
                  <w:r>
                    <w:rPr>
                      <w:rFonts w:hint="eastAsia"/>
                      <w:color w:val="000000" w:themeColor="text1"/>
                      <w:sz w:val="21"/>
                      <w:szCs w:val="21"/>
                      <w:highlight w:val="none"/>
                      <w:lang w:val="en-US" w:eastAsia="zh-CN"/>
                    </w:rPr>
                    <w:t>属于</w:t>
                  </w:r>
                  <w:r>
                    <w:rPr>
                      <w:rFonts w:ascii="Times New Roman"/>
                      <w:color w:val="000000" w:themeColor="text1"/>
                      <w:spacing w:val="4"/>
                      <w:sz w:val="21"/>
                      <w:szCs w:val="21"/>
                      <w:highlight w:val="none"/>
                    </w:rPr>
                    <w:t>新设、改设或</w:t>
                  </w:r>
                  <w:r>
                    <w:rPr>
                      <w:rFonts w:ascii="Times New Roman"/>
                      <w:color w:val="000000" w:themeColor="text1"/>
                      <w:spacing w:val="-1"/>
                      <w:sz w:val="21"/>
                      <w:szCs w:val="21"/>
                      <w:highlight w:val="none"/>
                    </w:rPr>
                    <w:t>扩大排污口</w:t>
                  </w:r>
                  <w:r>
                    <w:rPr>
                      <w:rFonts w:hint="eastAsia"/>
                      <w:color w:val="000000" w:themeColor="text1"/>
                      <w:spacing w:val="-1"/>
                      <w:sz w:val="21"/>
                      <w:szCs w:val="21"/>
                      <w:highlight w:val="none"/>
                      <w:lang w:val="en-US" w:eastAsia="zh-CN"/>
                    </w:rPr>
                    <w:t>项目</w:t>
                  </w:r>
                </w:p>
              </w:tc>
              <w:tc>
                <w:tcPr>
                  <w:tcW w:w="550" w:type="pct"/>
                  <w:tcBorders>
                    <w:tl2br w:val="nil"/>
                    <w:tr2bl w:val="nil"/>
                  </w:tcBorders>
                  <w:noWrap w:val="0"/>
                  <w:vAlign w:val="center"/>
                </w:tcPr>
                <w:p w14:paraId="1575871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7104D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325" w:type="pct"/>
                  <w:tcBorders>
                    <w:tl2br w:val="nil"/>
                    <w:tr2bl w:val="nil"/>
                  </w:tcBorders>
                  <w:noWrap w:val="0"/>
                  <w:vAlign w:val="center"/>
                </w:tcPr>
                <w:p w14:paraId="0933AFB8">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11</w:t>
                  </w:r>
                </w:p>
              </w:tc>
              <w:tc>
                <w:tcPr>
                  <w:tcW w:w="2707" w:type="pct"/>
                  <w:tcBorders>
                    <w:tl2br w:val="nil"/>
                    <w:tr2bl w:val="nil"/>
                  </w:tcBorders>
                  <w:noWrap w:val="0"/>
                  <w:vAlign w:val="center"/>
                </w:tcPr>
                <w:p w14:paraId="08F0CE2B">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4"/>
                      <w:sz w:val="21"/>
                      <w:szCs w:val="21"/>
                      <w:highlight w:val="none"/>
                    </w:rPr>
                    <w:t>禁止在长江干流江西段、鄱阳湖和《率先全面禁</w:t>
                  </w:r>
                  <w:r>
                    <w:rPr>
                      <w:rFonts w:ascii="Times New Roman"/>
                      <w:color w:val="000000" w:themeColor="text1"/>
                      <w:sz w:val="21"/>
                      <w:szCs w:val="21"/>
                      <w:highlight w:val="none"/>
                    </w:rPr>
                    <w:t xml:space="preserve"> </w:t>
                  </w:r>
                  <w:r>
                    <w:rPr>
                      <w:rFonts w:ascii="Times New Roman"/>
                      <w:color w:val="000000" w:themeColor="text1"/>
                      <w:spacing w:val="10"/>
                      <w:sz w:val="21"/>
                      <w:szCs w:val="21"/>
                      <w:highlight w:val="none"/>
                    </w:rPr>
                    <w:t>捕的长</w:t>
                  </w:r>
                  <w:r>
                    <w:rPr>
                      <w:rFonts w:ascii="Times New Roman"/>
                      <w:color w:val="000000" w:themeColor="text1"/>
                      <w:spacing w:val="5"/>
                      <w:sz w:val="21"/>
                      <w:szCs w:val="21"/>
                      <w:highlight w:val="none"/>
                    </w:rPr>
                    <w:t>江流域水生生物保护区名录》中的水生生物保护区开展生</w:t>
                  </w:r>
                  <w:r>
                    <w:rPr>
                      <w:rFonts w:ascii="Times New Roman"/>
                      <w:color w:val="000000" w:themeColor="text1"/>
                      <w:spacing w:val="-1"/>
                      <w:sz w:val="21"/>
                      <w:szCs w:val="21"/>
                      <w:highlight w:val="none"/>
                    </w:rPr>
                    <w:t xml:space="preserve">产性捕捞 。 </w:t>
                  </w:r>
                </w:p>
              </w:tc>
              <w:tc>
                <w:tcPr>
                  <w:tcW w:w="1416" w:type="pct"/>
                  <w:tcBorders>
                    <w:tl2br w:val="nil"/>
                    <w:tr2bl w:val="nil"/>
                  </w:tcBorders>
                  <w:noWrap w:val="0"/>
                  <w:vAlign w:val="center"/>
                </w:tcPr>
                <w:p w14:paraId="1008AE04">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color w:val="000000" w:themeColor="text1"/>
                      <w:sz w:val="21"/>
                      <w:szCs w:val="21"/>
                      <w:highlight w:val="none"/>
                    </w:rPr>
                    <w:t>为</w:t>
                  </w:r>
                  <w:r>
                    <w:rPr>
                      <w:rFonts w:hint="eastAsia"/>
                      <w:color w:val="000000" w:themeColor="text1"/>
                      <w:sz w:val="21"/>
                      <w:szCs w:val="21"/>
                      <w:highlight w:val="none"/>
                      <w:lang w:val="en-US"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color w:val="000000" w:themeColor="text1"/>
                      <w:sz w:val="21"/>
                      <w:szCs w:val="21"/>
                      <w:highlight w:val="none"/>
                    </w:rPr>
                    <w:t>项目，</w:t>
                  </w:r>
                  <w:r>
                    <w:rPr>
                      <w:rFonts w:hint="eastAsia"/>
                      <w:color w:val="000000" w:themeColor="text1"/>
                      <w:sz w:val="21"/>
                      <w:szCs w:val="21"/>
                      <w:highlight w:val="none"/>
                      <w:lang w:eastAsia="zh-CN"/>
                    </w:rPr>
                    <w:t>位于赤湖工业园</w:t>
                  </w:r>
                  <w:r>
                    <w:rPr>
                      <w:rFonts w:ascii="Times New Roman"/>
                      <w:color w:val="000000" w:themeColor="text1"/>
                      <w:sz w:val="21"/>
                      <w:szCs w:val="21"/>
                      <w:highlight w:val="none"/>
                    </w:rPr>
                    <w:t>，不位</w:t>
                  </w:r>
                  <w:r>
                    <w:rPr>
                      <w:rFonts w:hint="eastAsia"/>
                      <w:color w:val="000000" w:themeColor="text1"/>
                      <w:sz w:val="21"/>
                      <w:szCs w:val="21"/>
                      <w:highlight w:val="none"/>
                    </w:rPr>
                    <w:t>于</w:t>
                  </w:r>
                  <w:r>
                    <w:rPr>
                      <w:rFonts w:ascii="Times New Roman"/>
                      <w:color w:val="000000" w:themeColor="text1"/>
                      <w:spacing w:val="4"/>
                      <w:sz w:val="21"/>
                      <w:szCs w:val="21"/>
                      <w:highlight w:val="none"/>
                    </w:rPr>
                    <w:t>长江干流江西段、鄱阳湖和《率先全面禁</w:t>
                  </w:r>
                  <w:r>
                    <w:rPr>
                      <w:rFonts w:ascii="Times New Roman"/>
                      <w:color w:val="000000" w:themeColor="text1"/>
                      <w:spacing w:val="10"/>
                      <w:sz w:val="21"/>
                      <w:szCs w:val="21"/>
                      <w:highlight w:val="none"/>
                    </w:rPr>
                    <w:t>捕的长</w:t>
                  </w:r>
                  <w:r>
                    <w:rPr>
                      <w:rFonts w:ascii="Times New Roman"/>
                      <w:color w:val="000000" w:themeColor="text1"/>
                      <w:spacing w:val="5"/>
                      <w:sz w:val="21"/>
                      <w:szCs w:val="21"/>
                      <w:highlight w:val="none"/>
                    </w:rPr>
                    <w:t>江流域水生生物保护区名录》中的水生生物保护区</w:t>
                  </w:r>
                </w:p>
              </w:tc>
              <w:tc>
                <w:tcPr>
                  <w:tcW w:w="550" w:type="pct"/>
                  <w:tcBorders>
                    <w:tl2br w:val="nil"/>
                    <w:tr2bl w:val="nil"/>
                  </w:tcBorders>
                  <w:noWrap w:val="0"/>
                  <w:vAlign w:val="center"/>
                </w:tcPr>
                <w:p w14:paraId="65D8D7B3">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6249F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51" w:hRule="atLeast"/>
                <w:jc w:val="center"/>
              </w:trPr>
              <w:tc>
                <w:tcPr>
                  <w:tcW w:w="325" w:type="pct"/>
                  <w:tcBorders>
                    <w:tl2br w:val="nil"/>
                    <w:tr2bl w:val="nil"/>
                  </w:tcBorders>
                  <w:noWrap w:val="0"/>
                  <w:vAlign w:val="center"/>
                </w:tcPr>
                <w:p w14:paraId="64E635A6">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12</w:t>
                  </w:r>
                </w:p>
              </w:tc>
              <w:tc>
                <w:tcPr>
                  <w:tcW w:w="2707" w:type="pct"/>
                  <w:tcBorders>
                    <w:tl2br w:val="nil"/>
                    <w:tr2bl w:val="nil"/>
                  </w:tcBorders>
                  <w:noWrap w:val="0"/>
                  <w:vAlign w:val="center"/>
                </w:tcPr>
                <w:p w14:paraId="2B260289">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4"/>
                      <w:sz w:val="21"/>
                      <w:szCs w:val="21"/>
                      <w:highlight w:val="none"/>
                    </w:rPr>
                    <w:t>禁止在长江干支流、重要湖泊岸线一公里范围内</w:t>
                  </w:r>
                  <w:r>
                    <w:rPr>
                      <w:rFonts w:ascii="Times New Roman"/>
                      <w:color w:val="000000" w:themeColor="text1"/>
                      <w:sz w:val="21"/>
                      <w:szCs w:val="21"/>
                      <w:highlight w:val="none"/>
                    </w:rPr>
                    <w:t xml:space="preserve">  </w:t>
                  </w:r>
                  <w:r>
                    <w:rPr>
                      <w:rFonts w:ascii="Times New Roman"/>
                      <w:color w:val="000000" w:themeColor="text1"/>
                      <w:spacing w:val="-12"/>
                      <w:sz w:val="21"/>
                      <w:szCs w:val="21"/>
                      <w:highlight w:val="none"/>
                    </w:rPr>
                    <w:t>新建、</w:t>
                  </w:r>
                  <w:r>
                    <w:rPr>
                      <w:rFonts w:ascii="Times New Roman"/>
                      <w:color w:val="000000" w:themeColor="text1"/>
                      <w:spacing w:val="-6"/>
                      <w:sz w:val="21"/>
                      <w:szCs w:val="21"/>
                      <w:highlight w:val="none"/>
                    </w:rPr>
                    <w:t>扩建化工园区和化工项目 。</w:t>
                  </w:r>
                </w:p>
              </w:tc>
              <w:tc>
                <w:tcPr>
                  <w:tcW w:w="1416" w:type="pct"/>
                  <w:tcBorders>
                    <w:tl2br w:val="nil"/>
                    <w:tr2bl w:val="nil"/>
                  </w:tcBorders>
                  <w:noWrap w:val="0"/>
                  <w:vAlign w:val="center"/>
                </w:tcPr>
                <w:p w14:paraId="1D0810E2">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ascii="Times New Roman"/>
                      <w:color w:val="000000" w:themeColor="text1"/>
                      <w:sz w:val="21"/>
                      <w:szCs w:val="21"/>
                      <w:highlight w:val="none"/>
                    </w:rPr>
                    <w:t>位于</w:t>
                  </w:r>
                  <w:r>
                    <w:rPr>
                      <w:rFonts w:hint="eastAsia"/>
                      <w:color w:val="000000" w:themeColor="text1"/>
                      <w:sz w:val="21"/>
                      <w:szCs w:val="21"/>
                      <w:highlight w:val="none"/>
                      <w:lang w:val="en-US" w:eastAsia="zh-CN"/>
                    </w:rPr>
                    <w:t>赤湖</w:t>
                  </w:r>
                  <w:r>
                    <w:rPr>
                      <w:rFonts w:hint="eastAsia"/>
                      <w:color w:val="000000" w:themeColor="text1"/>
                      <w:sz w:val="21"/>
                      <w:szCs w:val="21"/>
                      <w:highlight w:val="none"/>
                    </w:rPr>
                    <w:t>工业园</w:t>
                  </w:r>
                  <w:r>
                    <w:rPr>
                      <w:rFonts w:ascii="Times New Roman"/>
                      <w:color w:val="000000" w:themeColor="text1"/>
                      <w:sz w:val="21"/>
                      <w:szCs w:val="21"/>
                      <w:highlight w:val="none"/>
                    </w:rPr>
                    <w:t>，不</w:t>
                  </w:r>
                  <w:r>
                    <w:rPr>
                      <w:rFonts w:hint="eastAsia"/>
                      <w:color w:val="000000" w:themeColor="text1"/>
                      <w:sz w:val="21"/>
                      <w:szCs w:val="21"/>
                      <w:highlight w:val="none"/>
                      <w:lang w:eastAsia="zh-CN"/>
                    </w:rPr>
                    <w:t>位于</w:t>
                  </w:r>
                  <w:r>
                    <w:rPr>
                      <w:rFonts w:ascii="Times New Roman"/>
                      <w:color w:val="000000" w:themeColor="text1"/>
                      <w:spacing w:val="4"/>
                      <w:sz w:val="21"/>
                      <w:szCs w:val="21"/>
                      <w:highlight w:val="none"/>
                    </w:rPr>
                    <w:t>长江干支流、重要湖泊岸线一公里范围内</w:t>
                  </w:r>
                </w:p>
              </w:tc>
              <w:tc>
                <w:tcPr>
                  <w:tcW w:w="550" w:type="pct"/>
                  <w:tcBorders>
                    <w:tl2br w:val="nil"/>
                    <w:tr2bl w:val="nil"/>
                  </w:tcBorders>
                  <w:noWrap w:val="0"/>
                  <w:vAlign w:val="center"/>
                </w:tcPr>
                <w:p w14:paraId="11F5552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66F6B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38" w:hRule="atLeast"/>
                <w:jc w:val="center"/>
              </w:trPr>
              <w:tc>
                <w:tcPr>
                  <w:tcW w:w="325" w:type="pct"/>
                  <w:tcBorders>
                    <w:tl2br w:val="nil"/>
                    <w:tr2bl w:val="nil"/>
                  </w:tcBorders>
                  <w:noWrap w:val="0"/>
                  <w:vAlign w:val="center"/>
                </w:tcPr>
                <w:p w14:paraId="48FFD485">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13</w:t>
                  </w:r>
                </w:p>
              </w:tc>
              <w:tc>
                <w:tcPr>
                  <w:tcW w:w="2707" w:type="pct"/>
                  <w:tcBorders>
                    <w:tl2br w:val="nil"/>
                    <w:tr2bl w:val="nil"/>
                  </w:tcBorders>
                  <w:noWrap w:val="0"/>
                  <w:vAlign w:val="center"/>
                </w:tcPr>
                <w:p w14:paraId="37AEA76A">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16"/>
                      <w:sz w:val="21"/>
                      <w:szCs w:val="21"/>
                      <w:highlight w:val="none"/>
                    </w:rPr>
                    <w:t>禁止在长江干流岸线三公里范围内和重要支流</w:t>
                  </w:r>
                  <w:r>
                    <w:rPr>
                      <w:rFonts w:ascii="Times New Roman"/>
                      <w:color w:val="000000" w:themeColor="text1"/>
                      <w:spacing w:val="-4"/>
                      <w:sz w:val="21"/>
                      <w:szCs w:val="21"/>
                      <w:highlight w:val="none"/>
                    </w:rPr>
                    <w:t>岸线一公里范围内新建、改建、扩建尾矿库、冶炼渣库和磷石</w:t>
                  </w:r>
                  <w:r>
                    <w:rPr>
                      <w:rFonts w:ascii="Times New Roman"/>
                      <w:color w:val="000000" w:themeColor="text1"/>
                      <w:spacing w:val="-1"/>
                      <w:sz w:val="21"/>
                      <w:szCs w:val="21"/>
                      <w:highlight w:val="none"/>
                    </w:rPr>
                    <w:t>膏</w:t>
                  </w:r>
                  <w:r>
                    <w:rPr>
                      <w:rFonts w:ascii="Times New Roman"/>
                      <w:color w:val="000000" w:themeColor="text1"/>
                      <w:spacing w:val="-28"/>
                      <w:sz w:val="21"/>
                      <w:szCs w:val="21"/>
                      <w:highlight w:val="none"/>
                    </w:rPr>
                    <w:t>库</w:t>
                  </w:r>
                  <w:r>
                    <w:rPr>
                      <w:rFonts w:ascii="Times New Roman"/>
                      <w:color w:val="000000" w:themeColor="text1"/>
                      <w:spacing w:val="-24"/>
                      <w:sz w:val="21"/>
                      <w:szCs w:val="21"/>
                      <w:highlight w:val="none"/>
                    </w:rPr>
                    <w:t xml:space="preserve"> </w:t>
                  </w:r>
                  <w:r>
                    <w:rPr>
                      <w:rFonts w:ascii="Times New Roman"/>
                      <w:color w:val="000000" w:themeColor="text1"/>
                      <w:spacing w:val="-14"/>
                      <w:sz w:val="21"/>
                      <w:szCs w:val="21"/>
                      <w:highlight w:val="none"/>
                    </w:rPr>
                    <w:t>， 以提升安全、生态环境保护水平为目的的改建除外 。</w:t>
                  </w:r>
                </w:p>
              </w:tc>
              <w:tc>
                <w:tcPr>
                  <w:tcW w:w="1416" w:type="pct"/>
                  <w:tcBorders>
                    <w:tl2br w:val="nil"/>
                    <w:tr2bl w:val="nil"/>
                  </w:tcBorders>
                  <w:noWrap w:val="0"/>
                  <w:vAlign w:val="center"/>
                </w:tcPr>
                <w:p w14:paraId="076C317B">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color w:val="000000" w:themeColor="text1"/>
                      <w:sz w:val="21"/>
                      <w:szCs w:val="21"/>
                      <w:highlight w:val="none"/>
                    </w:rPr>
                    <w:t>为</w:t>
                  </w:r>
                  <w:r>
                    <w:rPr>
                      <w:rFonts w:hint="eastAsia"/>
                      <w:color w:val="000000" w:themeColor="text1"/>
                      <w:sz w:val="21"/>
                      <w:szCs w:val="21"/>
                      <w:highlight w:val="none"/>
                      <w:lang w:val="en-US"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color w:val="000000" w:themeColor="text1"/>
                      <w:sz w:val="21"/>
                      <w:szCs w:val="21"/>
                      <w:highlight w:val="none"/>
                    </w:rPr>
                    <w:t>项目，</w:t>
                  </w:r>
                  <w:r>
                    <w:rPr>
                      <w:rFonts w:hint="eastAsia"/>
                      <w:color w:val="000000" w:themeColor="text1"/>
                      <w:sz w:val="21"/>
                      <w:szCs w:val="21"/>
                      <w:highlight w:val="none"/>
                      <w:lang w:val="en-US" w:eastAsia="zh-CN"/>
                    </w:rPr>
                    <w:t>不属于</w:t>
                  </w:r>
                  <w:r>
                    <w:rPr>
                      <w:rFonts w:ascii="Times New Roman"/>
                      <w:color w:val="000000" w:themeColor="text1"/>
                      <w:spacing w:val="-4"/>
                      <w:sz w:val="21"/>
                      <w:szCs w:val="21"/>
                      <w:highlight w:val="none"/>
                    </w:rPr>
                    <w:t>尾矿库、冶炼渣库和磷石</w:t>
                  </w:r>
                  <w:r>
                    <w:rPr>
                      <w:rFonts w:ascii="Times New Roman"/>
                      <w:color w:val="000000" w:themeColor="text1"/>
                      <w:spacing w:val="-1"/>
                      <w:sz w:val="21"/>
                      <w:szCs w:val="21"/>
                      <w:highlight w:val="none"/>
                    </w:rPr>
                    <w:t>膏</w:t>
                  </w:r>
                  <w:r>
                    <w:rPr>
                      <w:rFonts w:ascii="Times New Roman"/>
                      <w:color w:val="000000" w:themeColor="text1"/>
                      <w:spacing w:val="-28"/>
                      <w:sz w:val="21"/>
                      <w:szCs w:val="21"/>
                      <w:highlight w:val="none"/>
                    </w:rPr>
                    <w:t>库</w:t>
                  </w:r>
                </w:p>
              </w:tc>
              <w:tc>
                <w:tcPr>
                  <w:tcW w:w="550" w:type="pct"/>
                  <w:tcBorders>
                    <w:tl2br w:val="nil"/>
                    <w:tr2bl w:val="nil"/>
                  </w:tcBorders>
                  <w:noWrap w:val="0"/>
                  <w:vAlign w:val="center"/>
                </w:tcPr>
                <w:p w14:paraId="70000A58">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17035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325" w:type="pct"/>
                  <w:tcBorders>
                    <w:tl2br w:val="nil"/>
                    <w:tr2bl w:val="nil"/>
                  </w:tcBorders>
                  <w:noWrap w:val="0"/>
                  <w:vAlign w:val="center"/>
                </w:tcPr>
                <w:p w14:paraId="46B6E67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14</w:t>
                  </w:r>
                </w:p>
              </w:tc>
              <w:tc>
                <w:tcPr>
                  <w:tcW w:w="2707" w:type="pct"/>
                  <w:tcBorders>
                    <w:tl2br w:val="nil"/>
                    <w:tr2bl w:val="nil"/>
                  </w:tcBorders>
                  <w:noWrap w:val="0"/>
                  <w:vAlign w:val="center"/>
                </w:tcPr>
                <w:p w14:paraId="5883F2BF">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2"/>
                      <w:sz w:val="21"/>
                      <w:szCs w:val="21"/>
                      <w:highlight w:val="none"/>
                    </w:rPr>
                    <w:t>禁止在合规园区外新建、扩建钢铁、石化、化工、</w:t>
                  </w:r>
                  <w:r>
                    <w:rPr>
                      <w:rFonts w:ascii="Times New Roman"/>
                      <w:color w:val="000000" w:themeColor="text1"/>
                      <w:spacing w:val="-17"/>
                      <w:sz w:val="21"/>
                      <w:szCs w:val="21"/>
                      <w:highlight w:val="none"/>
                    </w:rPr>
                    <w:t>焦</w:t>
                  </w:r>
                  <w:r>
                    <w:rPr>
                      <w:rFonts w:ascii="Times New Roman"/>
                      <w:color w:val="000000" w:themeColor="text1"/>
                      <w:spacing w:val="-10"/>
                      <w:sz w:val="21"/>
                      <w:szCs w:val="21"/>
                      <w:highlight w:val="none"/>
                    </w:rPr>
                    <w:t>化、建材</w:t>
                  </w:r>
                  <w:r>
                    <w:rPr>
                      <w:rFonts w:hint="eastAsia" w:ascii="Times New Roman"/>
                      <w:color w:val="000000" w:themeColor="text1"/>
                      <w:spacing w:val="-10"/>
                      <w:sz w:val="21"/>
                      <w:szCs w:val="21"/>
                      <w:highlight w:val="none"/>
                    </w:rPr>
                    <w:t>、</w:t>
                  </w:r>
                  <w:r>
                    <w:rPr>
                      <w:rFonts w:ascii="Times New Roman"/>
                      <w:color w:val="000000" w:themeColor="text1"/>
                      <w:spacing w:val="-10"/>
                      <w:sz w:val="21"/>
                      <w:szCs w:val="21"/>
                      <w:highlight w:val="none"/>
                    </w:rPr>
                    <w:t>有色、制浆造纸等高污染项目 。</w:t>
                  </w:r>
                </w:p>
              </w:tc>
              <w:tc>
                <w:tcPr>
                  <w:tcW w:w="1416" w:type="pct"/>
                  <w:tcBorders>
                    <w:tl2br w:val="nil"/>
                    <w:tr2bl w:val="nil"/>
                  </w:tcBorders>
                  <w:noWrap w:val="0"/>
                  <w:vAlign w:val="center"/>
                </w:tcPr>
                <w:p w14:paraId="4CFE9007">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Ansi="宋体"/>
                      <w:color w:val="000000" w:themeColor="text1"/>
                      <w:sz w:val="21"/>
                      <w:szCs w:val="21"/>
                      <w:highlight w:val="none"/>
                    </w:rPr>
                    <w:t>本</w:t>
                  </w:r>
                  <w:r>
                    <w:rPr>
                      <w:rFonts w:ascii="Times New Roman"/>
                      <w:color w:val="000000" w:themeColor="text1"/>
                      <w:sz w:val="21"/>
                      <w:szCs w:val="21"/>
                      <w:highlight w:val="none"/>
                    </w:rPr>
                    <w:t>项目</w:t>
                  </w:r>
                  <w:r>
                    <w:rPr>
                      <w:rFonts w:hint="eastAsia"/>
                      <w:color w:val="000000" w:themeColor="text1"/>
                      <w:sz w:val="21"/>
                      <w:szCs w:val="21"/>
                      <w:highlight w:val="none"/>
                      <w:lang w:eastAsia="zh-CN"/>
                    </w:rPr>
                    <w:t>位于赤湖工业园</w:t>
                  </w:r>
                  <w:r>
                    <w:rPr>
                      <w:rFonts w:ascii="Times New Roman"/>
                      <w:color w:val="000000" w:themeColor="text1"/>
                      <w:sz w:val="21"/>
                      <w:szCs w:val="21"/>
                      <w:highlight w:val="none"/>
                    </w:rPr>
                    <w:t>，</w:t>
                  </w:r>
                  <w:r>
                    <w:rPr>
                      <w:rFonts w:hint="eastAsia" w:ascii="Times New Roman"/>
                      <w:color w:val="000000" w:themeColor="text1"/>
                      <w:sz w:val="21"/>
                      <w:szCs w:val="21"/>
                      <w:highlight w:val="none"/>
                    </w:rPr>
                    <w:t>不属于高污染项目</w:t>
                  </w:r>
                </w:p>
              </w:tc>
              <w:tc>
                <w:tcPr>
                  <w:tcW w:w="550" w:type="pct"/>
                  <w:tcBorders>
                    <w:tl2br w:val="nil"/>
                    <w:tr2bl w:val="nil"/>
                  </w:tcBorders>
                  <w:noWrap w:val="0"/>
                  <w:vAlign w:val="center"/>
                </w:tcPr>
                <w:p w14:paraId="13ABAACF">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79836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3" w:hRule="atLeast"/>
                <w:jc w:val="center"/>
              </w:trPr>
              <w:tc>
                <w:tcPr>
                  <w:tcW w:w="325" w:type="pct"/>
                  <w:tcBorders>
                    <w:tl2br w:val="nil"/>
                    <w:tr2bl w:val="nil"/>
                  </w:tcBorders>
                  <w:noWrap w:val="0"/>
                  <w:vAlign w:val="center"/>
                </w:tcPr>
                <w:p w14:paraId="6549A264">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15</w:t>
                  </w:r>
                </w:p>
              </w:tc>
              <w:tc>
                <w:tcPr>
                  <w:tcW w:w="2707" w:type="pct"/>
                  <w:tcBorders>
                    <w:tl2br w:val="nil"/>
                    <w:tr2bl w:val="nil"/>
                  </w:tcBorders>
                  <w:noWrap w:val="0"/>
                  <w:vAlign w:val="center"/>
                </w:tcPr>
                <w:p w14:paraId="4983AED7">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4"/>
                      <w:sz w:val="21"/>
                      <w:szCs w:val="21"/>
                      <w:highlight w:val="none"/>
                    </w:rPr>
                    <w:t>止新建、扩建不符合国家石化、现代煤化工等</w:t>
                  </w:r>
                  <w:r>
                    <w:rPr>
                      <w:rFonts w:ascii="Times New Roman"/>
                      <w:color w:val="000000" w:themeColor="text1"/>
                      <w:spacing w:val="-9"/>
                      <w:sz w:val="21"/>
                      <w:szCs w:val="21"/>
                      <w:highlight w:val="none"/>
                    </w:rPr>
                    <w:t>产</w:t>
                  </w:r>
                  <w:r>
                    <w:rPr>
                      <w:rFonts w:ascii="Times New Roman"/>
                      <w:color w:val="000000" w:themeColor="text1"/>
                      <w:spacing w:val="-6"/>
                      <w:sz w:val="21"/>
                      <w:szCs w:val="21"/>
                      <w:highlight w:val="none"/>
                    </w:rPr>
                    <w:t>业布局规划的项目 。</w:t>
                  </w:r>
                </w:p>
              </w:tc>
              <w:tc>
                <w:tcPr>
                  <w:tcW w:w="1416" w:type="pct"/>
                  <w:tcBorders>
                    <w:tl2br w:val="nil"/>
                    <w:tr2bl w:val="nil"/>
                  </w:tcBorders>
                  <w:noWrap w:val="0"/>
                  <w:vAlign w:val="center"/>
                </w:tcPr>
                <w:p w14:paraId="3B400493">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本项目不属于</w:t>
                  </w:r>
                  <w:r>
                    <w:rPr>
                      <w:rFonts w:ascii="Times New Roman"/>
                      <w:color w:val="000000" w:themeColor="text1"/>
                      <w:spacing w:val="4"/>
                      <w:sz w:val="21"/>
                      <w:szCs w:val="21"/>
                      <w:highlight w:val="none"/>
                    </w:rPr>
                    <w:t>石化、现代煤化工等</w:t>
                  </w:r>
                  <w:r>
                    <w:rPr>
                      <w:rFonts w:ascii="Times New Roman"/>
                      <w:color w:val="000000" w:themeColor="text1"/>
                      <w:spacing w:val="-9"/>
                      <w:sz w:val="21"/>
                      <w:szCs w:val="21"/>
                      <w:highlight w:val="none"/>
                    </w:rPr>
                    <w:t>产</w:t>
                  </w:r>
                  <w:r>
                    <w:rPr>
                      <w:rFonts w:ascii="Times New Roman"/>
                      <w:color w:val="000000" w:themeColor="text1"/>
                      <w:spacing w:val="-6"/>
                      <w:sz w:val="21"/>
                      <w:szCs w:val="21"/>
                      <w:highlight w:val="none"/>
                    </w:rPr>
                    <w:t>业</w:t>
                  </w:r>
                </w:p>
              </w:tc>
              <w:tc>
                <w:tcPr>
                  <w:tcW w:w="550" w:type="pct"/>
                  <w:tcBorders>
                    <w:tl2br w:val="nil"/>
                    <w:tr2bl w:val="nil"/>
                  </w:tcBorders>
                  <w:noWrap w:val="0"/>
                  <w:vAlign w:val="center"/>
                </w:tcPr>
                <w:p w14:paraId="2EAB60EC">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6B6712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325" w:type="pct"/>
                  <w:tcBorders>
                    <w:tl2br w:val="nil"/>
                    <w:tr2bl w:val="nil"/>
                  </w:tcBorders>
                  <w:noWrap w:val="0"/>
                  <w:vAlign w:val="center"/>
                </w:tcPr>
                <w:p w14:paraId="2DADBDE1">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16</w:t>
                  </w:r>
                </w:p>
              </w:tc>
              <w:tc>
                <w:tcPr>
                  <w:tcW w:w="2707" w:type="pct"/>
                  <w:tcBorders>
                    <w:tl2br w:val="nil"/>
                    <w:tr2bl w:val="nil"/>
                  </w:tcBorders>
                  <w:noWrap w:val="0"/>
                  <w:vAlign w:val="center"/>
                </w:tcPr>
                <w:p w14:paraId="7633D268">
                  <w:pPr>
                    <w:pStyle w:val="55"/>
                    <w:pageBreakBefore w:val="0"/>
                    <w:kinsoku/>
                    <w:overflowPunct/>
                    <w:topLinePunct w:val="0"/>
                    <w:bidi w:val="0"/>
                    <w:spacing w:line="240" w:lineRule="auto"/>
                    <w:ind w:left="0" w:firstLine="0" w:firstLineChars="0"/>
                    <w:rPr>
                      <w:rFonts w:ascii="Times New Roman"/>
                      <w:color w:val="000000" w:themeColor="text1"/>
                      <w:spacing w:val="4"/>
                      <w:sz w:val="21"/>
                      <w:szCs w:val="21"/>
                      <w:highlight w:val="none"/>
                    </w:rPr>
                  </w:pPr>
                  <w:r>
                    <w:rPr>
                      <w:rFonts w:ascii="Times New Roman"/>
                      <w:color w:val="000000" w:themeColor="text1"/>
                      <w:spacing w:val="4"/>
                      <w:sz w:val="21"/>
                      <w:szCs w:val="21"/>
                      <w:highlight w:val="none"/>
                    </w:rPr>
                    <w:t>禁止新建、扩建法律法规和相关政策明令禁止的落后</w:t>
                  </w:r>
                  <w:r>
                    <w:rPr>
                      <w:rFonts w:ascii="Times New Roman"/>
                      <w:color w:val="000000" w:themeColor="text1"/>
                      <w:spacing w:val="2"/>
                      <w:sz w:val="21"/>
                      <w:szCs w:val="21"/>
                      <w:highlight w:val="none"/>
                    </w:rPr>
                    <w:t>产能项目，严格执行《产业结构调整指导目录》中淘汰类和</w:t>
                  </w:r>
                  <w:r>
                    <w:rPr>
                      <w:rFonts w:ascii="Times New Roman"/>
                      <w:color w:val="000000" w:themeColor="text1"/>
                      <w:spacing w:val="10"/>
                      <w:sz w:val="21"/>
                      <w:szCs w:val="21"/>
                      <w:highlight w:val="none"/>
                    </w:rPr>
                    <w:t>限制</w:t>
                  </w:r>
                  <w:r>
                    <w:rPr>
                      <w:rFonts w:ascii="Times New Roman"/>
                      <w:color w:val="000000" w:themeColor="text1"/>
                      <w:spacing w:val="8"/>
                      <w:sz w:val="21"/>
                      <w:szCs w:val="21"/>
                      <w:highlight w:val="none"/>
                    </w:rPr>
                    <w:t>类</w:t>
                  </w:r>
                  <w:r>
                    <w:rPr>
                      <w:rFonts w:ascii="Times New Roman"/>
                      <w:color w:val="000000" w:themeColor="text1"/>
                      <w:spacing w:val="5"/>
                      <w:sz w:val="21"/>
                      <w:szCs w:val="21"/>
                      <w:highlight w:val="none"/>
                    </w:rPr>
                    <w:t>有关规定，禁止开展投资建设属于淘汰类的项目及其相关</w:t>
                  </w:r>
                  <w:r>
                    <w:rPr>
                      <w:rFonts w:ascii="Times New Roman"/>
                      <w:color w:val="000000" w:themeColor="text1"/>
                      <w:spacing w:val="-2"/>
                      <w:sz w:val="21"/>
                      <w:szCs w:val="21"/>
                      <w:highlight w:val="none"/>
                    </w:rPr>
                    <w:t>活动，禁止开展</w:t>
                  </w:r>
                  <w:r>
                    <w:rPr>
                      <w:rFonts w:ascii="Times New Roman"/>
                      <w:color w:val="000000" w:themeColor="text1"/>
                      <w:spacing w:val="-1"/>
                      <w:sz w:val="21"/>
                      <w:szCs w:val="21"/>
                      <w:highlight w:val="none"/>
                    </w:rPr>
                    <w:t>投资新建、扩建属于限制类的项目及其相关活动。</w:t>
                  </w:r>
                  <w:r>
                    <w:rPr>
                      <w:rFonts w:ascii="Times New Roman"/>
                      <w:color w:val="000000" w:themeColor="text1"/>
                      <w:spacing w:val="4"/>
                      <w:sz w:val="21"/>
                      <w:szCs w:val="21"/>
                      <w:highlight w:val="none"/>
                    </w:rPr>
                    <w:t>对于属</w:t>
                  </w:r>
                  <w:r>
                    <w:rPr>
                      <w:rFonts w:ascii="Times New Roman"/>
                      <w:color w:val="000000" w:themeColor="text1"/>
                      <w:spacing w:val="2"/>
                      <w:sz w:val="21"/>
                      <w:szCs w:val="21"/>
                      <w:highlight w:val="none"/>
                    </w:rPr>
                    <w:t>于限制类的现有生产能力，允许企业在一定期限内采取措</w:t>
                  </w:r>
                  <w:r>
                    <w:rPr>
                      <w:rFonts w:ascii="Times New Roman"/>
                      <w:color w:val="000000" w:themeColor="text1"/>
                      <w:spacing w:val="-1"/>
                      <w:sz w:val="21"/>
                      <w:szCs w:val="21"/>
                      <w:highlight w:val="none"/>
                    </w:rPr>
                    <w:t>施改造升</w:t>
                  </w:r>
                  <w:r>
                    <w:rPr>
                      <w:rFonts w:ascii="Times New Roman"/>
                      <w:color w:val="000000" w:themeColor="text1"/>
                      <w:sz w:val="21"/>
                      <w:szCs w:val="21"/>
                      <w:highlight w:val="none"/>
                    </w:rPr>
                    <w:t>级，严禁以改造为名扩大产能 。</w:t>
                  </w:r>
                </w:p>
              </w:tc>
              <w:tc>
                <w:tcPr>
                  <w:tcW w:w="1416" w:type="pct"/>
                  <w:tcBorders>
                    <w:tl2br w:val="nil"/>
                    <w:tr2bl w:val="nil"/>
                  </w:tcBorders>
                  <w:noWrap w:val="0"/>
                  <w:vAlign w:val="center"/>
                </w:tcPr>
                <w:p w14:paraId="1E1D023A">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本项目</w:t>
                  </w:r>
                  <w:r>
                    <w:rPr>
                      <w:rFonts w:hint="eastAsia"/>
                      <w:color w:val="000000" w:themeColor="text1"/>
                      <w:spacing w:val="2"/>
                      <w:sz w:val="21"/>
                      <w:szCs w:val="21"/>
                      <w:highlight w:val="none"/>
                      <w:lang w:eastAsia="zh-CN"/>
                    </w:rPr>
                    <w:t>不属于</w:t>
                  </w:r>
                  <w:r>
                    <w:rPr>
                      <w:rFonts w:ascii="Times New Roman"/>
                      <w:color w:val="000000" w:themeColor="text1"/>
                      <w:spacing w:val="2"/>
                      <w:sz w:val="21"/>
                      <w:szCs w:val="21"/>
                      <w:highlight w:val="none"/>
                    </w:rPr>
                    <w:t>《产业结构调整指导目录》</w:t>
                  </w:r>
                  <w:r>
                    <w:rPr>
                      <w:rFonts w:hint="eastAsia"/>
                      <w:color w:val="000000" w:themeColor="text1"/>
                      <w:spacing w:val="2"/>
                      <w:sz w:val="21"/>
                      <w:szCs w:val="21"/>
                      <w:highlight w:val="none"/>
                      <w:lang w:eastAsia="zh-CN"/>
                    </w:rPr>
                    <w:t>中淘汰类和禁止类</w:t>
                  </w:r>
                </w:p>
              </w:tc>
              <w:tc>
                <w:tcPr>
                  <w:tcW w:w="550" w:type="pct"/>
                  <w:tcBorders>
                    <w:tl2br w:val="nil"/>
                    <w:tr2bl w:val="nil"/>
                  </w:tcBorders>
                  <w:noWrap w:val="0"/>
                  <w:vAlign w:val="center"/>
                </w:tcPr>
                <w:p w14:paraId="243ED964">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22E94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44" w:hRule="atLeast"/>
                <w:jc w:val="center"/>
              </w:trPr>
              <w:tc>
                <w:tcPr>
                  <w:tcW w:w="325" w:type="pct"/>
                  <w:tcBorders>
                    <w:tl2br w:val="nil"/>
                    <w:tr2bl w:val="nil"/>
                  </w:tcBorders>
                  <w:noWrap w:val="0"/>
                  <w:vAlign w:val="center"/>
                </w:tcPr>
                <w:p w14:paraId="104672BB">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17</w:t>
                  </w:r>
                </w:p>
              </w:tc>
              <w:tc>
                <w:tcPr>
                  <w:tcW w:w="2707" w:type="pct"/>
                  <w:tcBorders>
                    <w:tl2br w:val="nil"/>
                    <w:tr2bl w:val="nil"/>
                  </w:tcBorders>
                  <w:noWrap w:val="0"/>
                  <w:vAlign w:val="center"/>
                </w:tcPr>
                <w:p w14:paraId="1ACC3E9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rPr>
                  </w:pPr>
                  <w:r>
                    <w:rPr>
                      <w:rFonts w:hint="default" w:ascii="Times New Roman" w:hAnsi="Times New Roman" w:eastAsia="宋体" w:cs="Times New Roman"/>
                      <w:color w:val="000000" w:themeColor="text1"/>
                      <w:spacing w:val="2"/>
                      <w:sz w:val="21"/>
                      <w:szCs w:val="21"/>
                      <w:highlight w:val="none"/>
                    </w:rPr>
                    <w:t>禁止新建、扩建不符合国家产能置换要求的钢 铁、电解铝、水泥熟料、平板玻璃 、船舶等严重过剩产能行业的项目。严格执行《国务院关于化解产能严重过剩矛盾的指导意见》，各地各部门不得以任何名义、任何方式新增产能；对确有必要建设的，必须严格执行产能置换实施办法，实施减量或等量置换，依法依规办理有关手续 。</w:t>
                  </w:r>
                </w:p>
              </w:tc>
              <w:tc>
                <w:tcPr>
                  <w:tcW w:w="1416" w:type="pct"/>
                  <w:tcBorders>
                    <w:tl2br w:val="nil"/>
                    <w:tr2bl w:val="nil"/>
                  </w:tcBorders>
                  <w:noWrap w:val="0"/>
                  <w:vAlign w:val="center"/>
                </w:tcPr>
                <w:p w14:paraId="60855637">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本项目</w:t>
                  </w:r>
                  <w:r>
                    <w:rPr>
                      <w:rFonts w:hint="eastAsia"/>
                      <w:color w:val="000000" w:themeColor="text1"/>
                      <w:sz w:val="21"/>
                      <w:szCs w:val="21"/>
                      <w:highlight w:val="none"/>
                      <w:lang w:val="en-US" w:eastAsia="zh-CN"/>
                    </w:rPr>
                    <w:t>属于</w:t>
                  </w:r>
                  <w:r>
                    <w:rPr>
                      <w:rFonts w:hint="eastAsia"/>
                      <w:color w:val="000000" w:themeColor="text1"/>
                      <w:kern w:val="0"/>
                      <w:sz w:val="21"/>
                      <w:szCs w:val="21"/>
                      <w:highlight w:val="none"/>
                      <w:lang w:val="en-US" w:eastAsia="zh-CN" w:bidi="ar"/>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color w:val="000000" w:themeColor="text1"/>
                      <w:kern w:val="0"/>
                      <w:sz w:val="21"/>
                      <w:szCs w:val="21"/>
                      <w:highlight w:val="none"/>
                      <w:lang w:val="en-US" w:eastAsia="zh-CN" w:bidi="ar"/>
                    </w:rPr>
                    <w:t>项目</w:t>
                  </w:r>
                  <w:r>
                    <w:rPr>
                      <w:rFonts w:hint="eastAsia" w:ascii="Times New Roman"/>
                      <w:color w:val="000000" w:themeColor="text1"/>
                      <w:sz w:val="21"/>
                      <w:szCs w:val="21"/>
                      <w:highlight w:val="none"/>
                    </w:rPr>
                    <w:t>，</w:t>
                  </w:r>
                  <w:r>
                    <w:rPr>
                      <w:rFonts w:hint="eastAsia"/>
                      <w:color w:val="000000" w:themeColor="text1"/>
                      <w:sz w:val="21"/>
                      <w:szCs w:val="21"/>
                      <w:highlight w:val="none"/>
                    </w:rPr>
                    <w:t>不</w:t>
                  </w:r>
                  <w:r>
                    <w:rPr>
                      <w:rFonts w:hint="eastAsia" w:ascii="Times New Roman"/>
                      <w:color w:val="000000" w:themeColor="text1"/>
                      <w:sz w:val="21"/>
                      <w:szCs w:val="21"/>
                      <w:highlight w:val="none"/>
                    </w:rPr>
                    <w:t>属于</w:t>
                  </w:r>
                  <w:r>
                    <w:rPr>
                      <w:rFonts w:ascii="Times New Roman"/>
                      <w:color w:val="000000" w:themeColor="text1"/>
                      <w:spacing w:val="12"/>
                      <w:sz w:val="21"/>
                      <w:szCs w:val="21"/>
                      <w:highlight w:val="none"/>
                    </w:rPr>
                    <w:t>钢</w:t>
                  </w:r>
                  <w:r>
                    <w:rPr>
                      <w:rFonts w:ascii="Times New Roman"/>
                      <w:color w:val="000000" w:themeColor="text1"/>
                      <w:spacing w:val="2"/>
                      <w:sz w:val="21"/>
                      <w:szCs w:val="21"/>
                      <w:highlight w:val="none"/>
                    </w:rPr>
                    <w:t>铁、电解铝、水泥熟料、平板玻璃 、船舶等严重过剩产能行</w:t>
                  </w:r>
                  <w:r>
                    <w:rPr>
                      <w:rFonts w:ascii="Times New Roman"/>
                      <w:color w:val="000000" w:themeColor="text1"/>
                      <w:spacing w:val="1"/>
                      <w:sz w:val="21"/>
                      <w:szCs w:val="21"/>
                      <w:highlight w:val="none"/>
                    </w:rPr>
                    <w:t>业</w:t>
                  </w:r>
                  <w:r>
                    <w:rPr>
                      <w:rFonts w:ascii="Times New Roman"/>
                      <w:color w:val="000000" w:themeColor="text1"/>
                      <w:sz w:val="21"/>
                      <w:szCs w:val="21"/>
                      <w:highlight w:val="none"/>
                    </w:rPr>
                    <w:t>的</w:t>
                  </w:r>
                  <w:r>
                    <w:rPr>
                      <w:rFonts w:ascii="Times New Roman"/>
                      <w:color w:val="000000" w:themeColor="text1"/>
                      <w:spacing w:val="18"/>
                      <w:sz w:val="21"/>
                      <w:szCs w:val="21"/>
                      <w:highlight w:val="none"/>
                    </w:rPr>
                    <w:t>项</w:t>
                  </w:r>
                  <w:r>
                    <w:rPr>
                      <w:rFonts w:ascii="Times New Roman"/>
                      <w:color w:val="000000" w:themeColor="text1"/>
                      <w:spacing w:val="9"/>
                      <w:sz w:val="21"/>
                      <w:szCs w:val="21"/>
                      <w:highlight w:val="none"/>
                    </w:rPr>
                    <w:t>目</w:t>
                  </w:r>
                </w:p>
              </w:tc>
              <w:tc>
                <w:tcPr>
                  <w:tcW w:w="550" w:type="pct"/>
                  <w:tcBorders>
                    <w:tl2br w:val="nil"/>
                    <w:tr2bl w:val="nil"/>
                  </w:tcBorders>
                  <w:noWrap w:val="0"/>
                  <w:vAlign w:val="center"/>
                </w:tcPr>
                <w:p w14:paraId="0FA67BB7">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r w14:paraId="1217E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53" w:hRule="atLeast"/>
                <w:jc w:val="center"/>
              </w:trPr>
              <w:tc>
                <w:tcPr>
                  <w:tcW w:w="325" w:type="pct"/>
                  <w:tcBorders>
                    <w:tl2br w:val="nil"/>
                    <w:tr2bl w:val="nil"/>
                  </w:tcBorders>
                  <w:noWrap w:val="0"/>
                  <w:vAlign w:val="center"/>
                </w:tcPr>
                <w:p w14:paraId="61C0DE2D">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hint="eastAsia" w:ascii="Times New Roman"/>
                      <w:color w:val="000000" w:themeColor="text1"/>
                      <w:sz w:val="21"/>
                      <w:szCs w:val="21"/>
                      <w:highlight w:val="none"/>
                    </w:rPr>
                    <w:t>18</w:t>
                  </w:r>
                </w:p>
              </w:tc>
              <w:tc>
                <w:tcPr>
                  <w:tcW w:w="2707" w:type="pct"/>
                  <w:tcBorders>
                    <w:tl2br w:val="nil"/>
                    <w:tr2bl w:val="nil"/>
                  </w:tcBorders>
                  <w:noWrap w:val="0"/>
                  <w:vAlign w:val="center"/>
                </w:tcPr>
                <w:p w14:paraId="5BB9BA9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rPr>
                  </w:pPr>
                  <w:r>
                    <w:rPr>
                      <w:rFonts w:hint="default" w:ascii="Times New Roman" w:hAnsi="Times New Roman" w:eastAsia="宋体" w:cs="Times New Roman"/>
                      <w:color w:val="000000" w:themeColor="text1"/>
                      <w:spacing w:val="2"/>
                      <w:sz w:val="21"/>
                      <w:szCs w:val="21"/>
                      <w:highlight w:val="none"/>
                    </w:rPr>
                    <w:t>禁止新建、扩建不符合要求的高耗能高排放项 目。严格执行《江西省人民政府办公厅关于严格高耗能高排放项目准入管理的实施意见》</w:t>
                  </w:r>
                  <w:r>
                    <w:rPr>
                      <w:rFonts w:hint="eastAsia" w:cs="Times New Roman"/>
                      <w:color w:val="000000" w:themeColor="text1"/>
                      <w:spacing w:val="2"/>
                      <w:sz w:val="21"/>
                      <w:szCs w:val="21"/>
                      <w:highlight w:val="none"/>
                      <w:lang w:eastAsia="zh-CN"/>
                    </w:rPr>
                    <w:t>（</w:t>
                  </w:r>
                  <w:r>
                    <w:rPr>
                      <w:rFonts w:hint="default" w:ascii="Times New Roman" w:hAnsi="Times New Roman" w:eastAsia="宋体" w:cs="Times New Roman"/>
                      <w:color w:val="000000" w:themeColor="text1"/>
                      <w:spacing w:val="2"/>
                      <w:sz w:val="21"/>
                      <w:szCs w:val="21"/>
                      <w:highlight w:val="none"/>
                    </w:rPr>
                    <w:t xml:space="preserve">赣府厅发〔2021〕33号 </w:t>
                  </w:r>
                  <w:r>
                    <w:rPr>
                      <w:rFonts w:hint="eastAsia" w:cs="Times New Roman"/>
                      <w:color w:val="000000" w:themeColor="text1"/>
                      <w:spacing w:val="2"/>
                      <w:sz w:val="21"/>
                      <w:szCs w:val="21"/>
                      <w:highlight w:val="none"/>
                      <w:lang w:eastAsia="zh-CN"/>
                    </w:rPr>
                    <w:t>）</w:t>
                  </w:r>
                  <w:r>
                    <w:rPr>
                      <w:rFonts w:hint="default" w:ascii="Times New Roman" w:hAnsi="Times New Roman" w:eastAsia="宋体" w:cs="Times New Roman"/>
                      <w:color w:val="000000" w:themeColor="text1"/>
                      <w:spacing w:val="2"/>
                      <w:sz w:val="21"/>
                      <w:szCs w:val="21"/>
                      <w:highlight w:val="none"/>
                    </w:rPr>
                    <w:t xml:space="preserve"> ，加强项目审查论证，落实等量、减量替代要求，规范项目行政审批。</w:t>
                  </w:r>
                </w:p>
              </w:tc>
              <w:tc>
                <w:tcPr>
                  <w:tcW w:w="1416" w:type="pct"/>
                  <w:tcBorders>
                    <w:tl2br w:val="nil"/>
                    <w:tr2bl w:val="nil"/>
                  </w:tcBorders>
                  <w:noWrap w:val="0"/>
                  <w:vAlign w:val="center"/>
                </w:tcPr>
                <w:p w14:paraId="78547218">
                  <w:pPr>
                    <w:pStyle w:val="55"/>
                    <w:pageBreakBefore w:val="0"/>
                    <w:kinsoku/>
                    <w:overflowPunct/>
                    <w:topLinePunct w:val="0"/>
                    <w:bidi w:val="0"/>
                    <w:spacing w:line="240" w:lineRule="auto"/>
                    <w:ind w:left="0" w:firstLine="0" w:firstLineChars="0"/>
                    <w:rPr>
                      <w:rFonts w:hint="eastAsia" w:ascii="Times New Roman"/>
                      <w:color w:val="000000" w:themeColor="text1"/>
                      <w:sz w:val="21"/>
                      <w:szCs w:val="21"/>
                      <w:highlight w:val="none"/>
                    </w:rPr>
                  </w:pPr>
                  <w:r>
                    <w:rPr>
                      <w:rFonts w:hint="eastAsia" w:ascii="Times New Roman"/>
                      <w:color w:val="000000" w:themeColor="text1"/>
                      <w:sz w:val="21"/>
                      <w:szCs w:val="21"/>
                      <w:highlight w:val="none"/>
                    </w:rPr>
                    <w:t>本项目</w:t>
                  </w:r>
                  <w:r>
                    <w:rPr>
                      <w:rFonts w:hint="eastAsia" w:ascii="Times New Roman" w:hAnsi="Times New Roman" w:eastAsia="宋体" w:cs="Times New Roman"/>
                      <w:color w:val="000000" w:themeColor="text1"/>
                      <w:spacing w:val="5"/>
                      <w:sz w:val="21"/>
                      <w:szCs w:val="21"/>
                      <w:highlight w:val="none"/>
                    </w:rPr>
                    <w:t>符合</w:t>
                  </w:r>
                  <w:r>
                    <w:rPr>
                      <w:rFonts w:ascii="Times New Roman"/>
                      <w:color w:val="000000" w:themeColor="text1"/>
                      <w:spacing w:val="3"/>
                      <w:sz w:val="21"/>
                      <w:szCs w:val="21"/>
                      <w:highlight w:val="none"/>
                    </w:rPr>
                    <w:t>《</w:t>
                  </w:r>
                  <w:r>
                    <w:rPr>
                      <w:rFonts w:ascii="Times New Roman" w:hAnsi="Times New Roman" w:eastAsia="宋体" w:cs="Times New Roman"/>
                      <w:color w:val="000000" w:themeColor="text1"/>
                      <w:spacing w:val="5"/>
                      <w:sz w:val="21"/>
                      <w:szCs w:val="21"/>
                      <w:highlight w:val="none"/>
                    </w:rPr>
                    <w:t>江西省</w:t>
                  </w:r>
                  <w:r>
                    <w:rPr>
                      <w:rFonts w:ascii="Times New Roman"/>
                      <w:color w:val="000000" w:themeColor="text1"/>
                      <w:spacing w:val="3"/>
                      <w:sz w:val="21"/>
                      <w:szCs w:val="21"/>
                      <w:highlight w:val="none"/>
                    </w:rPr>
                    <w:t>人民政府</w:t>
                  </w:r>
                  <w:r>
                    <w:rPr>
                      <w:rFonts w:ascii="Times New Roman" w:hAnsi="Times New Roman" w:eastAsia="宋体" w:cs="Times New Roman"/>
                      <w:color w:val="000000" w:themeColor="text1"/>
                      <w:spacing w:val="5"/>
                      <w:sz w:val="21"/>
                      <w:szCs w:val="21"/>
                      <w:highlight w:val="none"/>
                    </w:rPr>
                    <w:t>办公厅</w:t>
                  </w:r>
                  <w:r>
                    <w:rPr>
                      <w:rFonts w:ascii="Times New Roman"/>
                      <w:color w:val="000000" w:themeColor="text1"/>
                      <w:spacing w:val="3"/>
                      <w:sz w:val="21"/>
                      <w:szCs w:val="21"/>
                      <w:highlight w:val="none"/>
                    </w:rPr>
                    <w:t>关于严格高耗能高排</w:t>
                  </w:r>
                  <w:r>
                    <w:rPr>
                      <w:rFonts w:ascii="Times New Roman"/>
                      <w:color w:val="000000" w:themeColor="text1"/>
                      <w:spacing w:val="2"/>
                      <w:sz w:val="21"/>
                      <w:szCs w:val="21"/>
                      <w:highlight w:val="none"/>
                    </w:rPr>
                    <w:t>放</w:t>
                  </w:r>
                  <w:r>
                    <w:rPr>
                      <w:rFonts w:ascii="Times New Roman"/>
                      <w:color w:val="000000" w:themeColor="text1"/>
                      <w:sz w:val="21"/>
                      <w:szCs w:val="21"/>
                      <w:highlight w:val="none"/>
                    </w:rPr>
                    <w:t>项</w:t>
                  </w:r>
                  <w:r>
                    <w:rPr>
                      <w:rFonts w:ascii="Times New Roman"/>
                      <w:color w:val="000000" w:themeColor="text1"/>
                      <w:spacing w:val="-9"/>
                      <w:sz w:val="21"/>
                      <w:szCs w:val="21"/>
                      <w:highlight w:val="none"/>
                    </w:rPr>
                    <w:t>目准入管理的实施意见》</w:t>
                  </w:r>
                  <w:r>
                    <w:rPr>
                      <w:rFonts w:hint="eastAsia"/>
                      <w:color w:val="000000" w:themeColor="text1"/>
                      <w:spacing w:val="-9"/>
                      <w:sz w:val="21"/>
                      <w:szCs w:val="21"/>
                      <w:highlight w:val="none"/>
                      <w:lang w:eastAsia="zh-CN"/>
                    </w:rPr>
                    <w:t>（</w:t>
                  </w:r>
                  <w:r>
                    <w:rPr>
                      <w:rFonts w:ascii="Times New Roman"/>
                      <w:color w:val="000000" w:themeColor="text1"/>
                      <w:spacing w:val="-9"/>
                      <w:sz w:val="21"/>
                      <w:szCs w:val="21"/>
                      <w:highlight w:val="none"/>
                    </w:rPr>
                    <w:t xml:space="preserve">赣府厅发〔 2021 〕33 号 </w:t>
                  </w:r>
                  <w:r>
                    <w:rPr>
                      <w:rFonts w:hint="eastAsia"/>
                      <w:color w:val="000000" w:themeColor="text1"/>
                      <w:spacing w:val="-9"/>
                      <w:sz w:val="21"/>
                      <w:szCs w:val="21"/>
                      <w:highlight w:val="none"/>
                      <w:lang w:eastAsia="zh-CN"/>
                    </w:rPr>
                    <w:t>）</w:t>
                  </w:r>
                  <w:r>
                    <w:rPr>
                      <w:rFonts w:ascii="Times New Roman"/>
                      <w:color w:val="000000" w:themeColor="text1"/>
                      <w:spacing w:val="-9"/>
                      <w:sz w:val="21"/>
                      <w:szCs w:val="21"/>
                      <w:highlight w:val="none"/>
                    </w:rPr>
                    <w:t xml:space="preserve"> </w:t>
                  </w:r>
                </w:p>
              </w:tc>
              <w:tc>
                <w:tcPr>
                  <w:tcW w:w="550" w:type="pct"/>
                  <w:tcBorders>
                    <w:tl2br w:val="nil"/>
                    <w:tr2bl w:val="nil"/>
                  </w:tcBorders>
                  <w:noWrap w:val="0"/>
                  <w:vAlign w:val="center"/>
                </w:tcPr>
                <w:p w14:paraId="640502DE">
                  <w:pPr>
                    <w:pStyle w:val="55"/>
                    <w:pageBreakBefore w:val="0"/>
                    <w:kinsoku/>
                    <w:overflowPunct/>
                    <w:topLinePunct w:val="0"/>
                    <w:bidi w:val="0"/>
                    <w:spacing w:line="240" w:lineRule="auto"/>
                    <w:ind w:left="0" w:firstLine="0" w:firstLineChars="0"/>
                    <w:rPr>
                      <w:rFonts w:ascii="Times New Roman"/>
                      <w:color w:val="000000" w:themeColor="text1"/>
                      <w:sz w:val="21"/>
                      <w:szCs w:val="21"/>
                      <w:highlight w:val="none"/>
                    </w:rPr>
                  </w:pPr>
                  <w:r>
                    <w:rPr>
                      <w:rFonts w:ascii="Times New Roman"/>
                      <w:color w:val="000000" w:themeColor="text1"/>
                      <w:sz w:val="21"/>
                      <w:szCs w:val="21"/>
                      <w:highlight w:val="none"/>
                    </w:rPr>
                    <w:t>符合</w:t>
                  </w:r>
                </w:p>
              </w:tc>
            </w:tr>
          </w:tbl>
          <w:p w14:paraId="7DF822E1">
            <w:pPr>
              <w:pStyle w:val="3"/>
              <w:keepNext/>
              <w:keepLines/>
              <w:pageBreakBefore w:val="0"/>
              <w:widowControl w:val="0"/>
              <w:kinsoku/>
              <w:wordWrap/>
              <w:overflowPunct/>
              <w:topLinePunct w:val="0"/>
              <w:autoSpaceDE/>
              <w:autoSpaceDN/>
              <w:bidi w:val="0"/>
              <w:adjustRightInd/>
              <w:snapToGrid/>
              <w:spacing w:line="360" w:lineRule="auto"/>
              <w:ind w:left="0" w:firstLine="480" w:firstLineChars="200"/>
              <w:jc w:val="both"/>
              <w:textAlignment w:val="auto"/>
              <w:rPr>
                <w:rFonts w:hint="default" w:ascii="Times New Roman" w:hAnsi="Times New Roman" w:eastAsia="宋体" w:cs="Times New Roman"/>
                <w:b w:val="0"/>
                <w:bCs w:val="0"/>
                <w:color w:val="000000" w:themeColor="text1"/>
                <w:sz w:val="24"/>
                <w:highlight w:val="none"/>
              </w:rPr>
            </w:pPr>
            <w:r>
              <w:rPr>
                <w:rFonts w:hint="default" w:ascii="Times New Roman" w:hAnsi="Times New Roman" w:eastAsia="宋体" w:cs="Times New Roman"/>
                <w:b w:val="0"/>
                <w:bCs w:val="0"/>
                <w:color w:val="000000" w:themeColor="text1"/>
                <w:sz w:val="24"/>
                <w:highlight w:val="none"/>
              </w:rPr>
              <w:t>经分析，本项目不在环境准入负面清单内。</w:t>
            </w:r>
          </w:p>
          <w:p w14:paraId="0A92DD6A">
            <w:pPr>
              <w:pageBreakBefore w:val="0"/>
              <w:widowControl w:val="0"/>
              <w:kinsoku/>
              <w:wordWrap/>
              <w:overflowPunct/>
              <w:topLinePunct w:val="0"/>
              <w:autoSpaceDE/>
              <w:autoSpaceDN/>
              <w:bidi w:val="0"/>
              <w:adjustRightInd/>
              <w:snapToGrid/>
              <w:spacing w:line="360" w:lineRule="auto"/>
              <w:ind w:left="0" w:firstLine="482" w:firstLineChars="200"/>
              <w:jc w:val="both"/>
              <w:textAlignment w:val="auto"/>
              <w:rPr>
                <w:rFonts w:hint="default" w:ascii="Times New Roman" w:hAnsi="Times New Roman" w:eastAsia="宋体" w:cs="Times New Roman"/>
                <w:b/>
                <w:bCs/>
                <w:color w:val="000000" w:themeColor="text1"/>
                <w:sz w:val="24"/>
                <w:highlight w:val="none"/>
              </w:rPr>
            </w:pPr>
            <w:r>
              <w:rPr>
                <w:rFonts w:hint="default" w:ascii="Times New Roman" w:hAnsi="Times New Roman" w:eastAsia="宋体" w:cs="Times New Roman"/>
                <w:b/>
                <w:bCs/>
                <w:color w:val="000000" w:themeColor="text1"/>
                <w:sz w:val="24"/>
                <w:highlight w:val="none"/>
                <w:lang w:val="en-US" w:eastAsia="zh-CN"/>
              </w:rPr>
              <w:t>4</w:t>
            </w:r>
            <w:r>
              <w:rPr>
                <w:rFonts w:hint="default" w:ascii="Times New Roman" w:hAnsi="Times New Roman" w:eastAsia="宋体" w:cs="Times New Roman"/>
                <w:b/>
                <w:bCs/>
                <w:color w:val="000000" w:themeColor="text1"/>
                <w:sz w:val="24"/>
                <w:highlight w:val="none"/>
              </w:rPr>
              <w:t>、与九江市“三线一单”分区管控单元生态环境准入清单分析</w:t>
            </w:r>
          </w:p>
          <w:p w14:paraId="0C721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trike w:val="0"/>
                <w:dstrike w:val="0"/>
                <w:color w:val="000000" w:themeColor="text1"/>
                <w:sz w:val="24"/>
                <w:highlight w:val="none"/>
                <w:lang w:val="en-US" w:eastAsia="zh-CN"/>
              </w:rPr>
            </w:pPr>
            <w:r>
              <w:rPr>
                <w:rFonts w:hint="default" w:ascii="Times New Roman" w:hAnsi="Times New Roman" w:eastAsia="宋体" w:cs="Times New Roman"/>
                <w:strike w:val="0"/>
                <w:dstrike w:val="0"/>
                <w:color w:val="000000" w:themeColor="text1"/>
                <w:sz w:val="24"/>
                <w:highlight w:val="none"/>
                <w:lang w:val="en-US" w:eastAsia="zh-CN"/>
              </w:rPr>
              <w:t>根据《2023年九江市生态环境分区管控成果动态更新研究报告》，以县（市、区）为单位，动态更新后，九江</w:t>
            </w:r>
            <w:r>
              <w:rPr>
                <w:rFonts w:hint="eastAsia" w:cs="Times New Roman"/>
                <w:strike w:val="0"/>
                <w:dstrike w:val="0"/>
                <w:color w:val="000000" w:themeColor="text1"/>
                <w:sz w:val="24"/>
                <w:highlight w:val="none"/>
                <w:lang w:val="en-US" w:eastAsia="zh-CN"/>
              </w:rPr>
              <w:t>市</w:t>
            </w:r>
            <w:r>
              <w:rPr>
                <w:rFonts w:hint="default" w:ascii="Times New Roman" w:hAnsi="Times New Roman" w:eastAsia="宋体" w:cs="Times New Roman"/>
                <w:strike w:val="0"/>
                <w:dstrike w:val="0"/>
                <w:color w:val="000000" w:themeColor="text1"/>
                <w:sz w:val="24"/>
                <w:highlight w:val="none"/>
                <w:lang w:val="en-US" w:eastAsia="zh-CN"/>
              </w:rPr>
              <w:t>共划定环境管控单元141个，其中优先保护单元、重点管控单元、一般管控单元分别30个、83</w:t>
            </w:r>
            <w:r>
              <w:rPr>
                <w:rFonts w:hint="eastAsia" w:cs="Times New Roman"/>
                <w:strike w:val="0"/>
                <w:dstrike w:val="0"/>
                <w:color w:val="000000" w:themeColor="text1"/>
                <w:sz w:val="24"/>
                <w:highlight w:val="none"/>
                <w:lang w:val="en-US" w:eastAsia="zh-CN"/>
              </w:rPr>
              <w:t>和</w:t>
            </w:r>
            <w:r>
              <w:rPr>
                <w:rFonts w:hint="default" w:ascii="Times New Roman" w:hAnsi="Times New Roman" w:eastAsia="宋体" w:cs="Times New Roman"/>
                <w:strike w:val="0"/>
                <w:dstrike w:val="0"/>
                <w:color w:val="000000" w:themeColor="text1"/>
                <w:sz w:val="24"/>
                <w:highlight w:val="none"/>
                <w:lang w:val="en-US" w:eastAsia="zh-CN"/>
              </w:rPr>
              <w:t>28个。</w:t>
            </w:r>
          </w:p>
          <w:p w14:paraId="05A1B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trike w:val="0"/>
                <w:dstrike w:val="0"/>
                <w:color w:val="000000" w:themeColor="text1"/>
                <w:sz w:val="24"/>
                <w:highlight w:val="none"/>
                <w:lang w:val="en-US" w:eastAsia="zh-CN"/>
              </w:rPr>
            </w:pPr>
            <w:r>
              <w:rPr>
                <w:rFonts w:hint="default" w:ascii="Times New Roman" w:hAnsi="Times New Roman" w:eastAsia="宋体" w:cs="Times New Roman"/>
                <w:strike w:val="0"/>
                <w:dstrike w:val="0"/>
                <w:color w:val="000000" w:themeColor="text1"/>
                <w:sz w:val="24"/>
                <w:highlight w:val="none"/>
                <w:lang w:val="en-US" w:eastAsia="zh-CN"/>
              </w:rPr>
              <w:t>从面积分布看优先保护单元、重点管控单元、一般管控单元面积分别为8091.07、4154.65和6831.41平方公里，分别占全市国土面积的42.41%、21.78%、35.81%。</w:t>
            </w:r>
          </w:p>
          <w:p w14:paraId="3C7B8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trike w:val="0"/>
                <w:dstrike w:val="0"/>
                <w:color w:val="000000" w:themeColor="text1"/>
                <w:sz w:val="24"/>
                <w:highlight w:val="none"/>
                <w:lang w:val="en-US" w:eastAsia="zh-CN"/>
              </w:rPr>
            </w:pPr>
            <w:r>
              <w:rPr>
                <w:rFonts w:hint="default" w:ascii="Times New Roman" w:hAnsi="Times New Roman" w:eastAsia="宋体" w:cs="Times New Roman"/>
                <w:strike w:val="0"/>
                <w:dstrike w:val="0"/>
                <w:color w:val="000000" w:themeColor="text1"/>
                <w:sz w:val="24"/>
                <w:highlight w:val="none"/>
                <w:lang w:val="en-US" w:eastAsia="zh-CN"/>
              </w:rPr>
              <w:t>本项目与“九江市生态环境总体准入清单”的相符性分析详见表1-</w:t>
            </w:r>
            <w:r>
              <w:rPr>
                <w:rFonts w:hint="eastAsia" w:cs="Times New Roman"/>
                <w:strike w:val="0"/>
                <w:dstrike w:val="0"/>
                <w:color w:val="000000" w:themeColor="text1"/>
                <w:sz w:val="24"/>
                <w:highlight w:val="none"/>
                <w:lang w:val="en-US" w:eastAsia="zh-CN"/>
              </w:rPr>
              <w:t>8</w:t>
            </w:r>
            <w:r>
              <w:rPr>
                <w:rFonts w:hint="default" w:ascii="Times New Roman" w:hAnsi="Times New Roman" w:eastAsia="宋体" w:cs="Times New Roman"/>
                <w:strike w:val="0"/>
                <w:dstrike w:val="0"/>
                <w:color w:val="000000" w:themeColor="text1"/>
                <w:sz w:val="24"/>
                <w:highlight w:val="none"/>
                <w:lang w:val="en-US" w:eastAsia="zh-CN"/>
              </w:rPr>
              <w:t>；本项目与“九江市“三线一单”分区管控单元生态环境准入清单”相符性分析详见表1-</w:t>
            </w:r>
            <w:r>
              <w:rPr>
                <w:rFonts w:hint="eastAsia" w:cs="Times New Roman"/>
                <w:strike w:val="0"/>
                <w:dstrike w:val="0"/>
                <w:color w:val="000000" w:themeColor="text1"/>
                <w:sz w:val="24"/>
                <w:highlight w:val="none"/>
                <w:lang w:val="en-US" w:eastAsia="zh-CN"/>
              </w:rPr>
              <w:t>9</w:t>
            </w:r>
            <w:r>
              <w:rPr>
                <w:rFonts w:hint="default" w:ascii="Times New Roman" w:hAnsi="Times New Roman" w:eastAsia="宋体" w:cs="Times New Roman"/>
                <w:strike w:val="0"/>
                <w:dstrike w:val="0"/>
                <w:color w:val="000000" w:themeColor="text1"/>
                <w:sz w:val="24"/>
                <w:highlight w:val="none"/>
                <w:lang w:val="en-US" w:eastAsia="zh-CN"/>
              </w:rPr>
              <w:t>。</w:t>
            </w:r>
          </w:p>
          <w:p w14:paraId="0E72EA30">
            <w:pPr>
              <w:pageBreakBefore w:val="0"/>
              <w:kinsoku/>
              <w:overflowPunct/>
              <w:topLinePunct w:val="0"/>
              <w:bidi w:val="0"/>
              <w:spacing w:line="240" w:lineRule="auto"/>
              <w:ind w:left="0" w:firstLine="0" w:firstLineChars="0"/>
              <w:jc w:val="center"/>
              <w:rPr>
                <w:b/>
                <w:bCs/>
                <w:color w:val="000000" w:themeColor="text1"/>
                <w:sz w:val="21"/>
                <w:szCs w:val="21"/>
                <w:highlight w:val="none"/>
              </w:rPr>
            </w:pPr>
            <w:r>
              <w:rPr>
                <w:b/>
                <w:bCs/>
                <w:color w:val="000000" w:themeColor="text1"/>
                <w:sz w:val="21"/>
                <w:szCs w:val="21"/>
                <w:highlight w:val="none"/>
              </w:rPr>
              <w:t>表1-</w:t>
            </w:r>
            <w:r>
              <w:rPr>
                <w:rFonts w:hint="eastAsia"/>
                <w:b/>
                <w:bCs/>
                <w:color w:val="000000" w:themeColor="text1"/>
                <w:sz w:val="21"/>
                <w:szCs w:val="21"/>
                <w:highlight w:val="none"/>
                <w:lang w:val="en-US" w:eastAsia="zh-CN"/>
              </w:rPr>
              <w:t>8</w:t>
            </w:r>
            <w:r>
              <w:rPr>
                <w:rFonts w:hint="eastAsia"/>
                <w:b/>
                <w:bCs/>
                <w:color w:val="000000" w:themeColor="text1"/>
                <w:sz w:val="21"/>
                <w:szCs w:val="21"/>
                <w:highlight w:val="none"/>
              </w:rPr>
              <w:t xml:space="preserve"> </w:t>
            </w:r>
            <w:r>
              <w:rPr>
                <w:b/>
                <w:bCs/>
                <w:color w:val="000000" w:themeColor="text1"/>
                <w:sz w:val="21"/>
                <w:szCs w:val="21"/>
                <w:highlight w:val="none"/>
              </w:rPr>
              <w:t xml:space="preserve"> 与九江市生态环境总体准入清单相符性</w:t>
            </w:r>
          </w:p>
          <w:tbl>
            <w:tblPr>
              <w:tblStyle w:val="33"/>
              <w:tblW w:w="495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33"/>
              <w:gridCol w:w="635"/>
              <w:gridCol w:w="3886"/>
              <w:gridCol w:w="1631"/>
              <w:gridCol w:w="1186"/>
            </w:tblGrid>
            <w:tr w14:paraId="442B19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noWrap w:val="0"/>
                  <w:vAlign w:val="center"/>
                </w:tcPr>
                <w:p w14:paraId="47F959E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b/>
                      <w:bCs/>
                      <w:color w:val="000000" w:themeColor="text1"/>
                      <w:spacing w:val="2"/>
                      <w:sz w:val="21"/>
                      <w:szCs w:val="21"/>
                      <w:highlight w:val="none"/>
                      <w:lang w:val="en-US" w:eastAsia="zh-CN"/>
                    </w:rPr>
                  </w:pPr>
                  <w:r>
                    <w:rPr>
                      <w:rFonts w:hint="default" w:ascii="Times New Roman" w:hAnsi="Times New Roman" w:eastAsia="宋体" w:cs="Times New Roman"/>
                      <w:b/>
                      <w:bCs/>
                      <w:color w:val="000000" w:themeColor="text1"/>
                      <w:spacing w:val="2"/>
                      <w:sz w:val="21"/>
                      <w:szCs w:val="21"/>
                      <w:highlight w:val="none"/>
                      <w:lang w:val="en-US" w:eastAsia="zh-CN"/>
                    </w:rPr>
                    <w:t>管控单元</w:t>
                  </w:r>
                </w:p>
              </w:tc>
              <w:tc>
                <w:tcPr>
                  <w:tcW w:w="398" w:type="pct"/>
                  <w:noWrap w:val="0"/>
                  <w:vAlign w:val="center"/>
                </w:tcPr>
                <w:p w14:paraId="5E709DA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b/>
                      <w:bCs/>
                      <w:color w:val="000000" w:themeColor="text1"/>
                      <w:spacing w:val="2"/>
                      <w:sz w:val="21"/>
                      <w:szCs w:val="21"/>
                      <w:highlight w:val="none"/>
                      <w:lang w:val="en-US" w:eastAsia="zh-CN"/>
                    </w:rPr>
                  </w:pPr>
                  <w:r>
                    <w:rPr>
                      <w:rFonts w:hint="default" w:ascii="Times New Roman" w:hAnsi="Times New Roman" w:eastAsia="宋体" w:cs="Times New Roman"/>
                      <w:b/>
                      <w:bCs/>
                      <w:color w:val="000000" w:themeColor="text1"/>
                      <w:spacing w:val="2"/>
                      <w:sz w:val="21"/>
                      <w:szCs w:val="21"/>
                      <w:highlight w:val="none"/>
                      <w:lang w:val="en-US" w:eastAsia="zh-CN"/>
                    </w:rPr>
                    <w:t>维度</w:t>
                  </w:r>
                </w:p>
              </w:tc>
              <w:tc>
                <w:tcPr>
                  <w:tcW w:w="2437" w:type="pct"/>
                  <w:noWrap w:val="0"/>
                  <w:vAlign w:val="center"/>
                </w:tcPr>
                <w:p w14:paraId="4D91AF5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b/>
                      <w:bCs/>
                      <w:color w:val="000000" w:themeColor="text1"/>
                      <w:spacing w:val="2"/>
                      <w:sz w:val="21"/>
                      <w:szCs w:val="21"/>
                      <w:highlight w:val="none"/>
                      <w:lang w:val="en-US" w:eastAsia="zh-CN"/>
                    </w:rPr>
                  </w:pPr>
                  <w:r>
                    <w:rPr>
                      <w:rFonts w:hint="default" w:ascii="Times New Roman" w:hAnsi="Times New Roman" w:eastAsia="宋体" w:cs="Times New Roman"/>
                      <w:b/>
                      <w:bCs/>
                      <w:color w:val="000000" w:themeColor="text1"/>
                      <w:spacing w:val="2"/>
                      <w:sz w:val="21"/>
                      <w:szCs w:val="21"/>
                      <w:highlight w:val="none"/>
                      <w:lang w:val="en-US" w:eastAsia="zh-CN"/>
                    </w:rPr>
                    <w:t>生态环境准入要求</w:t>
                  </w:r>
                </w:p>
              </w:tc>
              <w:tc>
                <w:tcPr>
                  <w:tcW w:w="1022" w:type="pct"/>
                  <w:noWrap w:val="0"/>
                  <w:vAlign w:val="center"/>
                </w:tcPr>
                <w:p w14:paraId="59640C4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b/>
                      <w:bCs/>
                      <w:color w:val="000000" w:themeColor="text1"/>
                      <w:spacing w:val="2"/>
                      <w:sz w:val="21"/>
                      <w:szCs w:val="21"/>
                      <w:highlight w:val="none"/>
                      <w:lang w:val="en-US" w:eastAsia="zh-CN"/>
                    </w:rPr>
                  </w:pPr>
                  <w:r>
                    <w:rPr>
                      <w:rFonts w:hint="default" w:ascii="Times New Roman" w:hAnsi="Times New Roman" w:eastAsia="宋体" w:cs="Times New Roman"/>
                      <w:b/>
                      <w:bCs/>
                      <w:color w:val="000000" w:themeColor="text1"/>
                      <w:spacing w:val="2"/>
                      <w:sz w:val="21"/>
                      <w:szCs w:val="21"/>
                      <w:highlight w:val="none"/>
                      <w:lang w:val="en-US" w:eastAsia="zh-CN"/>
                    </w:rPr>
                    <w:t>符合性分析</w:t>
                  </w:r>
                </w:p>
              </w:tc>
              <w:tc>
                <w:tcPr>
                  <w:tcW w:w="744" w:type="pct"/>
                  <w:noWrap w:val="0"/>
                  <w:vAlign w:val="center"/>
                </w:tcPr>
                <w:p w14:paraId="4955AEB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b/>
                      <w:bCs/>
                      <w:color w:val="000000" w:themeColor="text1"/>
                      <w:spacing w:val="2"/>
                      <w:sz w:val="21"/>
                      <w:szCs w:val="21"/>
                      <w:highlight w:val="none"/>
                      <w:lang w:val="en-US" w:eastAsia="zh-CN"/>
                    </w:rPr>
                  </w:pPr>
                  <w:r>
                    <w:rPr>
                      <w:rFonts w:hint="default" w:ascii="Times New Roman" w:hAnsi="Times New Roman" w:eastAsia="宋体" w:cs="Times New Roman"/>
                      <w:b/>
                      <w:bCs/>
                      <w:color w:val="000000" w:themeColor="text1"/>
                      <w:spacing w:val="2"/>
                      <w:sz w:val="21"/>
                      <w:szCs w:val="21"/>
                      <w:highlight w:val="none"/>
                      <w:lang w:val="en-US" w:eastAsia="zh-CN"/>
                    </w:rPr>
                    <w:t>符合性</w:t>
                  </w:r>
                </w:p>
              </w:tc>
            </w:tr>
            <w:tr w14:paraId="1CE8849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restart"/>
                  <w:noWrap w:val="0"/>
                  <w:vAlign w:val="center"/>
                </w:tcPr>
                <w:p w14:paraId="163CE78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重点管控单元</w:t>
                  </w:r>
                </w:p>
              </w:tc>
              <w:tc>
                <w:tcPr>
                  <w:tcW w:w="398" w:type="pct"/>
                  <w:vMerge w:val="restart"/>
                  <w:noWrap w:val="0"/>
                  <w:vAlign w:val="center"/>
                </w:tcPr>
                <w:p w14:paraId="01855B1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空间布局约束维度</w:t>
                  </w:r>
                </w:p>
              </w:tc>
              <w:tc>
                <w:tcPr>
                  <w:tcW w:w="2437" w:type="pct"/>
                  <w:noWrap w:val="0"/>
                  <w:vAlign w:val="center"/>
                </w:tcPr>
                <w:p w14:paraId="312BE0C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1.强化燃煤锅炉废气精细管控，不再审批35蒸吨/小时以下燃煤锅炉，不再新增燃煤导热油炉，鼓励现有燃煤锅炉、导热油炉改为清洁能源。</w:t>
                  </w:r>
                </w:p>
              </w:tc>
              <w:tc>
                <w:tcPr>
                  <w:tcW w:w="1022" w:type="pct"/>
                  <w:noWrap w:val="0"/>
                  <w:vAlign w:val="center"/>
                </w:tcPr>
                <w:p w14:paraId="520EBB24">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项目不涉及锅炉</w:t>
                  </w:r>
                </w:p>
              </w:tc>
              <w:tc>
                <w:tcPr>
                  <w:tcW w:w="744" w:type="pct"/>
                  <w:noWrap w:val="0"/>
                  <w:vAlign w:val="center"/>
                </w:tcPr>
                <w:p w14:paraId="09D7A63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440FE7A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26E3568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3A2BC07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641B615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2.禁止新、扩建不符合国家产业布局规划的石化、现代煤化工项目和不符合国家产能置换要求的严重产能过剩项目。禁止新建、扩建不符合要求的高耗能高排放项目。</w:t>
                  </w:r>
                </w:p>
              </w:tc>
              <w:tc>
                <w:tcPr>
                  <w:tcW w:w="1022" w:type="pct"/>
                  <w:noWrap w:val="0"/>
                  <w:vAlign w:val="center"/>
                </w:tcPr>
                <w:p w14:paraId="1494CDF2">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项目不属于石化、煤化工等严重产能过剩、高耗能高排放项目</w:t>
                  </w:r>
                </w:p>
              </w:tc>
              <w:tc>
                <w:tcPr>
                  <w:tcW w:w="744" w:type="pct"/>
                  <w:noWrap w:val="0"/>
                  <w:vAlign w:val="center"/>
                </w:tcPr>
                <w:p w14:paraId="766BDAE4">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6BF226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57FE3FC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6BF88F4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5B6D21C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3.长江干流九江段、修河干流及鄱阳湖岸线1公里范围内禁止新建化工、造纸、印染、制革、冶炼等重污染项目。</w:t>
                  </w:r>
                </w:p>
              </w:tc>
              <w:tc>
                <w:tcPr>
                  <w:tcW w:w="1022" w:type="pct"/>
                  <w:noWrap w:val="0"/>
                  <w:vAlign w:val="center"/>
                </w:tcPr>
                <w:p w14:paraId="5DC47CA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ascii="Times New Roman" w:hAnsi="Times New Roman" w:eastAsia="宋体" w:cs="Times New Roman"/>
                      <w:color w:val="000000" w:themeColor="text1"/>
                      <w:spacing w:val="2"/>
                      <w:sz w:val="21"/>
                      <w:szCs w:val="21"/>
                      <w:highlight w:val="none"/>
                      <w:lang w:val="en-US" w:eastAsia="zh-CN"/>
                    </w:rPr>
                    <w:t>本项目属于塑料零件及其他塑料制品制造、非金属废料和碎屑加工处理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ascii="Times New Roman" w:hAnsi="Times New Roman" w:eastAsia="宋体" w:cs="Times New Roman"/>
                      <w:color w:val="000000" w:themeColor="text1"/>
                      <w:spacing w:val="2"/>
                      <w:sz w:val="21"/>
                      <w:szCs w:val="21"/>
                      <w:highlight w:val="none"/>
                      <w:lang w:val="en-US" w:eastAsia="zh-CN"/>
                    </w:rPr>
                    <w:t>项目</w:t>
                  </w:r>
                  <w:r>
                    <w:rPr>
                      <w:rFonts w:hint="default" w:ascii="Times New Roman" w:hAnsi="Times New Roman" w:eastAsia="宋体" w:cs="Times New Roman"/>
                      <w:color w:val="000000" w:themeColor="text1"/>
                      <w:spacing w:val="2"/>
                      <w:sz w:val="21"/>
                      <w:szCs w:val="21"/>
                      <w:highlight w:val="none"/>
                      <w:lang w:val="en-US" w:eastAsia="zh-CN"/>
                    </w:rPr>
                    <w:t>，不属于重污染项目</w:t>
                  </w:r>
                </w:p>
              </w:tc>
              <w:tc>
                <w:tcPr>
                  <w:tcW w:w="744" w:type="pct"/>
                  <w:noWrap w:val="0"/>
                  <w:vAlign w:val="center"/>
                </w:tcPr>
                <w:p w14:paraId="0FF59C5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04D5B8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413605B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16C9D18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407D305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4.禁止在长江干支流、重要湖泊岸线一公里范围内新建、扩建化工园区和化工项目。</w:t>
                  </w:r>
                </w:p>
              </w:tc>
              <w:tc>
                <w:tcPr>
                  <w:tcW w:w="1022" w:type="pct"/>
                  <w:noWrap w:val="0"/>
                  <w:vAlign w:val="center"/>
                </w:tcPr>
                <w:p w14:paraId="18CC1F6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项目不属于化工项目</w:t>
                  </w:r>
                </w:p>
              </w:tc>
              <w:tc>
                <w:tcPr>
                  <w:tcW w:w="744" w:type="pct"/>
                  <w:noWrap w:val="0"/>
                  <w:vAlign w:val="center"/>
                </w:tcPr>
                <w:p w14:paraId="51925D7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3DDF20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75F4BC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3778FE1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42EF6D9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5.禁止在城市湖泊水域范围内建设除防洪、改善水生态环境、跨湖桥梁、湖底隧道之外的建筑物、构筑物。</w:t>
                  </w:r>
                </w:p>
              </w:tc>
              <w:tc>
                <w:tcPr>
                  <w:tcW w:w="1022" w:type="pct"/>
                  <w:noWrap w:val="0"/>
                  <w:vAlign w:val="center"/>
                </w:tcPr>
                <w:p w14:paraId="31F2F39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项目不涉及湖泊水域范围</w:t>
                  </w:r>
                </w:p>
              </w:tc>
              <w:tc>
                <w:tcPr>
                  <w:tcW w:w="744" w:type="pct"/>
                  <w:noWrap w:val="0"/>
                  <w:vAlign w:val="center"/>
                </w:tcPr>
                <w:p w14:paraId="5DB9F75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B6D7BE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003A5D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79EC27B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1818C35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6.禁止在合规园区外新建、扩建钢铁、石化、化工、焦化、建材、有色、制浆造纸等高污染项目。</w:t>
                  </w:r>
                </w:p>
              </w:tc>
              <w:tc>
                <w:tcPr>
                  <w:tcW w:w="1022" w:type="pct"/>
                  <w:noWrap w:val="0"/>
                  <w:vAlign w:val="center"/>
                </w:tcPr>
                <w:p w14:paraId="5FCAF05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项目不属于高污染项目</w:t>
                  </w:r>
                </w:p>
              </w:tc>
              <w:tc>
                <w:tcPr>
                  <w:tcW w:w="744" w:type="pct"/>
                  <w:noWrap w:val="0"/>
                  <w:vAlign w:val="center"/>
                </w:tcPr>
                <w:p w14:paraId="215BA682">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28735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C71A82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3AC6C57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7597E47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7.对不符合产业政策要求</w:t>
                  </w:r>
                  <w:r>
                    <w:rPr>
                      <w:rFonts w:hint="eastAsia" w:cs="Times New Roman"/>
                      <w:color w:val="000000" w:themeColor="text1"/>
                      <w:spacing w:val="2"/>
                      <w:sz w:val="21"/>
                      <w:szCs w:val="21"/>
                      <w:highlight w:val="none"/>
                      <w:lang w:val="en-US" w:eastAsia="zh-CN"/>
                    </w:rPr>
                    <w:t>，以及</w:t>
                  </w:r>
                  <w:r>
                    <w:rPr>
                      <w:rFonts w:hint="default" w:ascii="Times New Roman" w:hAnsi="Times New Roman" w:eastAsia="宋体" w:cs="Times New Roman"/>
                      <w:color w:val="000000" w:themeColor="text1"/>
                      <w:spacing w:val="2"/>
                      <w:sz w:val="21"/>
                      <w:szCs w:val="21"/>
                      <w:highlight w:val="none"/>
                      <w:lang w:val="en-US" w:eastAsia="zh-CN"/>
                    </w:rPr>
                    <w:t>环境风险、安全隐患突出而又无法搬迁或转型企业，依法实施关停。</w:t>
                  </w:r>
                </w:p>
              </w:tc>
              <w:tc>
                <w:tcPr>
                  <w:tcW w:w="1022" w:type="pct"/>
                  <w:noWrap w:val="0"/>
                  <w:vAlign w:val="center"/>
                </w:tcPr>
                <w:p w14:paraId="7A57E3A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项目符合产业政策要求</w:t>
                  </w:r>
                </w:p>
              </w:tc>
              <w:tc>
                <w:tcPr>
                  <w:tcW w:w="744" w:type="pct"/>
                  <w:noWrap w:val="0"/>
                  <w:vAlign w:val="center"/>
                </w:tcPr>
                <w:p w14:paraId="25A6D2C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332C42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55CBF18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3B11B2D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7EC5074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8.城市建成区内的现有污染较重或严重影响环境的企业应有序搬迁改造或依法关闭。</w:t>
                  </w:r>
                </w:p>
              </w:tc>
              <w:tc>
                <w:tcPr>
                  <w:tcW w:w="1022" w:type="pct"/>
                  <w:noWrap w:val="0"/>
                  <w:vAlign w:val="center"/>
                </w:tcPr>
                <w:p w14:paraId="3A7B1B2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项目为新建项目</w:t>
                  </w:r>
                </w:p>
              </w:tc>
              <w:tc>
                <w:tcPr>
                  <w:tcW w:w="744" w:type="pct"/>
                  <w:noWrap w:val="0"/>
                  <w:vAlign w:val="center"/>
                </w:tcPr>
                <w:p w14:paraId="60DCEA7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65ABD1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399B630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restart"/>
                  <w:noWrap w:val="0"/>
                  <w:vAlign w:val="center"/>
                </w:tcPr>
                <w:p w14:paraId="10E4433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污染物排放管 控</w:t>
                  </w:r>
                </w:p>
              </w:tc>
              <w:tc>
                <w:tcPr>
                  <w:tcW w:w="2437" w:type="pct"/>
                  <w:noWrap w:val="0"/>
                  <w:vAlign w:val="center"/>
                </w:tcPr>
                <w:p w14:paraId="6E28543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9. “十四五”期间，全市氮氧化物、挥发性有机物、化学需氧量和氨氮等主要污染物减排量分别为4098吨、2035吨、10031吨和658吨。</w:t>
                  </w:r>
                </w:p>
              </w:tc>
              <w:tc>
                <w:tcPr>
                  <w:tcW w:w="1022" w:type="pct"/>
                  <w:noWrap w:val="0"/>
                  <w:vAlign w:val="center"/>
                </w:tcPr>
                <w:p w14:paraId="0541736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项目总量按要求执行</w:t>
                  </w:r>
                </w:p>
              </w:tc>
              <w:tc>
                <w:tcPr>
                  <w:tcW w:w="744" w:type="pct"/>
                  <w:noWrap w:val="0"/>
                  <w:vAlign w:val="center"/>
                </w:tcPr>
                <w:p w14:paraId="0AAE596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5BA0E7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F7AC11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2B16C03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39E0B63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10.造纸、焦化、氮肥、有色金属、印染、农副食品加工、原料药制造、制革、农药、电镀等重点行业建设项目新建、改建、扩建实施主要水污染排放总量等量或减量置换。</w:t>
                  </w:r>
                </w:p>
              </w:tc>
              <w:tc>
                <w:tcPr>
                  <w:tcW w:w="1022" w:type="pct"/>
                  <w:noWrap w:val="0"/>
                  <w:vAlign w:val="center"/>
                </w:tcPr>
                <w:p w14:paraId="22BAEB5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项目总量按要求执行</w:t>
                  </w:r>
                </w:p>
              </w:tc>
              <w:tc>
                <w:tcPr>
                  <w:tcW w:w="744" w:type="pct"/>
                  <w:noWrap w:val="0"/>
                  <w:vAlign w:val="center"/>
                </w:tcPr>
                <w:p w14:paraId="4EB4D3A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D5019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73F74842">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493BFA1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7094DFF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11.到2025年，单位生产总值二氧化碳排放确保完成省下达的指标。</w:t>
                  </w:r>
                </w:p>
              </w:tc>
              <w:tc>
                <w:tcPr>
                  <w:tcW w:w="1022" w:type="pct"/>
                  <w:noWrap w:val="0"/>
                  <w:vAlign w:val="center"/>
                </w:tcPr>
                <w:p w14:paraId="5927B56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项目不涉及二氧化碳排放</w:t>
                  </w:r>
                </w:p>
              </w:tc>
              <w:tc>
                <w:tcPr>
                  <w:tcW w:w="744" w:type="pct"/>
                  <w:noWrap w:val="0"/>
                  <w:vAlign w:val="center"/>
                </w:tcPr>
                <w:p w14:paraId="5495544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56C1E6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60C6EB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287B322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5E7C557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12.推进重点重金属减排，加强重金属污染综合治理，推进重点行业企业废水总铊治理。</w:t>
                  </w:r>
                </w:p>
              </w:tc>
              <w:tc>
                <w:tcPr>
                  <w:tcW w:w="1022" w:type="pct"/>
                  <w:noWrap w:val="0"/>
                  <w:vAlign w:val="center"/>
                </w:tcPr>
                <w:p w14:paraId="66A8BAA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项目不涉及重金属</w:t>
                  </w:r>
                </w:p>
              </w:tc>
              <w:tc>
                <w:tcPr>
                  <w:tcW w:w="744" w:type="pct"/>
                  <w:noWrap w:val="0"/>
                  <w:vAlign w:val="center"/>
                </w:tcPr>
                <w:p w14:paraId="154B7AA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3E832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37FA109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52E216A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4031243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13.持续提升工业园区污水收集处理水平，推进园区污水处理设施</w:t>
                  </w:r>
                  <w:r>
                    <w:rPr>
                      <w:rFonts w:hint="eastAsia" w:cs="Times New Roman"/>
                      <w:color w:val="000000" w:themeColor="text1"/>
                      <w:spacing w:val="2"/>
                      <w:sz w:val="21"/>
                      <w:szCs w:val="21"/>
                      <w:highlight w:val="none"/>
                      <w:lang w:val="en-US" w:eastAsia="zh-CN"/>
                    </w:rPr>
                    <w:t>一级A</w:t>
                  </w:r>
                  <w:r>
                    <w:rPr>
                      <w:rFonts w:hint="default" w:ascii="Times New Roman" w:hAnsi="Times New Roman" w:eastAsia="宋体" w:cs="Times New Roman"/>
                      <w:color w:val="000000" w:themeColor="text1"/>
                      <w:spacing w:val="2"/>
                      <w:sz w:val="21"/>
                      <w:szCs w:val="21"/>
                      <w:highlight w:val="none"/>
                      <w:lang w:val="en-US" w:eastAsia="zh-CN"/>
                    </w:rPr>
                    <w:t>提标改造。推进污泥减量化资源化无害化处置。</w:t>
                  </w:r>
                </w:p>
              </w:tc>
              <w:tc>
                <w:tcPr>
                  <w:tcW w:w="1022" w:type="pct"/>
                  <w:noWrap w:val="0"/>
                  <w:vAlign w:val="center"/>
                </w:tcPr>
                <w:p w14:paraId="4D9180C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本项目不属于城镇污水处理厂项目，</w:t>
                  </w:r>
                </w:p>
              </w:tc>
              <w:tc>
                <w:tcPr>
                  <w:tcW w:w="744" w:type="pct"/>
                  <w:noWrap w:val="0"/>
                  <w:vAlign w:val="center"/>
                </w:tcPr>
                <w:p w14:paraId="4BA61652">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462A8E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1934C9F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7C6140B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1B85179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14.对长江干流及鄱阳湖区从严审批产生有毒有害污染物的新建和改扩建项目，新建、改建、扩建重点行业项目实行主要水污染物排放等量或减量置换，严控新增污染物排放量。</w:t>
                  </w:r>
                </w:p>
              </w:tc>
              <w:tc>
                <w:tcPr>
                  <w:tcW w:w="1022" w:type="pct"/>
                  <w:noWrap w:val="0"/>
                  <w:vAlign w:val="center"/>
                </w:tcPr>
                <w:p w14:paraId="507E5EF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项目不涉及有毒有害污染物排放</w:t>
                  </w:r>
                </w:p>
              </w:tc>
              <w:tc>
                <w:tcPr>
                  <w:tcW w:w="744" w:type="pct"/>
                  <w:noWrap w:val="0"/>
                  <w:vAlign w:val="center"/>
                </w:tcPr>
                <w:p w14:paraId="6707DDB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35054ED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14EA06A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1C7D9BE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16E15DB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15.大力推进挥发性有机物和氮氧化物源头协同减排，加强消耗臭氧层物质和氢氟碳化物环境管理，推进企业升级改造和区域环境综合整治。实施溶剂型工业涂料等清洁原料替代。</w:t>
                  </w:r>
                </w:p>
              </w:tc>
              <w:tc>
                <w:tcPr>
                  <w:tcW w:w="1022" w:type="pct"/>
                  <w:noWrap w:val="0"/>
                  <w:vAlign w:val="center"/>
                </w:tcPr>
                <w:p w14:paraId="0956904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s="Times New Roman"/>
                      <w:color w:val="000000" w:themeColor="text1"/>
                      <w:spacing w:val="2"/>
                      <w:sz w:val="21"/>
                      <w:szCs w:val="21"/>
                      <w:highlight w:val="none"/>
                      <w:lang w:val="en-US" w:eastAsia="zh-CN"/>
                    </w:rPr>
                    <w:t>本项目不涉及</w:t>
                  </w:r>
                  <w:r>
                    <w:rPr>
                      <w:rFonts w:hint="default" w:ascii="Times New Roman" w:hAnsi="Times New Roman" w:eastAsia="宋体" w:cs="Times New Roman"/>
                      <w:color w:val="000000" w:themeColor="text1"/>
                      <w:spacing w:val="2"/>
                      <w:sz w:val="21"/>
                      <w:szCs w:val="21"/>
                      <w:highlight w:val="none"/>
                      <w:lang w:val="en-US" w:eastAsia="zh-CN"/>
                    </w:rPr>
                    <w:t>VOCs物料</w:t>
                  </w:r>
                  <w:r>
                    <w:rPr>
                      <w:rFonts w:hint="eastAsia" w:cs="Times New Roman"/>
                      <w:color w:val="000000" w:themeColor="text1"/>
                      <w:spacing w:val="2"/>
                      <w:sz w:val="21"/>
                      <w:szCs w:val="21"/>
                      <w:highlight w:val="none"/>
                      <w:lang w:val="en-US" w:eastAsia="zh-CN"/>
                    </w:rPr>
                    <w:t>，生产过程中产生的有机废气经冷凝+二级活性炭吸附处理达标排放，大大减少</w:t>
                  </w:r>
                  <w:r>
                    <w:rPr>
                      <w:rFonts w:hint="default" w:ascii="Times New Roman" w:hAnsi="Times New Roman" w:eastAsia="宋体" w:cs="Times New Roman"/>
                      <w:color w:val="000000" w:themeColor="text1"/>
                      <w:spacing w:val="2"/>
                      <w:sz w:val="21"/>
                      <w:szCs w:val="21"/>
                      <w:highlight w:val="none"/>
                      <w:lang w:val="en-US" w:eastAsia="zh-CN"/>
                    </w:rPr>
                    <w:t>挥发性有机物</w:t>
                  </w:r>
                  <w:r>
                    <w:rPr>
                      <w:rFonts w:hint="eastAsia" w:ascii="Times New Roman" w:hAnsi="Times New Roman" w:eastAsia="宋体" w:cs="Times New Roman"/>
                      <w:color w:val="000000" w:themeColor="text1"/>
                      <w:spacing w:val="2"/>
                      <w:sz w:val="21"/>
                      <w:szCs w:val="21"/>
                      <w:highlight w:val="none"/>
                      <w:lang w:val="en-US" w:eastAsia="zh-CN"/>
                    </w:rPr>
                    <w:t>排放</w:t>
                  </w:r>
                </w:p>
              </w:tc>
              <w:tc>
                <w:tcPr>
                  <w:tcW w:w="744" w:type="pct"/>
                  <w:noWrap w:val="0"/>
                  <w:vAlign w:val="center"/>
                </w:tcPr>
                <w:p w14:paraId="3DDDBAC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2AE5015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14513AB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restart"/>
                  <w:noWrap w:val="0"/>
                  <w:vAlign w:val="center"/>
                </w:tcPr>
                <w:p w14:paraId="2E5FB88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环境风险防控</w:t>
                  </w:r>
                </w:p>
              </w:tc>
              <w:tc>
                <w:tcPr>
                  <w:tcW w:w="2437" w:type="pct"/>
                  <w:noWrap w:val="0"/>
                  <w:vAlign w:val="center"/>
                </w:tcPr>
                <w:p w14:paraId="3F1AF33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16.继续加强九江与南昌、九江与黄冈区域大气污染联防联控机制。</w:t>
                  </w:r>
                </w:p>
              </w:tc>
              <w:tc>
                <w:tcPr>
                  <w:tcW w:w="1022" w:type="pct"/>
                  <w:noWrap w:val="0"/>
                  <w:vAlign w:val="center"/>
                </w:tcPr>
                <w:p w14:paraId="2A9969B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w:t>
                  </w:r>
                </w:p>
              </w:tc>
              <w:tc>
                <w:tcPr>
                  <w:tcW w:w="744" w:type="pct"/>
                  <w:noWrap w:val="0"/>
                  <w:vAlign w:val="center"/>
                </w:tcPr>
                <w:p w14:paraId="5C630BA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w:t>
                  </w:r>
                </w:p>
              </w:tc>
            </w:tr>
            <w:tr w14:paraId="0553F5A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3EDE3E3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7958DDC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5715E51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17.加强区域污染天气监测预警体系建设，完善细颗粒物和臭氧污染天气预警应急启动、响应和解除机制。</w:t>
                  </w:r>
                </w:p>
              </w:tc>
              <w:tc>
                <w:tcPr>
                  <w:tcW w:w="1022" w:type="pct"/>
                  <w:noWrap w:val="0"/>
                  <w:vAlign w:val="center"/>
                </w:tcPr>
                <w:p w14:paraId="63D6F78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项目按要求执行</w:t>
                  </w:r>
                </w:p>
              </w:tc>
              <w:tc>
                <w:tcPr>
                  <w:tcW w:w="744" w:type="pct"/>
                  <w:noWrap w:val="0"/>
                  <w:vAlign w:val="center"/>
                </w:tcPr>
                <w:p w14:paraId="65CD90E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7FACA7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B87C23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670AEF8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4CB3B0C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18.在居民集中区、医院和学校附近、重要水源涵养生态功能区等环境风险防控重点区域，禁止新建或扩建易引发环境风险的项目。</w:t>
                  </w:r>
                </w:p>
              </w:tc>
              <w:tc>
                <w:tcPr>
                  <w:tcW w:w="1022" w:type="pct"/>
                  <w:noWrap w:val="0"/>
                  <w:vAlign w:val="center"/>
                </w:tcPr>
                <w:p w14:paraId="5395D89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本项目环评风险等级为简单分析，不属于易引发环境风险的项目</w:t>
                  </w:r>
                </w:p>
              </w:tc>
              <w:tc>
                <w:tcPr>
                  <w:tcW w:w="744" w:type="pct"/>
                  <w:noWrap w:val="0"/>
                  <w:vAlign w:val="center"/>
                </w:tcPr>
                <w:p w14:paraId="1B1D3EC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A5DFA1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78C84FA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51F1B20E">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6DE2377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19. 定期开展涉磷行业生态环境安全隐患排查，强化湖区环境安全风险防控，提升鄱阳湖滨湖地区联防联控突发水污染事件能力。</w:t>
                  </w:r>
                </w:p>
              </w:tc>
              <w:tc>
                <w:tcPr>
                  <w:tcW w:w="1022" w:type="pct"/>
                  <w:noWrap w:val="0"/>
                  <w:vAlign w:val="center"/>
                </w:tcPr>
                <w:p w14:paraId="43546AD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项目不属于涉磷行业</w:t>
                  </w:r>
                </w:p>
              </w:tc>
              <w:tc>
                <w:tcPr>
                  <w:tcW w:w="744" w:type="pct"/>
                  <w:noWrap w:val="0"/>
                  <w:vAlign w:val="center"/>
                </w:tcPr>
                <w:p w14:paraId="72C9E20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6D9757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3DF16C7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7D78DE0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7072E00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20.禁止在长江干流岸线三公里范围内和重要支流岸线一公里范围内新建、改建、扩建尾矿库、冶炼渣库和磷石膏库，以提升安全、生态环境保护水平为目的的改建除外。</w:t>
                  </w:r>
                </w:p>
              </w:tc>
              <w:tc>
                <w:tcPr>
                  <w:tcW w:w="1022" w:type="pct"/>
                  <w:noWrap w:val="0"/>
                  <w:vAlign w:val="center"/>
                </w:tcPr>
                <w:p w14:paraId="399BE5A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项目不属于尾矿库、冶炼渣库和磷石膏库项目</w:t>
                  </w:r>
                </w:p>
              </w:tc>
              <w:tc>
                <w:tcPr>
                  <w:tcW w:w="744" w:type="pct"/>
                  <w:noWrap w:val="0"/>
                  <w:vAlign w:val="center"/>
                </w:tcPr>
                <w:p w14:paraId="493BDB6B">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11BCA35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6FC04FC5">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restart"/>
                  <w:noWrap w:val="0"/>
                  <w:vAlign w:val="center"/>
                </w:tcPr>
                <w:p w14:paraId="3A99AAB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资源利用效率要求</w:t>
                  </w:r>
                </w:p>
              </w:tc>
              <w:tc>
                <w:tcPr>
                  <w:tcW w:w="2437" w:type="pct"/>
                  <w:noWrap w:val="0"/>
                  <w:vAlign w:val="center"/>
                </w:tcPr>
                <w:p w14:paraId="0BD87F7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21.2025年九江市用水总量指标为23.41亿立方米，万元国内生产总值用水量比2020年下降17%，万元工业增加值用水量比2020年下降16%；“十四五”时期，规模以上万元工业单位增加值用水量下降18%。</w:t>
                  </w:r>
                </w:p>
              </w:tc>
              <w:tc>
                <w:tcPr>
                  <w:tcW w:w="1022" w:type="pct"/>
                  <w:noWrap w:val="0"/>
                  <w:vAlign w:val="center"/>
                </w:tcPr>
                <w:p w14:paraId="316C3B1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rPr>
                    <w:t>本项目用水量为</w:t>
                  </w:r>
                  <w:r>
                    <w:rPr>
                      <w:rFonts w:hint="eastAsia" w:cs="Times New Roman"/>
                      <w:color w:val="000000" w:themeColor="text1"/>
                      <w:spacing w:val="2"/>
                      <w:sz w:val="21"/>
                      <w:szCs w:val="21"/>
                      <w:highlight w:val="none"/>
                      <w:lang w:val="en-US" w:eastAsia="zh-CN"/>
                    </w:rPr>
                    <w:t>1110</w:t>
                  </w:r>
                  <w:r>
                    <w:rPr>
                      <w:rFonts w:hint="default" w:ascii="Times New Roman" w:hAnsi="Times New Roman" w:eastAsia="宋体" w:cs="Times New Roman"/>
                      <w:color w:val="000000" w:themeColor="text1"/>
                      <w:spacing w:val="2"/>
                      <w:sz w:val="21"/>
                      <w:szCs w:val="21"/>
                      <w:highlight w:val="none"/>
                    </w:rPr>
                    <w:t>m</w:t>
                  </w:r>
                  <w:r>
                    <w:rPr>
                      <w:rFonts w:hint="default" w:ascii="Times New Roman" w:hAnsi="Times New Roman" w:eastAsia="宋体" w:cs="Times New Roman"/>
                      <w:color w:val="000000" w:themeColor="text1"/>
                      <w:spacing w:val="2"/>
                      <w:sz w:val="21"/>
                      <w:szCs w:val="21"/>
                      <w:highlight w:val="none"/>
                      <w:vertAlign w:val="superscript"/>
                    </w:rPr>
                    <w:t>3</w:t>
                  </w:r>
                  <w:r>
                    <w:rPr>
                      <w:rFonts w:hint="default" w:ascii="Times New Roman" w:hAnsi="Times New Roman" w:eastAsia="宋体" w:cs="Times New Roman"/>
                      <w:color w:val="000000" w:themeColor="text1"/>
                      <w:spacing w:val="2"/>
                      <w:sz w:val="21"/>
                      <w:szCs w:val="21"/>
                      <w:highlight w:val="none"/>
                    </w:rPr>
                    <w:t>/a</w:t>
                  </w:r>
                  <w:r>
                    <w:rPr>
                      <w:rFonts w:hint="default" w:ascii="Times New Roman" w:hAnsi="Times New Roman" w:eastAsia="宋体" w:cs="Times New Roman"/>
                      <w:color w:val="000000" w:themeColor="text1"/>
                      <w:spacing w:val="2"/>
                      <w:sz w:val="21"/>
                      <w:szCs w:val="21"/>
                      <w:highlight w:val="none"/>
                      <w:lang w:val="en-GB"/>
                    </w:rPr>
                    <w:t>，用水量较小。</w:t>
                  </w:r>
                </w:p>
              </w:tc>
              <w:tc>
                <w:tcPr>
                  <w:tcW w:w="744" w:type="pct"/>
                  <w:noWrap w:val="0"/>
                  <w:vAlign w:val="center"/>
                </w:tcPr>
                <w:p w14:paraId="13E784B7">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0784AFC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3D7C74B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2E1BC2B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570DEB76">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22.在城市公共供水管网供水规模能满足用水需要的地区，不得新增开采地下水，原有的自备水井应当限期封闭，经依法批准开采的矿泉水、地热水除外。</w:t>
                  </w:r>
                </w:p>
              </w:tc>
              <w:tc>
                <w:tcPr>
                  <w:tcW w:w="1022" w:type="pct"/>
                  <w:noWrap w:val="0"/>
                  <w:vAlign w:val="center"/>
                </w:tcPr>
                <w:p w14:paraId="5170D2FA">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项目不涉及开采地下水</w:t>
                  </w:r>
                </w:p>
              </w:tc>
              <w:tc>
                <w:tcPr>
                  <w:tcW w:w="744" w:type="pct"/>
                  <w:noWrap w:val="0"/>
                  <w:vAlign w:val="center"/>
                </w:tcPr>
                <w:p w14:paraId="789A867C">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r w14:paraId="5536581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1790F190">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0256F9F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65CC2493">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23.到2025年，全市单位生产总值能耗消耗比2020年下降15%。</w:t>
                  </w:r>
                </w:p>
              </w:tc>
              <w:tc>
                <w:tcPr>
                  <w:tcW w:w="1022" w:type="pct"/>
                  <w:noWrap w:val="0"/>
                  <w:vAlign w:val="center"/>
                </w:tcPr>
                <w:p w14:paraId="3653BA74">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w:t>
                  </w:r>
                </w:p>
              </w:tc>
              <w:tc>
                <w:tcPr>
                  <w:tcW w:w="744" w:type="pct"/>
                  <w:noWrap w:val="0"/>
                  <w:vAlign w:val="center"/>
                </w:tcPr>
                <w:p w14:paraId="1CFF5B4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w:t>
                  </w:r>
                </w:p>
              </w:tc>
            </w:tr>
            <w:tr w14:paraId="507676E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center"/>
              </w:trPr>
              <w:tc>
                <w:tcPr>
                  <w:tcW w:w="397" w:type="pct"/>
                  <w:vMerge w:val="continue"/>
                  <w:noWrap w:val="0"/>
                  <w:vAlign w:val="center"/>
                </w:tcPr>
                <w:p w14:paraId="03667CAD">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398" w:type="pct"/>
                  <w:vMerge w:val="continue"/>
                  <w:noWrap w:val="0"/>
                  <w:vAlign w:val="center"/>
                </w:tcPr>
                <w:p w14:paraId="5CFA88DF">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p>
              </w:tc>
              <w:tc>
                <w:tcPr>
                  <w:tcW w:w="2437" w:type="pct"/>
                  <w:noWrap w:val="0"/>
                  <w:vAlign w:val="center"/>
                </w:tcPr>
                <w:p w14:paraId="296895B1">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24.禁止在禁燃区内新建、扩建、改建使用高污染燃料的项目，禁燃区的所有锅炉要按照使用规定全部淘汰或改造到位。</w:t>
                  </w:r>
                </w:p>
              </w:tc>
              <w:tc>
                <w:tcPr>
                  <w:tcW w:w="1022" w:type="pct"/>
                  <w:noWrap w:val="0"/>
                  <w:vAlign w:val="center"/>
                </w:tcPr>
                <w:p w14:paraId="7AC90DD8">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eastAsia"/>
                      <w:color w:val="000000" w:themeColor="text1"/>
                      <w:sz w:val="21"/>
                      <w:szCs w:val="21"/>
                      <w:highlight w:val="none"/>
                    </w:rPr>
                    <w:t>本</w:t>
                  </w:r>
                  <w:r>
                    <w:rPr>
                      <w:rFonts w:hint="default" w:ascii="Times New Roman" w:hAnsi="Times New Roman" w:eastAsia="宋体" w:cs="Times New Roman"/>
                      <w:color w:val="000000" w:themeColor="text1"/>
                      <w:spacing w:val="2"/>
                      <w:sz w:val="21"/>
                      <w:szCs w:val="21"/>
                      <w:highlight w:val="none"/>
                      <w:lang w:val="en-US" w:eastAsia="zh-CN"/>
                    </w:rPr>
                    <w:t>项目不涉及锅炉</w:t>
                  </w:r>
                </w:p>
              </w:tc>
              <w:tc>
                <w:tcPr>
                  <w:tcW w:w="744" w:type="pct"/>
                  <w:noWrap w:val="0"/>
                  <w:vAlign w:val="center"/>
                </w:tcPr>
                <w:p w14:paraId="7EFB6359">
                  <w:pPr>
                    <w:pStyle w:val="55"/>
                    <w:pageBreakBefore w:val="0"/>
                    <w:kinsoku/>
                    <w:overflowPunct/>
                    <w:topLinePunct w:val="0"/>
                    <w:bidi w:val="0"/>
                    <w:spacing w:line="240" w:lineRule="auto"/>
                    <w:ind w:left="0" w:firstLine="0" w:firstLineChars="0"/>
                    <w:rPr>
                      <w:rFonts w:hint="default" w:ascii="Times New Roman" w:hAnsi="Times New Roman" w:eastAsia="宋体" w:cs="Times New Roman"/>
                      <w:color w:val="000000" w:themeColor="text1"/>
                      <w:spacing w:val="2"/>
                      <w:sz w:val="21"/>
                      <w:szCs w:val="21"/>
                      <w:highlight w:val="none"/>
                      <w:lang w:val="en-US" w:eastAsia="zh-CN"/>
                    </w:rPr>
                  </w:pPr>
                  <w:r>
                    <w:rPr>
                      <w:rFonts w:hint="default" w:ascii="Times New Roman" w:hAnsi="Times New Roman" w:eastAsia="宋体" w:cs="Times New Roman"/>
                      <w:color w:val="000000" w:themeColor="text1"/>
                      <w:spacing w:val="2"/>
                      <w:sz w:val="21"/>
                      <w:szCs w:val="21"/>
                      <w:highlight w:val="none"/>
                      <w:lang w:val="en-US" w:eastAsia="zh-CN"/>
                    </w:rPr>
                    <w:t>符合</w:t>
                  </w:r>
                </w:p>
              </w:tc>
            </w:tr>
          </w:tbl>
          <w:p w14:paraId="53E61F45">
            <w:pPr>
              <w:keepNext w:val="0"/>
              <w:keepLines w:val="0"/>
              <w:pageBreakBefore w:val="0"/>
              <w:widowControl w:val="0"/>
              <w:tabs>
                <w:tab w:val="left" w:pos="0"/>
              </w:tabs>
              <w:kinsoku/>
              <w:wordWrap/>
              <w:overflowPunct/>
              <w:topLinePunct w:val="0"/>
              <w:autoSpaceDE w:val="0"/>
              <w:autoSpaceDN w:val="0"/>
              <w:bidi w:val="0"/>
              <w:adjustRightInd w:val="0"/>
              <w:snapToGrid w:val="0"/>
              <w:spacing w:before="157" w:beforeLines="50" w:line="240" w:lineRule="auto"/>
              <w:ind w:left="0" w:firstLine="0" w:firstLineChars="0"/>
              <w:jc w:val="center"/>
              <w:textAlignment w:val="auto"/>
              <w:rPr>
                <w:rFonts w:ascii="Times New Roman" w:hAnsi="Times New Roman" w:eastAsia="宋体" w:cs="Times New Roman"/>
                <w:b/>
                <w:bCs/>
                <w:color w:val="000000" w:themeColor="text1"/>
                <w:sz w:val="21"/>
                <w:szCs w:val="21"/>
                <w:highlight w:val="none"/>
              </w:rPr>
            </w:pPr>
            <w:r>
              <w:rPr>
                <w:b/>
                <w:bCs/>
                <w:color w:val="000000" w:themeColor="text1"/>
                <w:sz w:val="21"/>
                <w:szCs w:val="21"/>
                <w:highlight w:val="none"/>
              </w:rPr>
              <w:t>表1-</w:t>
            </w:r>
            <w:r>
              <w:rPr>
                <w:rFonts w:hint="eastAsia"/>
                <w:b/>
                <w:bCs/>
                <w:color w:val="000000" w:themeColor="text1"/>
                <w:sz w:val="21"/>
                <w:szCs w:val="21"/>
                <w:highlight w:val="none"/>
                <w:lang w:val="en-US" w:eastAsia="zh-CN"/>
              </w:rPr>
              <w:t>9</w:t>
            </w:r>
            <w:r>
              <w:rPr>
                <w:b/>
                <w:bCs/>
                <w:color w:val="000000" w:themeColor="text1"/>
                <w:sz w:val="21"/>
                <w:szCs w:val="21"/>
                <w:highlight w:val="none"/>
              </w:rPr>
              <w:t xml:space="preserve">  </w:t>
            </w:r>
            <w:r>
              <w:rPr>
                <w:rFonts w:hint="eastAsia" w:ascii="Times New Roman" w:hAnsi="Times New Roman" w:eastAsia="宋体" w:cs="Times New Roman"/>
                <w:b/>
                <w:bCs/>
                <w:color w:val="000000" w:themeColor="text1"/>
                <w:sz w:val="21"/>
                <w:szCs w:val="21"/>
                <w:highlight w:val="none"/>
                <w:lang w:val="en-US" w:eastAsia="zh-CN"/>
              </w:rPr>
              <w:t>与九江市“三线一单”分区管控单元生态环境准入清单相符性分析</w:t>
            </w:r>
          </w:p>
          <w:tbl>
            <w:tblPr>
              <w:tblStyle w:val="33"/>
              <w:tblW w:w="7876" w:type="dxa"/>
              <w:tblInd w:w="5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90"/>
              <w:gridCol w:w="573"/>
              <w:gridCol w:w="1437"/>
              <w:gridCol w:w="2279"/>
              <w:gridCol w:w="1947"/>
              <w:gridCol w:w="950"/>
            </w:tblGrid>
            <w:tr w14:paraId="527EA0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14633855">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环境管控单元编码</w:t>
                  </w:r>
                </w:p>
              </w:tc>
              <w:tc>
                <w:tcPr>
                  <w:tcW w:w="5176" w:type="dxa"/>
                  <w:gridSpan w:val="3"/>
                  <w:tcBorders>
                    <w:tl2br w:val="nil"/>
                    <w:tr2bl w:val="nil"/>
                  </w:tcBorders>
                  <w:noWrap/>
                  <w:tcMar>
                    <w:top w:w="0" w:type="dxa"/>
                    <w:left w:w="57" w:type="dxa"/>
                    <w:bottom w:w="0" w:type="dxa"/>
                    <w:right w:w="57" w:type="dxa"/>
                  </w:tcMar>
                  <w:vAlign w:val="center"/>
                </w:tcPr>
                <w:p w14:paraId="22D9605E">
                  <w:pPr>
                    <w:pStyle w:val="171"/>
                    <w:keepNext w:val="0"/>
                    <w:keepLines w:val="0"/>
                    <w:suppressLineNumbers w:val="0"/>
                    <w:spacing w:before="0" w:beforeAutospacing="0" w:after="0" w:afterAutospacing="0"/>
                    <w:ind w:left="0" w:leftChars="0" w:right="0"/>
                    <w:rPr>
                      <w:rFonts w:hint="default"/>
                      <w:color w:val="000000" w:themeColor="text1"/>
                    </w:rPr>
                  </w:pPr>
                  <w:r>
                    <w:rPr>
                      <w:rFonts w:hint="default"/>
                      <w:color w:val="000000" w:themeColor="text1"/>
                    </w:rPr>
                    <w:t>ZH36040420002</w:t>
                  </w:r>
                </w:p>
              </w:tc>
            </w:tr>
            <w:tr w14:paraId="68E0A9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4A47690B">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环境管控单元名称</w:t>
                  </w:r>
                </w:p>
              </w:tc>
              <w:tc>
                <w:tcPr>
                  <w:tcW w:w="5176" w:type="dxa"/>
                  <w:gridSpan w:val="3"/>
                  <w:tcBorders>
                    <w:tl2br w:val="nil"/>
                    <w:tr2bl w:val="nil"/>
                  </w:tcBorders>
                  <w:noWrap/>
                  <w:tcMar>
                    <w:top w:w="0" w:type="dxa"/>
                    <w:left w:w="57" w:type="dxa"/>
                    <w:bottom w:w="0" w:type="dxa"/>
                    <w:right w:w="57" w:type="dxa"/>
                  </w:tcMar>
                  <w:vAlign w:val="center"/>
                </w:tcPr>
                <w:p w14:paraId="5E275687">
                  <w:pPr>
                    <w:pStyle w:val="171"/>
                    <w:keepNext w:val="0"/>
                    <w:keepLines w:val="0"/>
                    <w:suppressLineNumbers w:val="0"/>
                    <w:spacing w:before="0" w:beforeAutospacing="0" w:after="0" w:afterAutospacing="0"/>
                    <w:ind w:left="0" w:leftChars="0" w:right="0"/>
                    <w:rPr>
                      <w:rFonts w:hint="eastAsia" w:eastAsia="宋体"/>
                      <w:color w:val="000000" w:themeColor="text1"/>
                      <w:lang w:eastAsia="zh-CN"/>
                    </w:rPr>
                  </w:pPr>
                  <w:r>
                    <w:rPr>
                      <w:rFonts w:hint="eastAsia"/>
                      <w:color w:val="000000" w:themeColor="text1"/>
                    </w:rPr>
                    <w:t>江西省九江市柴桑区重点管控单元</w:t>
                  </w:r>
                  <w:r>
                    <w:rPr>
                      <w:rFonts w:hint="eastAsia"/>
                      <w:color w:val="000000" w:themeColor="text1"/>
                      <w:lang w:val="en-US" w:eastAsia="zh-CN"/>
                    </w:rPr>
                    <w:t>2</w:t>
                  </w:r>
                </w:p>
              </w:tc>
            </w:tr>
            <w:tr w14:paraId="5A0FD8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0D3DBC77">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地理位置</w:t>
                  </w:r>
                </w:p>
              </w:tc>
              <w:tc>
                <w:tcPr>
                  <w:tcW w:w="5176" w:type="dxa"/>
                  <w:gridSpan w:val="3"/>
                  <w:tcBorders>
                    <w:tl2br w:val="nil"/>
                    <w:tr2bl w:val="nil"/>
                  </w:tcBorders>
                  <w:noWrap/>
                  <w:tcMar>
                    <w:top w:w="0" w:type="dxa"/>
                    <w:left w:w="57" w:type="dxa"/>
                    <w:bottom w:w="0" w:type="dxa"/>
                    <w:right w:w="57" w:type="dxa"/>
                  </w:tcMar>
                  <w:vAlign w:val="center"/>
                </w:tcPr>
                <w:p w14:paraId="28D8B6FE">
                  <w:pPr>
                    <w:pStyle w:val="171"/>
                    <w:keepNext w:val="0"/>
                    <w:keepLines w:val="0"/>
                    <w:suppressLineNumbers w:val="0"/>
                    <w:spacing w:before="0" w:beforeAutospacing="0" w:after="0" w:afterAutospacing="0"/>
                    <w:ind w:left="0" w:leftChars="0" w:right="0"/>
                    <w:rPr>
                      <w:rFonts w:hint="eastAsia"/>
                      <w:color w:val="000000" w:themeColor="text1"/>
                    </w:rPr>
                  </w:pPr>
                  <w:r>
                    <w:rPr>
                      <w:rFonts w:hint="eastAsia"/>
                      <w:color w:val="000000" w:themeColor="text1"/>
                    </w:rPr>
                    <w:t>江西省</w:t>
                  </w:r>
                  <w:r>
                    <w:rPr>
                      <w:rFonts w:hint="default"/>
                      <w:color w:val="000000" w:themeColor="text1"/>
                    </w:rPr>
                    <w:t>九江市柴桑区</w:t>
                  </w:r>
                </w:p>
              </w:tc>
            </w:tr>
            <w:tr w14:paraId="53896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1D53AA2B">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范围（乡、镇名称）</w:t>
                  </w:r>
                </w:p>
              </w:tc>
              <w:tc>
                <w:tcPr>
                  <w:tcW w:w="5176" w:type="dxa"/>
                  <w:gridSpan w:val="3"/>
                  <w:tcBorders>
                    <w:tl2br w:val="nil"/>
                    <w:tr2bl w:val="nil"/>
                  </w:tcBorders>
                  <w:noWrap/>
                  <w:tcMar>
                    <w:top w:w="0" w:type="dxa"/>
                    <w:left w:w="57" w:type="dxa"/>
                    <w:bottom w:w="0" w:type="dxa"/>
                    <w:right w:w="57" w:type="dxa"/>
                  </w:tcMar>
                  <w:vAlign w:val="center"/>
                </w:tcPr>
                <w:p w14:paraId="6676F0B9">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赤湖工业园</w:t>
                  </w:r>
                </w:p>
              </w:tc>
            </w:tr>
            <w:tr w14:paraId="16C6A8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7E9FE6DD">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管控单元分类</w:t>
                  </w:r>
                </w:p>
              </w:tc>
              <w:tc>
                <w:tcPr>
                  <w:tcW w:w="5176" w:type="dxa"/>
                  <w:gridSpan w:val="3"/>
                  <w:tcBorders>
                    <w:tl2br w:val="nil"/>
                    <w:tr2bl w:val="nil"/>
                  </w:tcBorders>
                  <w:noWrap/>
                  <w:tcMar>
                    <w:top w:w="0" w:type="dxa"/>
                    <w:left w:w="57" w:type="dxa"/>
                    <w:bottom w:w="0" w:type="dxa"/>
                    <w:right w:w="57" w:type="dxa"/>
                  </w:tcMar>
                  <w:vAlign w:val="center"/>
                </w:tcPr>
                <w:p w14:paraId="6995E05E">
                  <w:pPr>
                    <w:pStyle w:val="171"/>
                    <w:keepNext w:val="0"/>
                    <w:keepLines w:val="0"/>
                    <w:suppressLineNumbers w:val="0"/>
                    <w:spacing w:before="0" w:beforeAutospacing="0" w:after="0" w:afterAutospacing="0"/>
                    <w:ind w:left="0" w:leftChars="0" w:right="0"/>
                    <w:rPr>
                      <w:rFonts w:hint="eastAsia"/>
                      <w:color w:val="000000" w:themeColor="text1"/>
                    </w:rPr>
                  </w:pPr>
                  <w:r>
                    <w:rPr>
                      <w:rFonts w:hint="eastAsia"/>
                      <w:color w:val="000000" w:themeColor="text1"/>
                    </w:rPr>
                    <w:t>重点管控单元</w:t>
                  </w:r>
                </w:p>
              </w:tc>
            </w:tr>
            <w:tr w14:paraId="2D762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700" w:type="dxa"/>
                  <w:gridSpan w:val="3"/>
                  <w:tcBorders>
                    <w:tl2br w:val="nil"/>
                    <w:tr2bl w:val="nil"/>
                  </w:tcBorders>
                  <w:noWrap/>
                  <w:tcMar>
                    <w:top w:w="0" w:type="dxa"/>
                    <w:left w:w="57" w:type="dxa"/>
                    <w:bottom w:w="0" w:type="dxa"/>
                    <w:right w:w="57" w:type="dxa"/>
                  </w:tcMar>
                  <w:vAlign w:val="center"/>
                </w:tcPr>
                <w:p w14:paraId="2661F570">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单元特征</w:t>
                  </w:r>
                </w:p>
              </w:tc>
              <w:tc>
                <w:tcPr>
                  <w:tcW w:w="5176" w:type="dxa"/>
                  <w:gridSpan w:val="3"/>
                  <w:tcBorders>
                    <w:tl2br w:val="nil"/>
                    <w:tr2bl w:val="nil"/>
                  </w:tcBorders>
                  <w:noWrap/>
                  <w:tcMar>
                    <w:top w:w="0" w:type="dxa"/>
                    <w:left w:w="57" w:type="dxa"/>
                    <w:bottom w:w="0" w:type="dxa"/>
                    <w:right w:w="57" w:type="dxa"/>
                  </w:tcMar>
                  <w:vAlign w:val="center"/>
                </w:tcPr>
                <w:p w14:paraId="4A53A632">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主要为柴桑工业园区各片区</w:t>
                  </w:r>
                </w:p>
              </w:tc>
            </w:tr>
            <w:tr w14:paraId="754B5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tcBorders>
                    <w:tl2br w:val="nil"/>
                    <w:tr2bl w:val="nil"/>
                  </w:tcBorders>
                  <w:noWrap/>
                  <w:tcMar>
                    <w:top w:w="0" w:type="dxa"/>
                    <w:left w:w="57" w:type="dxa"/>
                    <w:bottom w:w="0" w:type="dxa"/>
                    <w:right w:w="57" w:type="dxa"/>
                  </w:tcMar>
                  <w:vAlign w:val="center"/>
                </w:tcPr>
                <w:p w14:paraId="63C2C26D">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维度</w:t>
                  </w:r>
                </w:p>
              </w:tc>
              <w:tc>
                <w:tcPr>
                  <w:tcW w:w="2010" w:type="dxa"/>
                  <w:gridSpan w:val="2"/>
                  <w:tcBorders>
                    <w:tl2br w:val="nil"/>
                    <w:tr2bl w:val="nil"/>
                  </w:tcBorders>
                  <w:noWrap/>
                  <w:tcMar>
                    <w:top w:w="0" w:type="dxa"/>
                    <w:left w:w="57" w:type="dxa"/>
                    <w:bottom w:w="0" w:type="dxa"/>
                    <w:right w:w="57" w:type="dxa"/>
                  </w:tcMar>
                  <w:vAlign w:val="center"/>
                </w:tcPr>
                <w:p w14:paraId="2B4722D7">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清单编制要求</w:t>
                  </w:r>
                </w:p>
              </w:tc>
              <w:tc>
                <w:tcPr>
                  <w:tcW w:w="2279" w:type="dxa"/>
                  <w:tcBorders>
                    <w:tl2br w:val="nil"/>
                    <w:tr2bl w:val="nil"/>
                  </w:tcBorders>
                  <w:noWrap/>
                  <w:tcMar>
                    <w:top w:w="0" w:type="dxa"/>
                    <w:left w:w="57" w:type="dxa"/>
                    <w:bottom w:w="0" w:type="dxa"/>
                    <w:right w:w="57" w:type="dxa"/>
                  </w:tcMar>
                  <w:vAlign w:val="center"/>
                </w:tcPr>
                <w:p w14:paraId="1805438F">
                  <w:pPr>
                    <w:pStyle w:val="171"/>
                    <w:keepNext w:val="0"/>
                    <w:keepLines w:val="0"/>
                    <w:suppressLineNumbers w:val="0"/>
                    <w:spacing w:before="0" w:beforeAutospacing="0" w:after="0" w:afterAutospacing="0"/>
                    <w:ind w:left="0" w:leftChars="0" w:right="0"/>
                    <w:rPr>
                      <w:rFonts w:hint="default"/>
                      <w:b/>
                      <w:bCs/>
                      <w:color w:val="000000" w:themeColor="text1"/>
                    </w:rPr>
                  </w:pPr>
                  <w:r>
                    <w:rPr>
                      <w:rFonts w:hint="eastAsia"/>
                      <w:b/>
                      <w:bCs/>
                      <w:color w:val="000000" w:themeColor="text1"/>
                    </w:rPr>
                    <w:t>生态环境准入要求</w:t>
                  </w:r>
                </w:p>
              </w:tc>
              <w:tc>
                <w:tcPr>
                  <w:tcW w:w="1947" w:type="dxa"/>
                  <w:tcBorders>
                    <w:tl2br w:val="nil"/>
                    <w:tr2bl w:val="nil"/>
                  </w:tcBorders>
                  <w:noWrap/>
                  <w:tcMar>
                    <w:top w:w="0" w:type="dxa"/>
                    <w:left w:w="57" w:type="dxa"/>
                    <w:bottom w:w="0" w:type="dxa"/>
                    <w:right w:w="57" w:type="dxa"/>
                  </w:tcMar>
                  <w:vAlign w:val="center"/>
                </w:tcPr>
                <w:p w14:paraId="602E8B0D">
                  <w:pPr>
                    <w:pStyle w:val="171"/>
                    <w:keepNext w:val="0"/>
                    <w:keepLines w:val="0"/>
                    <w:suppressLineNumbers w:val="0"/>
                    <w:spacing w:before="0" w:beforeAutospacing="0" w:after="0" w:afterAutospacing="0"/>
                    <w:ind w:left="0" w:leftChars="0" w:right="0"/>
                    <w:rPr>
                      <w:rFonts w:hint="default" w:eastAsia="宋体"/>
                      <w:b/>
                      <w:bCs/>
                      <w:color w:val="000000" w:themeColor="text1"/>
                      <w:lang w:val="en-US" w:eastAsia="zh-CN"/>
                    </w:rPr>
                  </w:pPr>
                  <w:r>
                    <w:rPr>
                      <w:rFonts w:hint="eastAsia"/>
                      <w:b/>
                      <w:bCs/>
                      <w:color w:val="000000" w:themeColor="text1"/>
                      <w:lang w:val="en-US" w:eastAsia="zh-CN"/>
                    </w:rPr>
                    <w:t>项目情况</w:t>
                  </w:r>
                </w:p>
              </w:tc>
              <w:tc>
                <w:tcPr>
                  <w:tcW w:w="950" w:type="dxa"/>
                  <w:tcBorders>
                    <w:tl2br w:val="nil"/>
                    <w:tr2bl w:val="nil"/>
                  </w:tcBorders>
                  <w:noWrap/>
                  <w:tcMar>
                    <w:top w:w="0" w:type="dxa"/>
                    <w:left w:w="57" w:type="dxa"/>
                    <w:bottom w:w="0" w:type="dxa"/>
                    <w:right w:w="57" w:type="dxa"/>
                  </w:tcMar>
                  <w:vAlign w:val="center"/>
                </w:tcPr>
                <w:p w14:paraId="676711C6">
                  <w:pPr>
                    <w:pStyle w:val="171"/>
                    <w:keepNext w:val="0"/>
                    <w:keepLines w:val="0"/>
                    <w:suppressLineNumbers w:val="0"/>
                    <w:spacing w:before="0" w:beforeAutospacing="0" w:after="0" w:afterAutospacing="0"/>
                    <w:ind w:left="0" w:leftChars="0" w:right="0"/>
                    <w:rPr>
                      <w:rFonts w:hint="eastAsia" w:eastAsia="宋体"/>
                      <w:b/>
                      <w:bCs/>
                      <w:color w:val="000000" w:themeColor="text1"/>
                      <w:lang w:val="en-US" w:eastAsia="zh-CN"/>
                    </w:rPr>
                  </w:pPr>
                  <w:r>
                    <w:rPr>
                      <w:rFonts w:hint="eastAsia"/>
                      <w:b/>
                      <w:bCs/>
                      <w:color w:val="000000" w:themeColor="text1"/>
                      <w:lang w:val="en-US" w:eastAsia="zh-CN"/>
                    </w:rPr>
                    <w:t>符合性</w:t>
                  </w:r>
                </w:p>
              </w:tc>
            </w:tr>
            <w:tr w14:paraId="769BAF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restart"/>
                  <w:tcBorders>
                    <w:tl2br w:val="nil"/>
                    <w:tr2bl w:val="nil"/>
                  </w:tcBorders>
                  <w:noWrap/>
                  <w:tcMar>
                    <w:top w:w="0" w:type="dxa"/>
                    <w:left w:w="57" w:type="dxa"/>
                    <w:bottom w:w="0" w:type="dxa"/>
                    <w:right w:w="57" w:type="dxa"/>
                  </w:tcMar>
                  <w:vAlign w:val="center"/>
                </w:tcPr>
                <w:p w14:paraId="639B6891">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空间布局约束</w:t>
                  </w:r>
                </w:p>
              </w:tc>
              <w:tc>
                <w:tcPr>
                  <w:tcW w:w="2010" w:type="dxa"/>
                  <w:gridSpan w:val="2"/>
                  <w:tcBorders>
                    <w:tl2br w:val="nil"/>
                    <w:tr2bl w:val="nil"/>
                  </w:tcBorders>
                  <w:noWrap/>
                  <w:tcMar>
                    <w:top w:w="0" w:type="dxa"/>
                    <w:left w:w="57" w:type="dxa"/>
                    <w:bottom w:w="0" w:type="dxa"/>
                    <w:right w:w="57" w:type="dxa"/>
                  </w:tcMar>
                  <w:vAlign w:val="center"/>
                </w:tcPr>
                <w:p w14:paraId="71E25A23">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禁止开发建设活动的要求</w:t>
                  </w:r>
                </w:p>
              </w:tc>
              <w:tc>
                <w:tcPr>
                  <w:tcW w:w="2279" w:type="dxa"/>
                  <w:tcBorders>
                    <w:tl2br w:val="nil"/>
                    <w:tr2bl w:val="nil"/>
                  </w:tcBorders>
                  <w:noWrap/>
                  <w:tcMar>
                    <w:top w:w="0" w:type="dxa"/>
                    <w:left w:w="57" w:type="dxa"/>
                    <w:bottom w:w="0" w:type="dxa"/>
                    <w:right w:w="57" w:type="dxa"/>
                  </w:tcMar>
                  <w:vAlign w:val="center"/>
                </w:tcPr>
                <w:p w14:paraId="4EC4F539">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1E0DEAE1">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5E1A7BED">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w:t>
                  </w:r>
                </w:p>
              </w:tc>
            </w:tr>
            <w:tr w14:paraId="771FE7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4B901D99">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2C0AD0F8">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限制开发建设活动的要求</w:t>
                  </w:r>
                </w:p>
              </w:tc>
              <w:tc>
                <w:tcPr>
                  <w:tcW w:w="2279" w:type="dxa"/>
                  <w:tcBorders>
                    <w:tl2br w:val="nil"/>
                    <w:tr2bl w:val="nil"/>
                  </w:tcBorders>
                  <w:noWrap/>
                  <w:tcMar>
                    <w:top w:w="0" w:type="dxa"/>
                    <w:left w:w="57" w:type="dxa"/>
                    <w:bottom w:w="0" w:type="dxa"/>
                    <w:right w:w="57" w:type="dxa"/>
                  </w:tcMar>
                  <w:vAlign w:val="center"/>
                </w:tcPr>
                <w:p w14:paraId="725D24B7">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718AF075">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5AB3D626">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w:t>
                  </w:r>
                </w:p>
              </w:tc>
            </w:tr>
            <w:tr w14:paraId="0FE074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34A39D64">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1AB7BDF1">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lang w:val="en-US" w:eastAsia="zh-CN"/>
                    </w:rPr>
                    <w:t>允许</w:t>
                  </w:r>
                  <w:r>
                    <w:rPr>
                      <w:rFonts w:hint="eastAsia"/>
                      <w:color w:val="000000" w:themeColor="text1"/>
                    </w:rPr>
                    <w:t>开发建设活动的要求</w:t>
                  </w:r>
                </w:p>
              </w:tc>
              <w:tc>
                <w:tcPr>
                  <w:tcW w:w="2279" w:type="dxa"/>
                  <w:tcBorders>
                    <w:tl2br w:val="nil"/>
                    <w:tr2bl w:val="nil"/>
                  </w:tcBorders>
                  <w:noWrap/>
                  <w:tcMar>
                    <w:top w:w="0" w:type="dxa"/>
                    <w:left w:w="57" w:type="dxa"/>
                    <w:bottom w:w="0" w:type="dxa"/>
                    <w:right w:w="57" w:type="dxa"/>
                  </w:tcMar>
                  <w:vAlign w:val="center"/>
                </w:tcPr>
                <w:p w14:paraId="5CBF185D">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涉及河湖（含水库）管理范围的按照相关法律法规执行。</w:t>
                  </w:r>
                </w:p>
              </w:tc>
              <w:tc>
                <w:tcPr>
                  <w:tcW w:w="1947" w:type="dxa"/>
                  <w:tcBorders>
                    <w:tl2br w:val="nil"/>
                    <w:tr2bl w:val="nil"/>
                  </w:tcBorders>
                  <w:noWrap/>
                  <w:tcMar>
                    <w:top w:w="0" w:type="dxa"/>
                    <w:left w:w="57" w:type="dxa"/>
                    <w:bottom w:w="0" w:type="dxa"/>
                    <w:right w:w="57" w:type="dxa"/>
                  </w:tcMar>
                  <w:vAlign w:val="center"/>
                </w:tcPr>
                <w:p w14:paraId="12E22C56">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sz w:val="21"/>
                      <w:szCs w:val="21"/>
                      <w:highlight w:val="none"/>
                    </w:rPr>
                    <w:t>本</w:t>
                  </w:r>
                  <w:r>
                    <w:rPr>
                      <w:rFonts w:hint="eastAsia" w:eastAsia="宋体"/>
                      <w:color w:val="000000" w:themeColor="text1"/>
                      <w:lang w:val="en-US" w:eastAsia="zh-CN"/>
                    </w:rPr>
                    <w:t>项目不涉及河湖管理范围</w:t>
                  </w:r>
                </w:p>
              </w:tc>
              <w:tc>
                <w:tcPr>
                  <w:tcW w:w="950" w:type="dxa"/>
                  <w:tcBorders>
                    <w:tl2br w:val="nil"/>
                    <w:tr2bl w:val="nil"/>
                  </w:tcBorders>
                  <w:noWrap/>
                  <w:tcMar>
                    <w:top w:w="0" w:type="dxa"/>
                    <w:left w:w="57" w:type="dxa"/>
                    <w:bottom w:w="0" w:type="dxa"/>
                    <w:right w:w="57" w:type="dxa"/>
                  </w:tcMar>
                  <w:vAlign w:val="center"/>
                </w:tcPr>
                <w:p w14:paraId="7DECBE8E">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符合</w:t>
                  </w:r>
                </w:p>
              </w:tc>
            </w:tr>
            <w:tr w14:paraId="0ADB91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44BAB62B">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50CEF604">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不符合空间布局要求活动的退出要求</w:t>
                  </w:r>
                </w:p>
              </w:tc>
              <w:tc>
                <w:tcPr>
                  <w:tcW w:w="2279" w:type="dxa"/>
                  <w:tcBorders>
                    <w:tl2br w:val="nil"/>
                    <w:tr2bl w:val="nil"/>
                  </w:tcBorders>
                  <w:noWrap/>
                  <w:tcMar>
                    <w:top w:w="0" w:type="dxa"/>
                    <w:left w:w="57" w:type="dxa"/>
                    <w:bottom w:w="0" w:type="dxa"/>
                    <w:right w:w="57" w:type="dxa"/>
                  </w:tcMar>
                  <w:vAlign w:val="center"/>
                </w:tcPr>
                <w:p w14:paraId="04899797">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现有超标严重治理无望的企业限期退出。</w:t>
                  </w:r>
                </w:p>
              </w:tc>
              <w:tc>
                <w:tcPr>
                  <w:tcW w:w="1947" w:type="dxa"/>
                  <w:tcBorders>
                    <w:tl2br w:val="nil"/>
                    <w:tr2bl w:val="nil"/>
                  </w:tcBorders>
                  <w:noWrap/>
                  <w:tcMar>
                    <w:top w:w="0" w:type="dxa"/>
                    <w:left w:w="57" w:type="dxa"/>
                    <w:bottom w:w="0" w:type="dxa"/>
                    <w:right w:w="57" w:type="dxa"/>
                  </w:tcMar>
                  <w:vAlign w:val="center"/>
                </w:tcPr>
                <w:p w14:paraId="02F12A89">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sz w:val="21"/>
                      <w:szCs w:val="21"/>
                      <w:highlight w:val="none"/>
                    </w:rPr>
                    <w:t>本</w:t>
                  </w:r>
                  <w:r>
                    <w:rPr>
                      <w:rFonts w:hint="eastAsia" w:eastAsia="宋体"/>
                      <w:color w:val="000000" w:themeColor="text1"/>
                      <w:lang w:val="en-US" w:eastAsia="zh-CN"/>
                    </w:rPr>
                    <w:t>项目</w:t>
                  </w:r>
                  <w:r>
                    <w:rPr>
                      <w:rFonts w:hint="eastAsia"/>
                      <w:color w:val="000000" w:themeColor="text1"/>
                      <w:lang w:val="en-US" w:eastAsia="zh-CN"/>
                    </w:rPr>
                    <w:t>现有工程</w:t>
                  </w:r>
                  <w:r>
                    <w:rPr>
                      <w:rFonts w:hint="eastAsia" w:eastAsia="宋体"/>
                      <w:color w:val="000000" w:themeColor="text1"/>
                      <w:lang w:val="en-US" w:eastAsia="zh-CN"/>
                    </w:rPr>
                    <w:t>污染物</w:t>
                  </w:r>
                  <w:r>
                    <w:rPr>
                      <w:rFonts w:hint="eastAsia"/>
                      <w:color w:val="000000" w:themeColor="text1"/>
                      <w:lang w:val="en-US" w:eastAsia="zh-CN"/>
                    </w:rPr>
                    <w:t>均</w:t>
                  </w:r>
                  <w:r>
                    <w:rPr>
                      <w:rFonts w:hint="eastAsia" w:eastAsia="宋体"/>
                      <w:color w:val="000000" w:themeColor="text1"/>
                      <w:lang w:val="en-US" w:eastAsia="zh-CN"/>
                    </w:rPr>
                    <w:t>达标</w:t>
                  </w:r>
                  <w:r>
                    <w:rPr>
                      <w:rFonts w:hint="eastAsia"/>
                      <w:color w:val="000000" w:themeColor="text1"/>
                      <w:lang w:val="en-US" w:eastAsia="zh-CN"/>
                    </w:rPr>
                    <w:t>排放</w:t>
                  </w:r>
                </w:p>
              </w:tc>
              <w:tc>
                <w:tcPr>
                  <w:tcW w:w="950" w:type="dxa"/>
                  <w:tcBorders>
                    <w:tl2br w:val="nil"/>
                    <w:tr2bl w:val="nil"/>
                  </w:tcBorders>
                  <w:noWrap/>
                  <w:tcMar>
                    <w:top w:w="0" w:type="dxa"/>
                    <w:left w:w="57" w:type="dxa"/>
                    <w:bottom w:w="0" w:type="dxa"/>
                    <w:right w:w="57" w:type="dxa"/>
                  </w:tcMar>
                  <w:vAlign w:val="center"/>
                </w:tcPr>
                <w:p w14:paraId="4F1E2395">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符合</w:t>
                  </w:r>
                </w:p>
              </w:tc>
            </w:tr>
            <w:tr w14:paraId="338CAC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3A7EEA31">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3E9DBA13">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其他空间布局约束要求</w:t>
                  </w:r>
                </w:p>
              </w:tc>
              <w:tc>
                <w:tcPr>
                  <w:tcW w:w="2279" w:type="dxa"/>
                  <w:tcBorders>
                    <w:tl2br w:val="nil"/>
                    <w:tr2bl w:val="nil"/>
                  </w:tcBorders>
                  <w:noWrap/>
                  <w:tcMar>
                    <w:top w:w="0" w:type="dxa"/>
                    <w:left w:w="57" w:type="dxa"/>
                    <w:bottom w:w="0" w:type="dxa"/>
                    <w:right w:w="57" w:type="dxa"/>
                  </w:tcMar>
                  <w:vAlign w:val="center"/>
                </w:tcPr>
                <w:p w14:paraId="5E1677D7">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6E76D4FE">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6E97EF03">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r w14:paraId="3E6D8A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restart"/>
                  <w:tcBorders>
                    <w:tl2br w:val="nil"/>
                    <w:tr2bl w:val="nil"/>
                  </w:tcBorders>
                  <w:noWrap/>
                  <w:tcMar>
                    <w:top w:w="0" w:type="dxa"/>
                    <w:left w:w="57" w:type="dxa"/>
                    <w:bottom w:w="0" w:type="dxa"/>
                    <w:right w:w="57" w:type="dxa"/>
                  </w:tcMar>
                  <w:vAlign w:val="center"/>
                </w:tcPr>
                <w:p w14:paraId="4C50F731">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污染物排放管控</w:t>
                  </w:r>
                </w:p>
              </w:tc>
              <w:tc>
                <w:tcPr>
                  <w:tcW w:w="2010" w:type="dxa"/>
                  <w:gridSpan w:val="2"/>
                  <w:tcBorders>
                    <w:tl2br w:val="nil"/>
                    <w:tr2bl w:val="nil"/>
                  </w:tcBorders>
                  <w:noWrap/>
                  <w:tcMar>
                    <w:top w:w="0" w:type="dxa"/>
                    <w:left w:w="57" w:type="dxa"/>
                    <w:bottom w:w="0" w:type="dxa"/>
                    <w:right w:w="57" w:type="dxa"/>
                  </w:tcMar>
                  <w:vAlign w:val="center"/>
                </w:tcPr>
                <w:p w14:paraId="40BCC5B9">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现有源提标升级改造</w:t>
                  </w:r>
                </w:p>
              </w:tc>
              <w:tc>
                <w:tcPr>
                  <w:tcW w:w="2279" w:type="dxa"/>
                  <w:tcBorders>
                    <w:tl2br w:val="nil"/>
                    <w:tr2bl w:val="nil"/>
                  </w:tcBorders>
                  <w:noWrap/>
                  <w:tcMar>
                    <w:top w:w="0" w:type="dxa"/>
                    <w:left w:w="57" w:type="dxa"/>
                    <w:bottom w:w="0" w:type="dxa"/>
                    <w:right w:w="57" w:type="dxa"/>
                  </w:tcMar>
                  <w:vAlign w:val="center"/>
                </w:tcPr>
                <w:p w14:paraId="4A5821B1">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工业园区现有企业需预处理达到污水集中处理设施接管标准</w:t>
                  </w:r>
                </w:p>
              </w:tc>
              <w:tc>
                <w:tcPr>
                  <w:tcW w:w="1947" w:type="dxa"/>
                  <w:tcBorders>
                    <w:tl2br w:val="nil"/>
                    <w:tr2bl w:val="nil"/>
                  </w:tcBorders>
                  <w:noWrap/>
                  <w:tcMar>
                    <w:top w:w="0" w:type="dxa"/>
                    <w:left w:w="57" w:type="dxa"/>
                    <w:bottom w:w="0" w:type="dxa"/>
                    <w:right w:w="57" w:type="dxa"/>
                  </w:tcMar>
                  <w:vAlign w:val="center"/>
                </w:tcPr>
                <w:p w14:paraId="010A8F0D">
                  <w:pPr>
                    <w:pStyle w:val="171"/>
                    <w:keepNext w:val="0"/>
                    <w:keepLines w:val="0"/>
                    <w:suppressLineNumbers w:val="0"/>
                    <w:spacing w:before="0" w:beforeAutospacing="0" w:after="0" w:afterAutospacing="0"/>
                    <w:ind w:left="0" w:leftChars="0" w:right="0" w:rightChars="0"/>
                    <w:rPr>
                      <w:rFonts w:hint="default" w:eastAsia="宋体"/>
                      <w:color w:val="000000" w:themeColor="text1"/>
                      <w:lang w:val="en-US"/>
                    </w:rPr>
                  </w:pPr>
                  <w:r>
                    <w:rPr>
                      <w:rFonts w:hint="eastAsia" w:ascii="Times New Roman" w:hAnsi="Times New Roman" w:eastAsia="宋体" w:cs="Times New Roman"/>
                      <w:color w:val="000000" w:themeColor="text1"/>
                      <w:sz w:val="21"/>
                      <w:szCs w:val="21"/>
                      <w:highlight w:val="none"/>
                      <w:lang w:val="en-US" w:eastAsia="zh-CN"/>
                    </w:rPr>
                    <w:t>本项目废水为地面清洗水，经厂内化粪池处理后通过园区管网汇入赤湖工业园污水处理厂深度处理，经赤湖工业园污水处理厂</w:t>
                  </w:r>
                  <w:r>
                    <w:rPr>
                      <w:rFonts w:hint="default" w:ascii="Times New Roman" w:hAnsi="Times New Roman" w:eastAsia="宋体" w:cs="Times New Roman"/>
                      <w:color w:val="000000" w:themeColor="text1"/>
                      <w:sz w:val="21"/>
                      <w:szCs w:val="21"/>
                      <w:highlight w:val="none"/>
                      <w:lang w:val="en-US" w:eastAsia="zh-CN"/>
                    </w:rPr>
                    <w:t>处理</w:t>
                  </w:r>
                  <w:r>
                    <w:rPr>
                      <w:rFonts w:hint="eastAsia" w:cs="Times New Roman"/>
                      <w:color w:val="000000" w:themeColor="text1"/>
                      <w:sz w:val="21"/>
                      <w:szCs w:val="21"/>
                      <w:highlight w:val="none"/>
                      <w:lang w:val="en-US" w:eastAsia="zh-CN"/>
                    </w:rPr>
                    <w:t>达到</w:t>
                  </w:r>
                  <w:r>
                    <w:rPr>
                      <w:rFonts w:hint="default" w:ascii="Times New Roman" w:hAnsi="Times New Roman" w:eastAsia="宋体" w:cs="Times New Roman"/>
                      <w:color w:val="000000" w:themeColor="text1"/>
                      <w:sz w:val="21"/>
                      <w:szCs w:val="21"/>
                      <w:highlight w:val="none"/>
                      <w:lang w:val="en-US" w:eastAsia="zh-CN"/>
                    </w:rPr>
                    <w:t>《城镇污水处理厂污染物排放标准》（GB18918-2002）中的</w:t>
                  </w:r>
                  <w:r>
                    <w:rPr>
                      <w:rFonts w:hint="eastAsia" w:cs="Times New Roman"/>
                      <w:color w:val="000000" w:themeColor="text1"/>
                      <w:sz w:val="21"/>
                      <w:szCs w:val="21"/>
                      <w:highlight w:val="none"/>
                      <w:lang w:val="en-US" w:eastAsia="zh-CN"/>
                    </w:rPr>
                    <w:t>一级A</w:t>
                  </w:r>
                  <w:r>
                    <w:rPr>
                      <w:rFonts w:hint="default" w:ascii="Times New Roman" w:hAnsi="Times New Roman" w:eastAsia="宋体" w:cs="Times New Roman"/>
                      <w:color w:val="000000" w:themeColor="text1"/>
                      <w:sz w:val="21"/>
                      <w:szCs w:val="21"/>
                      <w:highlight w:val="none"/>
                      <w:lang w:val="en-US" w:eastAsia="zh-CN"/>
                    </w:rPr>
                    <w:t>标准后，最终排入长江</w:t>
                  </w:r>
                  <w:r>
                    <w:rPr>
                      <w:rFonts w:hint="eastAsia" w:ascii="Times New Roman" w:hAnsi="Times New Roman" w:eastAsia="宋体" w:cs="Times New Roman"/>
                      <w:color w:val="000000" w:themeColor="text1"/>
                      <w:sz w:val="21"/>
                      <w:szCs w:val="21"/>
                      <w:highlight w:val="none"/>
                      <w:lang w:val="en-US" w:eastAsia="zh-CN"/>
                    </w:rPr>
                    <w:t>。</w:t>
                  </w:r>
                </w:p>
              </w:tc>
              <w:tc>
                <w:tcPr>
                  <w:tcW w:w="950" w:type="dxa"/>
                  <w:tcBorders>
                    <w:tl2br w:val="nil"/>
                    <w:tr2bl w:val="nil"/>
                  </w:tcBorders>
                  <w:noWrap/>
                  <w:tcMar>
                    <w:top w:w="0" w:type="dxa"/>
                    <w:left w:w="57" w:type="dxa"/>
                    <w:bottom w:w="0" w:type="dxa"/>
                    <w:right w:w="57" w:type="dxa"/>
                  </w:tcMar>
                  <w:vAlign w:val="center"/>
                </w:tcPr>
                <w:p w14:paraId="05F8A10E">
                  <w:pPr>
                    <w:pStyle w:val="171"/>
                    <w:keepNext w:val="0"/>
                    <w:keepLines w:val="0"/>
                    <w:suppressLineNumbers w:val="0"/>
                    <w:spacing w:before="0" w:beforeAutospacing="0" w:after="0" w:afterAutospacing="0"/>
                    <w:ind w:left="0" w:leftChars="0" w:right="0" w:rightChars="0"/>
                    <w:rPr>
                      <w:rFonts w:hint="default" w:eastAsia="宋体"/>
                      <w:color w:val="000000" w:themeColor="text1"/>
                    </w:rPr>
                  </w:pPr>
                  <w:r>
                    <w:rPr>
                      <w:rFonts w:hint="eastAsia" w:eastAsia="宋体"/>
                      <w:color w:val="000000" w:themeColor="text1"/>
                      <w:lang w:val="en-US" w:eastAsia="zh-CN"/>
                    </w:rPr>
                    <w:t>符合</w:t>
                  </w:r>
                </w:p>
              </w:tc>
            </w:tr>
            <w:tr w14:paraId="349A6F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1CFD407C">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72196FEF">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新增源等量或倍量替代</w:t>
                  </w:r>
                </w:p>
              </w:tc>
              <w:tc>
                <w:tcPr>
                  <w:tcW w:w="2279" w:type="dxa"/>
                  <w:tcBorders>
                    <w:tl2br w:val="nil"/>
                    <w:tr2bl w:val="nil"/>
                  </w:tcBorders>
                  <w:noWrap/>
                  <w:tcMar>
                    <w:top w:w="0" w:type="dxa"/>
                    <w:left w:w="57" w:type="dxa"/>
                    <w:bottom w:w="0" w:type="dxa"/>
                    <w:right w:w="57" w:type="dxa"/>
                  </w:tcMar>
                  <w:vAlign w:val="center"/>
                </w:tcPr>
                <w:p w14:paraId="29414328">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新建项目污染物排放量应实施区域平衡，区域污染物排放总量不增加。</w:t>
                  </w:r>
                </w:p>
              </w:tc>
              <w:tc>
                <w:tcPr>
                  <w:tcW w:w="1947" w:type="dxa"/>
                  <w:tcBorders>
                    <w:tl2br w:val="nil"/>
                    <w:tr2bl w:val="nil"/>
                  </w:tcBorders>
                  <w:noWrap/>
                  <w:tcMar>
                    <w:top w:w="0" w:type="dxa"/>
                    <w:left w:w="57" w:type="dxa"/>
                    <w:bottom w:w="0" w:type="dxa"/>
                    <w:right w:w="57" w:type="dxa"/>
                  </w:tcMar>
                  <w:vAlign w:val="center"/>
                </w:tcPr>
                <w:p w14:paraId="72C5AB6E">
                  <w:pPr>
                    <w:pStyle w:val="171"/>
                    <w:keepNext w:val="0"/>
                    <w:keepLines w:val="0"/>
                    <w:suppressLineNumbers w:val="0"/>
                    <w:spacing w:before="0" w:beforeAutospacing="0" w:after="0" w:afterAutospacing="0"/>
                    <w:ind w:left="0" w:leftChars="0" w:right="0" w:rightChars="0"/>
                    <w:rPr>
                      <w:rFonts w:hint="default" w:eastAsia="宋体"/>
                      <w:color w:val="000000" w:themeColor="text1"/>
                      <w:lang w:val="en-US"/>
                    </w:rPr>
                  </w:pPr>
                  <w:r>
                    <w:rPr>
                      <w:rFonts w:hint="default"/>
                      <w:color w:val="000000" w:themeColor="text1"/>
                      <w:lang w:val="en-US" w:eastAsia="zh-CN"/>
                    </w:rPr>
                    <w:t>区域污染物排放总量不增加</w:t>
                  </w:r>
                </w:p>
              </w:tc>
              <w:tc>
                <w:tcPr>
                  <w:tcW w:w="950" w:type="dxa"/>
                  <w:tcBorders>
                    <w:tl2br w:val="nil"/>
                    <w:tr2bl w:val="nil"/>
                  </w:tcBorders>
                  <w:noWrap/>
                  <w:tcMar>
                    <w:top w:w="0" w:type="dxa"/>
                    <w:left w:w="57" w:type="dxa"/>
                    <w:bottom w:w="0" w:type="dxa"/>
                    <w:right w:w="57" w:type="dxa"/>
                  </w:tcMar>
                  <w:vAlign w:val="center"/>
                </w:tcPr>
                <w:p w14:paraId="2730F25F">
                  <w:pPr>
                    <w:pStyle w:val="171"/>
                    <w:keepNext w:val="0"/>
                    <w:keepLines w:val="0"/>
                    <w:suppressLineNumbers w:val="0"/>
                    <w:spacing w:before="0" w:beforeAutospacing="0" w:after="0" w:afterAutospacing="0"/>
                    <w:ind w:left="0" w:leftChars="0" w:right="0" w:rightChars="0"/>
                    <w:rPr>
                      <w:rFonts w:hint="default" w:eastAsia="宋体"/>
                      <w:color w:val="000000" w:themeColor="text1"/>
                    </w:rPr>
                  </w:pPr>
                  <w:r>
                    <w:rPr>
                      <w:rFonts w:hint="eastAsia" w:eastAsia="宋体"/>
                      <w:color w:val="000000" w:themeColor="text1"/>
                      <w:lang w:val="en-US" w:eastAsia="zh-CN"/>
                    </w:rPr>
                    <w:t>符合</w:t>
                  </w:r>
                </w:p>
              </w:tc>
            </w:tr>
            <w:tr w14:paraId="656849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516CE038">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49843FDD">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新增源排放标准限值</w:t>
                  </w:r>
                </w:p>
              </w:tc>
              <w:tc>
                <w:tcPr>
                  <w:tcW w:w="2279" w:type="dxa"/>
                  <w:tcBorders>
                    <w:tl2br w:val="nil"/>
                    <w:tr2bl w:val="nil"/>
                  </w:tcBorders>
                  <w:noWrap/>
                  <w:tcMar>
                    <w:top w:w="0" w:type="dxa"/>
                    <w:left w:w="57" w:type="dxa"/>
                    <w:bottom w:w="0" w:type="dxa"/>
                    <w:right w:w="57" w:type="dxa"/>
                  </w:tcMar>
                  <w:vAlign w:val="center"/>
                </w:tcPr>
                <w:p w14:paraId="7226244D">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新建项目污染物排放应达到行业排放标准或综合排放标准。</w:t>
                  </w:r>
                </w:p>
              </w:tc>
              <w:tc>
                <w:tcPr>
                  <w:tcW w:w="1947" w:type="dxa"/>
                  <w:tcBorders>
                    <w:tl2br w:val="nil"/>
                    <w:tr2bl w:val="nil"/>
                  </w:tcBorders>
                  <w:noWrap/>
                  <w:tcMar>
                    <w:top w:w="0" w:type="dxa"/>
                    <w:left w:w="57" w:type="dxa"/>
                    <w:bottom w:w="0" w:type="dxa"/>
                    <w:right w:w="57" w:type="dxa"/>
                  </w:tcMar>
                  <w:vAlign w:val="center"/>
                </w:tcPr>
                <w:p w14:paraId="1DE08010">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default"/>
                      <w:color w:val="000000" w:themeColor="text1"/>
                      <w:lang w:val="en-US" w:eastAsia="zh-CN"/>
                    </w:rPr>
                    <w:t>废气、废水及噪声等经处理后达标排放</w:t>
                  </w:r>
                </w:p>
              </w:tc>
              <w:tc>
                <w:tcPr>
                  <w:tcW w:w="950" w:type="dxa"/>
                  <w:tcBorders>
                    <w:tl2br w:val="nil"/>
                    <w:tr2bl w:val="nil"/>
                  </w:tcBorders>
                  <w:noWrap/>
                  <w:tcMar>
                    <w:top w:w="0" w:type="dxa"/>
                    <w:left w:w="57" w:type="dxa"/>
                    <w:bottom w:w="0" w:type="dxa"/>
                    <w:right w:w="57" w:type="dxa"/>
                  </w:tcMar>
                  <w:vAlign w:val="center"/>
                </w:tcPr>
                <w:p w14:paraId="76A3F9EC">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符合</w:t>
                  </w:r>
                </w:p>
              </w:tc>
            </w:tr>
            <w:tr w14:paraId="59C1A1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5ACD71B4">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5B8FE518">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污染物排放绩效水平准入要求</w:t>
                  </w:r>
                </w:p>
              </w:tc>
              <w:tc>
                <w:tcPr>
                  <w:tcW w:w="2279" w:type="dxa"/>
                  <w:tcBorders>
                    <w:tl2br w:val="nil"/>
                    <w:tr2bl w:val="nil"/>
                  </w:tcBorders>
                  <w:noWrap/>
                  <w:tcMar>
                    <w:top w:w="0" w:type="dxa"/>
                    <w:left w:w="57" w:type="dxa"/>
                    <w:bottom w:w="0" w:type="dxa"/>
                    <w:right w:w="57" w:type="dxa"/>
                  </w:tcMar>
                  <w:vAlign w:val="center"/>
                </w:tcPr>
                <w:p w14:paraId="2E0881F8">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污染物排放绩效水平达到相应行业准入要求和清洁生产相应水平</w:t>
                  </w:r>
                </w:p>
              </w:tc>
              <w:tc>
                <w:tcPr>
                  <w:tcW w:w="1947" w:type="dxa"/>
                  <w:tcBorders>
                    <w:tl2br w:val="nil"/>
                    <w:tr2bl w:val="nil"/>
                  </w:tcBorders>
                  <w:noWrap/>
                  <w:tcMar>
                    <w:top w:w="0" w:type="dxa"/>
                    <w:left w:w="57" w:type="dxa"/>
                    <w:bottom w:w="0" w:type="dxa"/>
                    <w:right w:w="57" w:type="dxa"/>
                  </w:tcMar>
                  <w:vAlign w:val="center"/>
                </w:tcPr>
                <w:p w14:paraId="6F6B832A">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sz w:val="21"/>
                      <w:szCs w:val="21"/>
                      <w:highlight w:val="none"/>
                    </w:rPr>
                    <w:t>本</w:t>
                  </w:r>
                  <w:r>
                    <w:rPr>
                      <w:rFonts w:hint="default"/>
                      <w:color w:val="000000" w:themeColor="text1"/>
                      <w:lang w:val="en-US" w:eastAsia="zh-CN"/>
                    </w:rPr>
                    <w:t>项目</w:t>
                  </w:r>
                  <w:r>
                    <w:rPr>
                      <w:rFonts w:hint="eastAsia"/>
                      <w:color w:val="000000" w:themeColor="text1"/>
                      <w:lang w:val="en-US" w:eastAsia="zh-CN"/>
                    </w:rPr>
                    <w:t>满足</w:t>
                  </w:r>
                  <w:r>
                    <w:rPr>
                      <w:rFonts w:hint="default"/>
                      <w:color w:val="000000" w:themeColor="text1"/>
                      <w:lang w:val="en-US" w:eastAsia="zh-CN"/>
                    </w:rPr>
                    <w:t>清洁生产相应</w:t>
                  </w:r>
                  <w:r>
                    <w:rPr>
                      <w:rFonts w:hint="eastAsia"/>
                      <w:color w:val="000000" w:themeColor="text1"/>
                      <w:lang w:val="en-US" w:eastAsia="zh-CN"/>
                    </w:rPr>
                    <w:t>要求</w:t>
                  </w:r>
                </w:p>
              </w:tc>
              <w:tc>
                <w:tcPr>
                  <w:tcW w:w="950" w:type="dxa"/>
                  <w:tcBorders>
                    <w:tl2br w:val="nil"/>
                    <w:tr2bl w:val="nil"/>
                  </w:tcBorders>
                  <w:noWrap/>
                  <w:tcMar>
                    <w:top w:w="0" w:type="dxa"/>
                    <w:left w:w="57" w:type="dxa"/>
                    <w:bottom w:w="0" w:type="dxa"/>
                    <w:right w:w="57" w:type="dxa"/>
                  </w:tcMar>
                  <w:vAlign w:val="center"/>
                </w:tcPr>
                <w:p w14:paraId="48C19A4F">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符合</w:t>
                  </w:r>
                </w:p>
              </w:tc>
            </w:tr>
            <w:tr w14:paraId="65C17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0EE1F25A">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6E86CDC0">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其他污染物管控要求</w:t>
                  </w:r>
                </w:p>
              </w:tc>
              <w:tc>
                <w:tcPr>
                  <w:tcW w:w="2279" w:type="dxa"/>
                  <w:tcBorders>
                    <w:tl2br w:val="nil"/>
                    <w:tr2bl w:val="nil"/>
                  </w:tcBorders>
                  <w:noWrap/>
                  <w:tcMar>
                    <w:top w:w="0" w:type="dxa"/>
                    <w:left w:w="57" w:type="dxa"/>
                    <w:bottom w:w="0" w:type="dxa"/>
                    <w:right w:w="57" w:type="dxa"/>
                  </w:tcMar>
                  <w:vAlign w:val="center"/>
                </w:tcPr>
                <w:p w14:paraId="569F3CCF">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02FB773E">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0BEC8E3D">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w:t>
                  </w:r>
                </w:p>
              </w:tc>
            </w:tr>
            <w:tr w14:paraId="42846C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restart"/>
                  <w:tcBorders>
                    <w:tl2br w:val="nil"/>
                    <w:tr2bl w:val="nil"/>
                  </w:tcBorders>
                  <w:noWrap/>
                  <w:tcMar>
                    <w:top w:w="0" w:type="dxa"/>
                    <w:left w:w="57" w:type="dxa"/>
                    <w:bottom w:w="0" w:type="dxa"/>
                    <w:right w:w="57" w:type="dxa"/>
                  </w:tcMar>
                  <w:vAlign w:val="center"/>
                </w:tcPr>
                <w:p w14:paraId="11C8299B">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环境风险防控</w:t>
                  </w:r>
                </w:p>
              </w:tc>
              <w:tc>
                <w:tcPr>
                  <w:tcW w:w="573" w:type="dxa"/>
                  <w:vMerge w:val="restart"/>
                  <w:tcBorders>
                    <w:tl2br w:val="nil"/>
                    <w:tr2bl w:val="nil"/>
                  </w:tcBorders>
                  <w:noWrap/>
                  <w:tcMar>
                    <w:top w:w="0" w:type="dxa"/>
                    <w:left w:w="57" w:type="dxa"/>
                    <w:bottom w:w="0" w:type="dxa"/>
                    <w:right w:w="57" w:type="dxa"/>
                  </w:tcMar>
                  <w:vAlign w:val="center"/>
                </w:tcPr>
                <w:p w14:paraId="5AA4A30D">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用地环境风险防控要求</w:t>
                  </w:r>
                </w:p>
              </w:tc>
              <w:tc>
                <w:tcPr>
                  <w:tcW w:w="1437" w:type="dxa"/>
                  <w:tcBorders>
                    <w:tl2br w:val="nil"/>
                    <w:tr2bl w:val="nil"/>
                  </w:tcBorders>
                  <w:noWrap/>
                  <w:tcMar>
                    <w:top w:w="0" w:type="dxa"/>
                    <w:left w:w="57" w:type="dxa"/>
                    <w:bottom w:w="0" w:type="dxa"/>
                    <w:right w:w="57" w:type="dxa"/>
                  </w:tcMar>
                  <w:vAlign w:val="center"/>
                </w:tcPr>
                <w:p w14:paraId="6F3EC55B">
                  <w:pPr>
                    <w:pStyle w:val="171"/>
                    <w:keepNext w:val="0"/>
                    <w:keepLines w:val="0"/>
                    <w:suppressLineNumbers w:val="0"/>
                    <w:spacing w:before="0" w:beforeAutospacing="0" w:after="0" w:afterAutospacing="0"/>
                    <w:ind w:left="0" w:leftChars="0" w:right="0" w:rightChars="0"/>
                    <w:rPr>
                      <w:rFonts w:hint="eastAsia"/>
                      <w:color w:val="000000" w:themeColor="text1"/>
                    </w:rPr>
                  </w:pPr>
                  <w:r>
                    <w:rPr>
                      <w:rFonts w:hint="eastAsia"/>
                      <w:color w:val="000000" w:themeColor="text1"/>
                    </w:rPr>
                    <w:t>严格管控类农用地环境风险防控要求</w:t>
                  </w:r>
                </w:p>
              </w:tc>
              <w:tc>
                <w:tcPr>
                  <w:tcW w:w="2279" w:type="dxa"/>
                  <w:tcBorders>
                    <w:tl2br w:val="nil"/>
                    <w:tr2bl w:val="nil"/>
                  </w:tcBorders>
                  <w:noWrap/>
                  <w:tcMar>
                    <w:top w:w="0" w:type="dxa"/>
                    <w:left w:w="57" w:type="dxa"/>
                    <w:bottom w:w="0" w:type="dxa"/>
                    <w:right w:w="57" w:type="dxa"/>
                  </w:tcMar>
                  <w:vAlign w:val="center"/>
                </w:tcPr>
                <w:p w14:paraId="765ECE47">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70A81C9B">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1999F49A">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r w14:paraId="3E7F62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626F5A4B">
                  <w:pPr>
                    <w:pStyle w:val="171"/>
                    <w:keepNext w:val="0"/>
                    <w:keepLines w:val="0"/>
                    <w:suppressLineNumbers w:val="0"/>
                    <w:spacing w:before="0" w:beforeAutospacing="0" w:after="0" w:afterAutospacing="0"/>
                    <w:ind w:left="0" w:leftChars="0" w:right="0"/>
                    <w:rPr>
                      <w:rFonts w:hint="default"/>
                      <w:color w:val="000000" w:themeColor="text1"/>
                    </w:rPr>
                  </w:pPr>
                </w:p>
              </w:tc>
              <w:tc>
                <w:tcPr>
                  <w:tcW w:w="573" w:type="dxa"/>
                  <w:vMerge w:val="continue"/>
                  <w:tcBorders>
                    <w:tl2br w:val="nil"/>
                    <w:tr2bl w:val="nil"/>
                  </w:tcBorders>
                  <w:noWrap/>
                  <w:tcMar>
                    <w:top w:w="0" w:type="dxa"/>
                    <w:left w:w="57" w:type="dxa"/>
                    <w:bottom w:w="0" w:type="dxa"/>
                    <w:right w:w="57" w:type="dxa"/>
                  </w:tcMar>
                  <w:vAlign w:val="center"/>
                </w:tcPr>
                <w:p w14:paraId="1209E827">
                  <w:pPr>
                    <w:pStyle w:val="171"/>
                    <w:keepNext w:val="0"/>
                    <w:keepLines w:val="0"/>
                    <w:suppressLineNumbers w:val="0"/>
                    <w:spacing w:before="0" w:beforeAutospacing="0" w:after="0" w:afterAutospacing="0"/>
                    <w:ind w:left="0" w:leftChars="0" w:right="0"/>
                    <w:rPr>
                      <w:rFonts w:hint="default"/>
                      <w:color w:val="000000" w:themeColor="text1"/>
                    </w:rPr>
                  </w:pPr>
                </w:p>
              </w:tc>
              <w:tc>
                <w:tcPr>
                  <w:tcW w:w="1437" w:type="dxa"/>
                  <w:tcBorders>
                    <w:tl2br w:val="nil"/>
                    <w:tr2bl w:val="nil"/>
                  </w:tcBorders>
                  <w:noWrap/>
                  <w:tcMar>
                    <w:top w:w="0" w:type="dxa"/>
                    <w:left w:w="57" w:type="dxa"/>
                    <w:bottom w:w="0" w:type="dxa"/>
                    <w:right w:w="57" w:type="dxa"/>
                  </w:tcMar>
                  <w:vAlign w:val="center"/>
                </w:tcPr>
                <w:p w14:paraId="11AC49AA">
                  <w:pPr>
                    <w:pStyle w:val="171"/>
                    <w:keepNext w:val="0"/>
                    <w:keepLines w:val="0"/>
                    <w:suppressLineNumbers w:val="0"/>
                    <w:spacing w:before="0" w:beforeAutospacing="0" w:after="0" w:afterAutospacing="0"/>
                    <w:ind w:left="0" w:leftChars="0" w:right="0" w:rightChars="0"/>
                    <w:rPr>
                      <w:rFonts w:hint="eastAsia"/>
                      <w:color w:val="000000" w:themeColor="text1"/>
                    </w:rPr>
                  </w:pPr>
                  <w:r>
                    <w:rPr>
                      <w:rFonts w:hint="eastAsia"/>
                      <w:color w:val="000000" w:themeColor="text1"/>
                    </w:rPr>
                    <w:t>安全利用类农用地环境风险防控要求</w:t>
                  </w:r>
                </w:p>
              </w:tc>
              <w:tc>
                <w:tcPr>
                  <w:tcW w:w="2279" w:type="dxa"/>
                  <w:tcBorders>
                    <w:tl2br w:val="nil"/>
                    <w:tr2bl w:val="nil"/>
                  </w:tcBorders>
                  <w:noWrap/>
                  <w:tcMar>
                    <w:top w:w="0" w:type="dxa"/>
                    <w:left w:w="57" w:type="dxa"/>
                    <w:bottom w:w="0" w:type="dxa"/>
                    <w:right w:w="57" w:type="dxa"/>
                  </w:tcMar>
                  <w:vAlign w:val="center"/>
                </w:tcPr>
                <w:p w14:paraId="2B505873">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574FB127">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0B15C019">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r w14:paraId="43A854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54C58D81">
                  <w:pPr>
                    <w:pStyle w:val="171"/>
                    <w:keepNext w:val="0"/>
                    <w:keepLines w:val="0"/>
                    <w:suppressLineNumbers w:val="0"/>
                    <w:spacing w:before="0" w:beforeAutospacing="0" w:after="0" w:afterAutospacing="0"/>
                    <w:ind w:left="0" w:leftChars="0" w:right="0"/>
                    <w:rPr>
                      <w:rFonts w:hint="default"/>
                      <w:color w:val="000000" w:themeColor="text1"/>
                    </w:rPr>
                  </w:pPr>
                </w:p>
              </w:tc>
              <w:tc>
                <w:tcPr>
                  <w:tcW w:w="573" w:type="dxa"/>
                  <w:vMerge w:val="continue"/>
                  <w:tcBorders>
                    <w:tl2br w:val="nil"/>
                    <w:tr2bl w:val="nil"/>
                  </w:tcBorders>
                  <w:noWrap/>
                  <w:tcMar>
                    <w:top w:w="0" w:type="dxa"/>
                    <w:left w:w="57" w:type="dxa"/>
                    <w:bottom w:w="0" w:type="dxa"/>
                    <w:right w:w="57" w:type="dxa"/>
                  </w:tcMar>
                  <w:vAlign w:val="center"/>
                </w:tcPr>
                <w:p w14:paraId="551E09AC">
                  <w:pPr>
                    <w:pStyle w:val="171"/>
                    <w:keepNext w:val="0"/>
                    <w:keepLines w:val="0"/>
                    <w:suppressLineNumbers w:val="0"/>
                    <w:spacing w:before="0" w:beforeAutospacing="0" w:after="0" w:afterAutospacing="0"/>
                    <w:ind w:left="0" w:leftChars="0" w:right="0"/>
                    <w:rPr>
                      <w:rFonts w:hint="default"/>
                      <w:color w:val="000000" w:themeColor="text1"/>
                    </w:rPr>
                  </w:pPr>
                </w:p>
              </w:tc>
              <w:tc>
                <w:tcPr>
                  <w:tcW w:w="1437" w:type="dxa"/>
                  <w:tcBorders>
                    <w:tl2br w:val="nil"/>
                    <w:tr2bl w:val="nil"/>
                  </w:tcBorders>
                  <w:noWrap/>
                  <w:tcMar>
                    <w:top w:w="0" w:type="dxa"/>
                    <w:left w:w="57" w:type="dxa"/>
                    <w:bottom w:w="0" w:type="dxa"/>
                    <w:right w:w="57" w:type="dxa"/>
                  </w:tcMar>
                  <w:vAlign w:val="center"/>
                </w:tcPr>
                <w:p w14:paraId="61684918">
                  <w:pPr>
                    <w:pStyle w:val="171"/>
                    <w:keepNext w:val="0"/>
                    <w:keepLines w:val="0"/>
                    <w:suppressLineNumbers w:val="0"/>
                    <w:spacing w:before="0" w:beforeAutospacing="0" w:after="0" w:afterAutospacing="0"/>
                    <w:ind w:left="0" w:leftChars="0" w:right="0" w:rightChars="0"/>
                    <w:rPr>
                      <w:rFonts w:hint="eastAsia"/>
                      <w:color w:val="000000" w:themeColor="text1"/>
                    </w:rPr>
                  </w:pPr>
                  <w:r>
                    <w:rPr>
                      <w:rFonts w:hint="eastAsia"/>
                      <w:color w:val="000000" w:themeColor="text1"/>
                    </w:rPr>
                    <w:t>污染地块（建设用地）环境风险防控要求</w:t>
                  </w:r>
                </w:p>
              </w:tc>
              <w:tc>
                <w:tcPr>
                  <w:tcW w:w="2279" w:type="dxa"/>
                  <w:tcBorders>
                    <w:tl2br w:val="nil"/>
                    <w:tr2bl w:val="nil"/>
                  </w:tcBorders>
                  <w:noWrap/>
                  <w:tcMar>
                    <w:top w:w="0" w:type="dxa"/>
                    <w:left w:w="57" w:type="dxa"/>
                    <w:bottom w:w="0" w:type="dxa"/>
                    <w:right w:w="57" w:type="dxa"/>
                  </w:tcMar>
                  <w:vAlign w:val="center"/>
                </w:tcPr>
                <w:p w14:paraId="08E45270">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已污染地块，应当依法开展土壤污染状况调查、治理与修复，符合相应用地土壤环境质量要求后，方可进入用地程序。</w:t>
                  </w:r>
                </w:p>
              </w:tc>
              <w:tc>
                <w:tcPr>
                  <w:tcW w:w="1947" w:type="dxa"/>
                  <w:tcBorders>
                    <w:tl2br w:val="nil"/>
                    <w:tr2bl w:val="nil"/>
                  </w:tcBorders>
                  <w:noWrap/>
                  <w:tcMar>
                    <w:top w:w="0" w:type="dxa"/>
                    <w:left w:w="57" w:type="dxa"/>
                    <w:bottom w:w="0" w:type="dxa"/>
                    <w:right w:w="57" w:type="dxa"/>
                  </w:tcMar>
                  <w:vAlign w:val="center"/>
                </w:tcPr>
                <w:p w14:paraId="4E540EAB">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sz w:val="21"/>
                      <w:szCs w:val="21"/>
                      <w:highlight w:val="none"/>
                    </w:rPr>
                    <w:t>本</w:t>
                  </w:r>
                  <w:r>
                    <w:rPr>
                      <w:rFonts w:hint="eastAsia" w:eastAsia="宋体"/>
                      <w:color w:val="000000" w:themeColor="text1"/>
                      <w:lang w:val="en-US" w:eastAsia="zh-CN"/>
                    </w:rPr>
                    <w:t>项目用地不属于已污染地块</w:t>
                  </w:r>
                </w:p>
              </w:tc>
              <w:tc>
                <w:tcPr>
                  <w:tcW w:w="950" w:type="dxa"/>
                  <w:tcBorders>
                    <w:tl2br w:val="nil"/>
                    <w:tr2bl w:val="nil"/>
                  </w:tcBorders>
                  <w:noWrap/>
                  <w:tcMar>
                    <w:top w:w="0" w:type="dxa"/>
                    <w:left w:w="57" w:type="dxa"/>
                    <w:bottom w:w="0" w:type="dxa"/>
                    <w:right w:w="57" w:type="dxa"/>
                  </w:tcMar>
                  <w:vAlign w:val="center"/>
                </w:tcPr>
                <w:p w14:paraId="69B3837D">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符合</w:t>
                  </w:r>
                </w:p>
              </w:tc>
            </w:tr>
            <w:tr w14:paraId="3CFFF0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7C442FFD">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64FB3DDF">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rPr>
                    <w:t>园区</w:t>
                  </w:r>
                  <w:r>
                    <w:rPr>
                      <w:rFonts w:hint="eastAsia"/>
                      <w:color w:val="000000" w:themeColor="text1"/>
                      <w:lang w:val="en-US" w:eastAsia="zh-CN"/>
                    </w:rPr>
                    <w:t>环境</w:t>
                  </w:r>
                  <w:r>
                    <w:rPr>
                      <w:rFonts w:hint="eastAsia"/>
                      <w:color w:val="000000" w:themeColor="text1"/>
                    </w:rPr>
                    <w:t>风险</w:t>
                  </w:r>
                  <w:r>
                    <w:rPr>
                      <w:rFonts w:hint="eastAsia"/>
                      <w:color w:val="000000" w:themeColor="text1"/>
                      <w:lang w:val="en-US" w:eastAsia="zh-CN"/>
                    </w:rPr>
                    <w:t>防控要求</w:t>
                  </w:r>
                </w:p>
              </w:tc>
              <w:tc>
                <w:tcPr>
                  <w:tcW w:w="2279" w:type="dxa"/>
                  <w:tcBorders>
                    <w:tl2br w:val="nil"/>
                    <w:tr2bl w:val="nil"/>
                  </w:tcBorders>
                  <w:noWrap/>
                  <w:tcMar>
                    <w:top w:w="0" w:type="dxa"/>
                    <w:left w:w="57" w:type="dxa"/>
                    <w:bottom w:w="0" w:type="dxa"/>
                    <w:right w:w="57" w:type="dxa"/>
                  </w:tcMar>
                  <w:vAlign w:val="center"/>
                </w:tcPr>
                <w:p w14:paraId="0155127F">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紧邻居住、科教、医院等环境敏感点的工业用地，禁止新建环境风险等级高的建设项目。园区应建立三级环境风险防控体系。</w:t>
                  </w:r>
                </w:p>
              </w:tc>
              <w:tc>
                <w:tcPr>
                  <w:tcW w:w="1947" w:type="dxa"/>
                  <w:tcBorders>
                    <w:tl2br w:val="nil"/>
                    <w:tr2bl w:val="nil"/>
                  </w:tcBorders>
                  <w:noWrap/>
                  <w:tcMar>
                    <w:top w:w="0" w:type="dxa"/>
                    <w:left w:w="57" w:type="dxa"/>
                    <w:bottom w:w="0" w:type="dxa"/>
                    <w:right w:w="57" w:type="dxa"/>
                  </w:tcMar>
                  <w:vAlign w:val="center"/>
                </w:tcPr>
                <w:p w14:paraId="4FDB6B41">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default" w:eastAsia="宋体"/>
                      <w:color w:val="000000" w:themeColor="text1"/>
                      <w:lang w:val="en-US" w:eastAsia="zh-CN"/>
                    </w:rPr>
                    <w:t>本项目周边500m范围内不存在大气环境保护目标</w:t>
                  </w:r>
                </w:p>
              </w:tc>
              <w:tc>
                <w:tcPr>
                  <w:tcW w:w="950" w:type="dxa"/>
                  <w:tcBorders>
                    <w:tl2br w:val="nil"/>
                    <w:tr2bl w:val="nil"/>
                  </w:tcBorders>
                  <w:noWrap/>
                  <w:tcMar>
                    <w:top w:w="0" w:type="dxa"/>
                    <w:left w:w="57" w:type="dxa"/>
                    <w:bottom w:w="0" w:type="dxa"/>
                    <w:right w:w="57" w:type="dxa"/>
                  </w:tcMar>
                  <w:vAlign w:val="center"/>
                </w:tcPr>
                <w:p w14:paraId="7D0F4DB5">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eastAsia="宋体"/>
                      <w:color w:val="000000" w:themeColor="text1"/>
                      <w:lang w:val="en-US" w:eastAsia="zh-CN"/>
                    </w:rPr>
                    <w:t>/</w:t>
                  </w:r>
                </w:p>
              </w:tc>
            </w:tr>
            <w:tr w14:paraId="7816F0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07D8E106">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05E68331">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企业环境风险防控要求</w:t>
                  </w:r>
                </w:p>
              </w:tc>
              <w:tc>
                <w:tcPr>
                  <w:tcW w:w="2279" w:type="dxa"/>
                  <w:tcBorders>
                    <w:tl2br w:val="nil"/>
                    <w:tr2bl w:val="nil"/>
                  </w:tcBorders>
                  <w:noWrap/>
                  <w:tcMar>
                    <w:top w:w="0" w:type="dxa"/>
                    <w:left w:w="57" w:type="dxa"/>
                    <w:bottom w:w="0" w:type="dxa"/>
                    <w:right w:w="57" w:type="dxa"/>
                  </w:tcMar>
                  <w:vAlign w:val="center"/>
                </w:tcPr>
                <w:p w14:paraId="71202828">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生产、存储危险化学品及产生大量废水的工业企业，应配套有效措施，防止因渗漏污染地下水、土壤，以及因事故废水直排污染地表水体。</w:t>
                  </w:r>
                </w:p>
              </w:tc>
              <w:tc>
                <w:tcPr>
                  <w:tcW w:w="1947" w:type="dxa"/>
                  <w:tcBorders>
                    <w:tl2br w:val="nil"/>
                    <w:tr2bl w:val="nil"/>
                  </w:tcBorders>
                  <w:noWrap/>
                  <w:tcMar>
                    <w:top w:w="0" w:type="dxa"/>
                    <w:left w:w="57" w:type="dxa"/>
                    <w:bottom w:w="0" w:type="dxa"/>
                    <w:right w:w="57" w:type="dxa"/>
                  </w:tcMar>
                  <w:vAlign w:val="center"/>
                </w:tcPr>
                <w:p w14:paraId="13216811">
                  <w:pPr>
                    <w:pStyle w:val="171"/>
                    <w:keepNext w:val="0"/>
                    <w:keepLines w:val="0"/>
                    <w:suppressLineNumbers w:val="0"/>
                    <w:spacing w:before="0" w:beforeAutospacing="0" w:after="0" w:afterAutospacing="0"/>
                    <w:ind w:left="0" w:leftChars="0" w:right="0"/>
                    <w:rPr>
                      <w:rFonts w:hint="eastAsia" w:eastAsia="宋体"/>
                      <w:color w:val="000000" w:themeColor="text1"/>
                      <w:lang w:eastAsia="zh-CN"/>
                    </w:rPr>
                  </w:pPr>
                  <w:r>
                    <w:rPr>
                      <w:rFonts w:hint="eastAsia"/>
                      <w:color w:val="000000" w:themeColor="text1"/>
                      <w:sz w:val="21"/>
                      <w:szCs w:val="21"/>
                      <w:highlight w:val="none"/>
                    </w:rPr>
                    <w:t>本</w:t>
                  </w:r>
                  <w:r>
                    <w:rPr>
                      <w:rFonts w:hint="default" w:eastAsia="宋体"/>
                      <w:color w:val="000000" w:themeColor="text1"/>
                    </w:rPr>
                    <w:t>项目不属于生产、存储危险化学品及产生大量废水的工业企业，且项目危险废物暂存间、化粪池等</w:t>
                  </w:r>
                  <w:r>
                    <w:rPr>
                      <w:rFonts w:hint="eastAsia" w:eastAsia="宋体"/>
                      <w:color w:val="000000" w:themeColor="text1"/>
                      <w:lang w:val="en-US" w:eastAsia="zh-CN"/>
                    </w:rPr>
                    <w:t>按要求做</w:t>
                  </w:r>
                  <w:r>
                    <w:rPr>
                      <w:rFonts w:hint="default" w:eastAsia="宋体"/>
                      <w:color w:val="000000" w:themeColor="text1"/>
                    </w:rPr>
                    <w:t>防渗处理</w:t>
                  </w:r>
                  <w:r>
                    <w:rPr>
                      <w:rFonts w:hint="eastAsia" w:eastAsia="宋体"/>
                      <w:color w:val="000000" w:themeColor="text1"/>
                      <w:lang w:eastAsia="zh-CN"/>
                    </w:rPr>
                    <w:t>。</w:t>
                  </w:r>
                </w:p>
              </w:tc>
              <w:tc>
                <w:tcPr>
                  <w:tcW w:w="950" w:type="dxa"/>
                  <w:tcBorders>
                    <w:tl2br w:val="nil"/>
                    <w:tr2bl w:val="nil"/>
                  </w:tcBorders>
                  <w:noWrap/>
                  <w:tcMar>
                    <w:top w:w="0" w:type="dxa"/>
                    <w:left w:w="57" w:type="dxa"/>
                    <w:bottom w:w="0" w:type="dxa"/>
                    <w:right w:w="57" w:type="dxa"/>
                  </w:tcMar>
                  <w:vAlign w:val="center"/>
                </w:tcPr>
                <w:p w14:paraId="7D9BBE5F">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eastAsia" w:eastAsia="宋体"/>
                      <w:color w:val="000000" w:themeColor="text1"/>
                      <w:lang w:val="en-US" w:eastAsia="zh-CN"/>
                    </w:rPr>
                    <w:t>符合</w:t>
                  </w:r>
                </w:p>
              </w:tc>
            </w:tr>
            <w:tr w14:paraId="7BE449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4BA798D4">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5EDBED0E">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其他环境风险防控要求</w:t>
                  </w:r>
                </w:p>
              </w:tc>
              <w:tc>
                <w:tcPr>
                  <w:tcW w:w="2279" w:type="dxa"/>
                  <w:tcBorders>
                    <w:tl2br w:val="nil"/>
                    <w:tr2bl w:val="nil"/>
                  </w:tcBorders>
                  <w:noWrap/>
                  <w:tcMar>
                    <w:top w:w="0" w:type="dxa"/>
                    <w:left w:w="57" w:type="dxa"/>
                    <w:bottom w:w="0" w:type="dxa"/>
                    <w:right w:w="57" w:type="dxa"/>
                  </w:tcMar>
                  <w:vAlign w:val="center"/>
                </w:tcPr>
                <w:p w14:paraId="520B08AC">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产生、利用或处置固体废物（含危险废物）的工业企业，在贮存、转移、利用、处置固体废物（含危险废物）过程中，应配套防扬散、防流失、防渗漏及其他防止污染环境的措施。</w:t>
                  </w:r>
                </w:p>
              </w:tc>
              <w:tc>
                <w:tcPr>
                  <w:tcW w:w="1947" w:type="dxa"/>
                  <w:tcBorders>
                    <w:tl2br w:val="nil"/>
                    <w:tr2bl w:val="nil"/>
                  </w:tcBorders>
                  <w:noWrap/>
                  <w:tcMar>
                    <w:top w:w="0" w:type="dxa"/>
                    <w:left w:w="57" w:type="dxa"/>
                    <w:bottom w:w="0" w:type="dxa"/>
                    <w:right w:w="57" w:type="dxa"/>
                  </w:tcMar>
                  <w:vAlign w:val="center"/>
                </w:tcPr>
                <w:p w14:paraId="042E8882">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sz w:val="21"/>
                      <w:szCs w:val="21"/>
                      <w:highlight w:val="none"/>
                    </w:rPr>
                    <w:t>本</w:t>
                  </w:r>
                  <w:r>
                    <w:rPr>
                      <w:rFonts w:hint="eastAsia" w:eastAsia="宋体"/>
                      <w:color w:val="000000" w:themeColor="text1"/>
                      <w:lang w:val="en-US" w:eastAsia="zh-CN"/>
                    </w:rPr>
                    <w:t>项目固废仓库位于室内，设置防渗措施</w:t>
                  </w:r>
                </w:p>
              </w:tc>
              <w:tc>
                <w:tcPr>
                  <w:tcW w:w="950" w:type="dxa"/>
                  <w:tcBorders>
                    <w:tl2br w:val="nil"/>
                    <w:tr2bl w:val="nil"/>
                  </w:tcBorders>
                  <w:noWrap/>
                  <w:tcMar>
                    <w:top w:w="0" w:type="dxa"/>
                    <w:left w:w="57" w:type="dxa"/>
                    <w:bottom w:w="0" w:type="dxa"/>
                    <w:right w:w="57" w:type="dxa"/>
                  </w:tcMar>
                  <w:vAlign w:val="center"/>
                </w:tcPr>
                <w:p w14:paraId="1897B877">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eastAsia" w:eastAsia="宋体"/>
                      <w:color w:val="000000" w:themeColor="text1"/>
                      <w:lang w:val="en-US" w:eastAsia="zh-CN"/>
                    </w:rPr>
                    <w:t>符合</w:t>
                  </w:r>
                </w:p>
              </w:tc>
            </w:tr>
            <w:tr w14:paraId="4F3EE1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restart"/>
                  <w:tcBorders>
                    <w:tl2br w:val="nil"/>
                    <w:tr2bl w:val="nil"/>
                  </w:tcBorders>
                  <w:noWrap/>
                  <w:tcMar>
                    <w:top w:w="0" w:type="dxa"/>
                    <w:left w:w="57" w:type="dxa"/>
                    <w:bottom w:w="0" w:type="dxa"/>
                    <w:right w:w="57" w:type="dxa"/>
                  </w:tcMar>
                  <w:vAlign w:val="center"/>
                </w:tcPr>
                <w:p w14:paraId="341FBD7D">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资源利用效率要求</w:t>
                  </w:r>
                </w:p>
              </w:tc>
              <w:tc>
                <w:tcPr>
                  <w:tcW w:w="2010" w:type="dxa"/>
                  <w:gridSpan w:val="2"/>
                  <w:tcBorders>
                    <w:tl2br w:val="nil"/>
                    <w:tr2bl w:val="nil"/>
                  </w:tcBorders>
                  <w:noWrap/>
                  <w:tcMar>
                    <w:top w:w="0" w:type="dxa"/>
                    <w:left w:w="57" w:type="dxa"/>
                    <w:bottom w:w="0" w:type="dxa"/>
                    <w:right w:w="57" w:type="dxa"/>
                  </w:tcMar>
                  <w:vAlign w:val="center"/>
                </w:tcPr>
                <w:p w14:paraId="068D80EC">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水资源利用效率要求</w:t>
                  </w:r>
                </w:p>
              </w:tc>
              <w:tc>
                <w:tcPr>
                  <w:tcW w:w="2279" w:type="dxa"/>
                  <w:tcBorders>
                    <w:tl2br w:val="nil"/>
                    <w:tr2bl w:val="nil"/>
                  </w:tcBorders>
                  <w:noWrap/>
                  <w:tcMar>
                    <w:top w:w="0" w:type="dxa"/>
                    <w:left w:w="57" w:type="dxa"/>
                    <w:bottom w:w="0" w:type="dxa"/>
                    <w:right w:w="57" w:type="dxa"/>
                  </w:tcMar>
                  <w:vAlign w:val="center"/>
                </w:tcPr>
                <w:p w14:paraId="59D17AAD">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按行业标准或生态工业园区标准执行。</w:t>
                  </w:r>
                </w:p>
              </w:tc>
              <w:tc>
                <w:tcPr>
                  <w:tcW w:w="1947" w:type="dxa"/>
                  <w:tcBorders>
                    <w:tl2br w:val="nil"/>
                    <w:tr2bl w:val="nil"/>
                  </w:tcBorders>
                  <w:noWrap/>
                  <w:tcMar>
                    <w:top w:w="0" w:type="dxa"/>
                    <w:left w:w="57" w:type="dxa"/>
                    <w:bottom w:w="0" w:type="dxa"/>
                    <w:right w:w="57" w:type="dxa"/>
                  </w:tcMar>
                  <w:vAlign w:val="center"/>
                </w:tcPr>
                <w:p w14:paraId="75E4CACA">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不涉及</w:t>
                  </w:r>
                </w:p>
              </w:tc>
              <w:tc>
                <w:tcPr>
                  <w:tcW w:w="950" w:type="dxa"/>
                  <w:tcBorders>
                    <w:tl2br w:val="nil"/>
                    <w:tr2bl w:val="nil"/>
                  </w:tcBorders>
                  <w:noWrap/>
                  <w:tcMar>
                    <w:top w:w="0" w:type="dxa"/>
                    <w:left w:w="57" w:type="dxa"/>
                    <w:bottom w:w="0" w:type="dxa"/>
                    <w:right w:w="57" w:type="dxa"/>
                  </w:tcMar>
                  <w:vAlign w:val="center"/>
                </w:tcPr>
                <w:p w14:paraId="38EC8141">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r w14:paraId="744BF1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51D0908A">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0FB3F3B7">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地下水</w:t>
                  </w:r>
                  <w:r>
                    <w:rPr>
                      <w:rFonts w:hint="eastAsia"/>
                      <w:color w:val="000000" w:themeColor="text1"/>
                      <w:lang w:val="en-US" w:eastAsia="zh-CN"/>
                    </w:rPr>
                    <w:t>开采</w:t>
                  </w:r>
                  <w:r>
                    <w:rPr>
                      <w:rFonts w:hint="eastAsia"/>
                      <w:color w:val="000000" w:themeColor="text1"/>
                    </w:rPr>
                    <w:t>要求</w:t>
                  </w:r>
                </w:p>
              </w:tc>
              <w:tc>
                <w:tcPr>
                  <w:tcW w:w="2279" w:type="dxa"/>
                  <w:tcBorders>
                    <w:tl2br w:val="nil"/>
                    <w:tr2bl w:val="nil"/>
                  </w:tcBorders>
                  <w:noWrap/>
                  <w:tcMar>
                    <w:top w:w="0" w:type="dxa"/>
                    <w:left w:w="57" w:type="dxa"/>
                    <w:bottom w:w="0" w:type="dxa"/>
                    <w:right w:w="57" w:type="dxa"/>
                  </w:tcMar>
                  <w:vAlign w:val="center"/>
                </w:tcPr>
                <w:p w14:paraId="1DDB2366">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按</w:t>
                  </w:r>
                  <w:r>
                    <w:rPr>
                      <w:rFonts w:hint="eastAsia"/>
                      <w:color w:val="000000" w:themeColor="text1"/>
                      <w:lang w:eastAsia="zh-CN"/>
                    </w:rPr>
                    <w:t>《江西省水资源条例》</w:t>
                  </w:r>
                  <w:r>
                    <w:rPr>
                      <w:rFonts w:hint="default" w:eastAsia="宋体"/>
                      <w:color w:val="000000" w:themeColor="text1"/>
                    </w:rPr>
                    <w:t>执行</w:t>
                  </w:r>
                </w:p>
              </w:tc>
              <w:tc>
                <w:tcPr>
                  <w:tcW w:w="1947" w:type="dxa"/>
                  <w:tcBorders>
                    <w:tl2br w:val="nil"/>
                    <w:tr2bl w:val="nil"/>
                  </w:tcBorders>
                  <w:noWrap/>
                  <w:tcMar>
                    <w:top w:w="0" w:type="dxa"/>
                    <w:left w:w="57" w:type="dxa"/>
                    <w:bottom w:w="0" w:type="dxa"/>
                    <w:right w:w="57" w:type="dxa"/>
                  </w:tcMar>
                  <w:vAlign w:val="center"/>
                </w:tcPr>
                <w:p w14:paraId="1312D43A">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不涉及</w:t>
                  </w:r>
                </w:p>
              </w:tc>
              <w:tc>
                <w:tcPr>
                  <w:tcW w:w="950" w:type="dxa"/>
                  <w:tcBorders>
                    <w:tl2br w:val="nil"/>
                    <w:tr2bl w:val="nil"/>
                  </w:tcBorders>
                  <w:noWrap/>
                  <w:tcMar>
                    <w:top w:w="0" w:type="dxa"/>
                    <w:left w:w="57" w:type="dxa"/>
                    <w:bottom w:w="0" w:type="dxa"/>
                    <w:right w:w="57" w:type="dxa"/>
                  </w:tcMar>
                  <w:vAlign w:val="center"/>
                </w:tcPr>
                <w:p w14:paraId="71999030">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r w14:paraId="4213D0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338BECED">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5525B55F">
                  <w:pPr>
                    <w:pStyle w:val="171"/>
                    <w:keepNext w:val="0"/>
                    <w:keepLines w:val="0"/>
                    <w:suppressLineNumbers w:val="0"/>
                    <w:spacing w:before="0" w:beforeAutospacing="0" w:after="0" w:afterAutospacing="0"/>
                    <w:ind w:left="0" w:leftChars="0" w:right="0"/>
                    <w:rPr>
                      <w:rFonts w:hint="default"/>
                      <w:color w:val="000000" w:themeColor="text1"/>
                    </w:rPr>
                  </w:pPr>
                  <w:r>
                    <w:rPr>
                      <w:rFonts w:hint="eastAsia"/>
                      <w:color w:val="000000" w:themeColor="text1"/>
                    </w:rPr>
                    <w:t>能源利用效率要求</w:t>
                  </w:r>
                </w:p>
              </w:tc>
              <w:tc>
                <w:tcPr>
                  <w:tcW w:w="2279" w:type="dxa"/>
                  <w:tcBorders>
                    <w:tl2br w:val="nil"/>
                    <w:tr2bl w:val="nil"/>
                  </w:tcBorders>
                  <w:noWrap/>
                  <w:tcMar>
                    <w:top w:w="0" w:type="dxa"/>
                    <w:left w:w="57" w:type="dxa"/>
                    <w:bottom w:w="0" w:type="dxa"/>
                    <w:right w:w="57" w:type="dxa"/>
                  </w:tcMar>
                  <w:vAlign w:val="center"/>
                </w:tcPr>
                <w:p w14:paraId="4364A531">
                  <w:pPr>
                    <w:pStyle w:val="171"/>
                    <w:keepNext w:val="0"/>
                    <w:keepLines w:val="0"/>
                    <w:suppressLineNumbers w:val="0"/>
                    <w:spacing w:before="0" w:beforeAutospacing="0" w:after="0" w:afterAutospacing="0"/>
                    <w:ind w:left="0" w:leftChars="0" w:right="0"/>
                    <w:rPr>
                      <w:rFonts w:hint="default" w:eastAsia="宋体"/>
                      <w:color w:val="000000" w:themeColor="text1"/>
                    </w:rPr>
                  </w:pPr>
                  <w:r>
                    <w:rPr>
                      <w:rFonts w:hint="default" w:eastAsia="宋体"/>
                      <w:color w:val="000000" w:themeColor="text1"/>
                    </w:rPr>
                    <w:t>按行业标准或生态工业园区标准执行。</w:t>
                  </w:r>
                </w:p>
              </w:tc>
              <w:tc>
                <w:tcPr>
                  <w:tcW w:w="1947" w:type="dxa"/>
                  <w:tcBorders>
                    <w:tl2br w:val="nil"/>
                    <w:tr2bl w:val="nil"/>
                  </w:tcBorders>
                  <w:noWrap/>
                  <w:tcMar>
                    <w:top w:w="0" w:type="dxa"/>
                    <w:left w:w="57" w:type="dxa"/>
                    <w:bottom w:w="0" w:type="dxa"/>
                    <w:right w:w="57" w:type="dxa"/>
                  </w:tcMar>
                  <w:vAlign w:val="center"/>
                </w:tcPr>
                <w:p w14:paraId="496F56E1">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default"/>
                      <w:color w:val="000000" w:themeColor="text1"/>
                      <w:lang w:eastAsia="zh-CN"/>
                    </w:rPr>
                    <w:t>水、电等资源利用不会突破区域的资源利用上线</w:t>
                  </w:r>
                </w:p>
              </w:tc>
              <w:tc>
                <w:tcPr>
                  <w:tcW w:w="950" w:type="dxa"/>
                  <w:tcBorders>
                    <w:tl2br w:val="nil"/>
                    <w:tr2bl w:val="nil"/>
                  </w:tcBorders>
                  <w:noWrap/>
                  <w:tcMar>
                    <w:top w:w="0" w:type="dxa"/>
                    <w:left w:w="57" w:type="dxa"/>
                    <w:bottom w:w="0" w:type="dxa"/>
                    <w:right w:w="57" w:type="dxa"/>
                  </w:tcMar>
                  <w:vAlign w:val="center"/>
                </w:tcPr>
                <w:p w14:paraId="28408B7B">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符合</w:t>
                  </w:r>
                </w:p>
              </w:tc>
            </w:tr>
            <w:tr w14:paraId="52BA0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90" w:type="dxa"/>
                  <w:vMerge w:val="continue"/>
                  <w:tcBorders>
                    <w:tl2br w:val="nil"/>
                    <w:tr2bl w:val="nil"/>
                  </w:tcBorders>
                  <w:noWrap w:val="0"/>
                  <w:vAlign w:val="center"/>
                </w:tcPr>
                <w:p w14:paraId="14FC4644">
                  <w:pPr>
                    <w:pStyle w:val="171"/>
                    <w:keepNext w:val="0"/>
                    <w:keepLines w:val="0"/>
                    <w:suppressLineNumbers w:val="0"/>
                    <w:spacing w:before="0" w:beforeAutospacing="0" w:after="0" w:afterAutospacing="0"/>
                    <w:ind w:left="0" w:leftChars="0" w:right="0"/>
                    <w:rPr>
                      <w:rFonts w:hint="default"/>
                      <w:color w:val="000000" w:themeColor="text1"/>
                    </w:rPr>
                  </w:pPr>
                </w:p>
              </w:tc>
              <w:tc>
                <w:tcPr>
                  <w:tcW w:w="2010" w:type="dxa"/>
                  <w:gridSpan w:val="2"/>
                  <w:tcBorders>
                    <w:tl2br w:val="nil"/>
                    <w:tr2bl w:val="nil"/>
                  </w:tcBorders>
                  <w:noWrap/>
                  <w:tcMar>
                    <w:top w:w="0" w:type="dxa"/>
                    <w:left w:w="57" w:type="dxa"/>
                    <w:bottom w:w="0" w:type="dxa"/>
                    <w:right w:w="57" w:type="dxa"/>
                  </w:tcMar>
                  <w:vAlign w:val="center"/>
                </w:tcPr>
                <w:p w14:paraId="35EB809E">
                  <w:pPr>
                    <w:pStyle w:val="171"/>
                    <w:keepNext w:val="0"/>
                    <w:keepLines w:val="0"/>
                    <w:suppressLineNumbers w:val="0"/>
                    <w:spacing w:before="0" w:beforeAutospacing="0" w:after="0" w:afterAutospacing="0"/>
                    <w:ind w:left="0" w:leftChars="0" w:right="0"/>
                    <w:rPr>
                      <w:rFonts w:hint="default" w:eastAsia="宋体"/>
                      <w:color w:val="000000" w:themeColor="text1"/>
                      <w:lang w:val="en-US" w:eastAsia="zh-CN"/>
                    </w:rPr>
                  </w:pPr>
                  <w:r>
                    <w:rPr>
                      <w:rFonts w:hint="eastAsia"/>
                      <w:color w:val="000000" w:themeColor="text1"/>
                      <w:lang w:val="en-US" w:eastAsia="zh-CN"/>
                    </w:rPr>
                    <w:t>其他资源利用效率要求</w:t>
                  </w:r>
                </w:p>
              </w:tc>
              <w:tc>
                <w:tcPr>
                  <w:tcW w:w="2279" w:type="dxa"/>
                  <w:tcBorders>
                    <w:tl2br w:val="nil"/>
                    <w:tr2bl w:val="nil"/>
                  </w:tcBorders>
                  <w:noWrap/>
                  <w:tcMar>
                    <w:top w:w="0" w:type="dxa"/>
                    <w:left w:w="57" w:type="dxa"/>
                    <w:bottom w:w="0" w:type="dxa"/>
                    <w:right w:w="57" w:type="dxa"/>
                  </w:tcMar>
                  <w:vAlign w:val="center"/>
                </w:tcPr>
                <w:p w14:paraId="1819F398">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无</w:t>
                  </w:r>
                </w:p>
              </w:tc>
              <w:tc>
                <w:tcPr>
                  <w:tcW w:w="1947" w:type="dxa"/>
                  <w:tcBorders>
                    <w:tl2br w:val="nil"/>
                    <w:tr2bl w:val="nil"/>
                  </w:tcBorders>
                  <w:noWrap/>
                  <w:tcMar>
                    <w:top w:w="0" w:type="dxa"/>
                    <w:left w:w="57" w:type="dxa"/>
                    <w:bottom w:w="0" w:type="dxa"/>
                    <w:right w:w="57" w:type="dxa"/>
                  </w:tcMar>
                  <w:vAlign w:val="center"/>
                </w:tcPr>
                <w:p w14:paraId="16EE5996">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c>
                <w:tcPr>
                  <w:tcW w:w="950" w:type="dxa"/>
                  <w:tcBorders>
                    <w:tl2br w:val="nil"/>
                    <w:tr2bl w:val="nil"/>
                  </w:tcBorders>
                  <w:noWrap/>
                  <w:tcMar>
                    <w:top w:w="0" w:type="dxa"/>
                    <w:left w:w="57" w:type="dxa"/>
                    <w:bottom w:w="0" w:type="dxa"/>
                    <w:right w:w="57" w:type="dxa"/>
                  </w:tcMar>
                  <w:vAlign w:val="center"/>
                </w:tcPr>
                <w:p w14:paraId="6FEC4638">
                  <w:pPr>
                    <w:pStyle w:val="171"/>
                    <w:keepNext w:val="0"/>
                    <w:keepLines w:val="0"/>
                    <w:suppressLineNumbers w:val="0"/>
                    <w:spacing w:before="0" w:beforeAutospacing="0" w:after="0" w:afterAutospacing="0"/>
                    <w:ind w:left="0" w:leftChars="0" w:right="0"/>
                    <w:rPr>
                      <w:rFonts w:hint="eastAsia" w:eastAsia="宋体"/>
                      <w:color w:val="000000" w:themeColor="text1"/>
                      <w:lang w:val="en-US" w:eastAsia="zh-CN"/>
                    </w:rPr>
                  </w:pPr>
                  <w:r>
                    <w:rPr>
                      <w:rFonts w:hint="eastAsia" w:eastAsia="宋体"/>
                      <w:color w:val="000000" w:themeColor="text1"/>
                      <w:lang w:val="en-US" w:eastAsia="zh-CN"/>
                    </w:rPr>
                    <w:t>/</w:t>
                  </w:r>
                </w:p>
              </w:tc>
            </w:tr>
          </w:tbl>
          <w:p w14:paraId="3C877B1C">
            <w:pPr>
              <w:keepNext w:val="0"/>
              <w:keepLines w:val="0"/>
              <w:pageBreakBefore w:val="0"/>
              <w:widowControl/>
              <w:kinsoku/>
              <w:wordWrap/>
              <w:overflowPunct/>
              <w:topLinePunct w:val="0"/>
              <w:autoSpaceDE/>
              <w:autoSpaceDN/>
              <w:bidi w:val="0"/>
              <w:spacing w:line="360" w:lineRule="auto"/>
              <w:ind w:left="0" w:firstLine="482" w:firstLineChars="200"/>
              <w:textAlignment w:val="auto"/>
              <w:rPr>
                <w:b/>
                <w:bCs/>
                <w:color w:val="000000" w:themeColor="text1"/>
                <w:sz w:val="24"/>
                <w:highlight w:val="none"/>
              </w:rPr>
            </w:pPr>
            <w:r>
              <w:rPr>
                <w:rFonts w:hint="eastAsia"/>
                <w:b/>
                <w:bCs/>
                <w:color w:val="000000" w:themeColor="text1"/>
                <w:highlight w:val="none"/>
                <w:lang w:val="en-US" w:eastAsia="zh-CN"/>
              </w:rPr>
              <w:t>5</w:t>
            </w:r>
            <w:r>
              <w:rPr>
                <w:b/>
                <w:bCs/>
                <w:color w:val="000000" w:themeColor="text1"/>
                <w:highlight w:val="none"/>
              </w:rPr>
              <w:t>、</w:t>
            </w:r>
            <w:r>
              <w:rPr>
                <w:b/>
                <w:bCs/>
                <w:color w:val="000000" w:themeColor="text1"/>
                <w:sz w:val="24"/>
                <w:highlight w:val="none"/>
              </w:rPr>
              <w:t>与《</w:t>
            </w:r>
            <w:r>
              <w:rPr>
                <w:rFonts w:hint="eastAsia"/>
                <w:b/>
                <w:bCs/>
                <w:color w:val="000000" w:themeColor="text1"/>
                <w:sz w:val="24"/>
                <w:highlight w:val="none"/>
                <w:lang w:eastAsia="zh-CN"/>
              </w:rPr>
              <w:t>鄱阳湖生态经济区环境保护条例</w:t>
            </w:r>
            <w:r>
              <w:rPr>
                <w:b/>
                <w:bCs/>
                <w:color w:val="000000" w:themeColor="text1"/>
                <w:sz w:val="24"/>
                <w:highlight w:val="none"/>
              </w:rPr>
              <w:t>》相符性分析</w:t>
            </w:r>
          </w:p>
          <w:p w14:paraId="4970F5C5">
            <w:pPr>
              <w:keepNext w:val="0"/>
              <w:keepLines w:val="0"/>
              <w:pageBreakBefore w:val="0"/>
              <w:tabs>
                <w:tab w:val="left" w:pos="840"/>
              </w:tabs>
              <w:kinsoku/>
              <w:wordWrap/>
              <w:overflowPunct/>
              <w:topLinePunct w:val="0"/>
              <w:autoSpaceDE/>
              <w:autoSpaceDN/>
              <w:bidi w:val="0"/>
              <w:spacing w:line="360" w:lineRule="auto"/>
              <w:ind w:left="0" w:firstLine="480" w:firstLineChars="200"/>
              <w:textAlignment w:val="auto"/>
              <w:rPr>
                <w:rFonts w:hint="eastAsia"/>
                <w:color w:val="000000" w:themeColor="text1"/>
                <w:sz w:val="24"/>
                <w:highlight w:val="none"/>
              </w:rPr>
            </w:pPr>
            <w:r>
              <w:rPr>
                <w:rFonts w:hint="eastAsia"/>
                <w:color w:val="000000" w:themeColor="text1"/>
                <w:sz w:val="24"/>
                <w:highlight w:val="none"/>
                <w:lang w:eastAsia="zh-CN"/>
              </w:rPr>
              <w:t>本项目</w:t>
            </w:r>
            <w:r>
              <w:rPr>
                <w:rFonts w:hint="eastAsia"/>
                <w:color w:val="000000" w:themeColor="text1"/>
                <w:sz w:val="24"/>
                <w:highlight w:val="none"/>
              </w:rPr>
              <w:t>厂址位于</w:t>
            </w:r>
            <w:r>
              <w:rPr>
                <w:rFonts w:ascii="宋体" w:hAnsi="宋体"/>
                <w:color w:val="000000" w:themeColor="text1"/>
                <w:sz w:val="24"/>
                <w:highlight w:val="none"/>
              </w:rPr>
              <w:t>九江市柴桑区</w:t>
            </w:r>
            <w:r>
              <w:rPr>
                <w:rFonts w:hint="eastAsia" w:ascii="宋体" w:hAnsi="宋体"/>
                <w:color w:val="000000" w:themeColor="text1"/>
                <w:sz w:val="24"/>
                <w:highlight w:val="none"/>
                <w:lang w:val="en-US" w:eastAsia="zh-CN"/>
              </w:rPr>
              <w:t>赤湖</w:t>
            </w:r>
            <w:r>
              <w:rPr>
                <w:rFonts w:ascii="宋体" w:hAnsi="宋体"/>
                <w:color w:val="000000" w:themeColor="text1"/>
                <w:sz w:val="24"/>
                <w:highlight w:val="none"/>
              </w:rPr>
              <w:t>工业园</w:t>
            </w:r>
            <w:r>
              <w:rPr>
                <w:rFonts w:hint="eastAsia"/>
                <w:color w:val="000000" w:themeColor="text1"/>
                <w:sz w:val="24"/>
                <w:highlight w:val="none"/>
              </w:rPr>
              <w:t>，不属于鄱阳湖生态经济区中划分的湖体核心保护区、滨湖控制开发带，为鄱阳湖生态经济区中划分的高效集约发展区。《鄱阳湖生态经济区环境保护条例》规定：在高效集约发展区内，县级以上人民政府应当科学划分生态保护、农业发展、城镇建设和产业集聚区域。在高效集约发展区内进行开发建设活动，不得影响自然保护区、自然和文化遗产、风景名胜区、森林公园、湿地公园、地质公园以及饮用水源地、水源涵养区的生态环境和安全。</w:t>
            </w:r>
          </w:p>
          <w:p w14:paraId="43F76192">
            <w:pPr>
              <w:keepNext w:val="0"/>
              <w:keepLines w:val="0"/>
              <w:pageBreakBefore w:val="0"/>
              <w:tabs>
                <w:tab w:val="left" w:pos="840"/>
              </w:tabs>
              <w:kinsoku/>
              <w:wordWrap/>
              <w:overflowPunct/>
              <w:topLinePunct w:val="0"/>
              <w:autoSpaceDE/>
              <w:autoSpaceDN/>
              <w:bidi w:val="0"/>
              <w:spacing w:line="360" w:lineRule="auto"/>
              <w:ind w:left="0" w:firstLine="480" w:firstLineChars="200"/>
              <w:textAlignment w:val="auto"/>
              <w:rPr>
                <w:rFonts w:hint="eastAsia"/>
                <w:color w:val="000000" w:themeColor="text1"/>
                <w:sz w:val="24"/>
                <w:highlight w:val="none"/>
              </w:rPr>
            </w:pPr>
            <w:r>
              <w:rPr>
                <w:rFonts w:hint="eastAsia"/>
                <w:color w:val="000000" w:themeColor="text1"/>
                <w:sz w:val="24"/>
                <w:highlight w:val="none"/>
              </w:rPr>
              <w:t>根据《鄱阳湖生态经济区环境保护条例》：“第四十九条 在鄱阳湖生态经济区内开发利用自然资源应当采取有效措施防止环境污染和生态破坏。造成环境污染和生态破坏的开发利用者应当承担整治恢复责任。拒不履行整治恢复责任或者整治恢复不符合要求的由县级以上人民政府环境保护主管部门或者资源管理主管部门组织有治理能力的其他单位代为整治恢复所需费用由开发利用者承担。开发利用者拒不承担所需费用的由组织代为整治恢复的主管部门责令限期缴纳开发利用者逾期仍不缴纳的由组织代为整治恢复的主管部门依法申请人民法院强制执行”。</w:t>
            </w:r>
            <w:r>
              <w:rPr>
                <w:rFonts w:hint="eastAsia"/>
                <w:color w:val="000000" w:themeColor="text1"/>
                <w:sz w:val="24"/>
                <w:szCs w:val="24"/>
                <w:highlight w:val="none"/>
              </w:rPr>
              <w:t>本项目位于</w:t>
            </w:r>
            <w:r>
              <w:rPr>
                <w:rFonts w:ascii="宋体" w:hAnsi="宋体"/>
                <w:color w:val="000000" w:themeColor="text1"/>
                <w:sz w:val="24"/>
                <w:szCs w:val="24"/>
                <w:highlight w:val="none"/>
              </w:rPr>
              <w:t>九江市柴桑区</w:t>
            </w:r>
            <w:r>
              <w:rPr>
                <w:rFonts w:hint="eastAsia" w:ascii="宋体" w:hAnsi="宋体"/>
                <w:color w:val="000000" w:themeColor="text1"/>
                <w:sz w:val="24"/>
                <w:szCs w:val="24"/>
                <w:highlight w:val="none"/>
                <w:lang w:val="en-US" w:eastAsia="zh-CN"/>
              </w:rPr>
              <w:t>赤湖</w:t>
            </w:r>
            <w:r>
              <w:rPr>
                <w:rFonts w:ascii="宋体" w:hAnsi="宋体"/>
                <w:color w:val="000000" w:themeColor="text1"/>
                <w:sz w:val="24"/>
                <w:szCs w:val="24"/>
                <w:highlight w:val="none"/>
              </w:rPr>
              <w:t>工业园</w:t>
            </w:r>
            <w:r>
              <w:rPr>
                <w:rFonts w:hint="eastAsia"/>
                <w:color w:val="000000" w:themeColor="text1"/>
                <w:sz w:val="24"/>
                <w:szCs w:val="24"/>
                <w:highlight w:val="none"/>
              </w:rPr>
              <w:t>，</w:t>
            </w:r>
            <w:r>
              <w:rPr>
                <w:rFonts w:hint="eastAsia" w:ascii="Times New Roman" w:hAnsi="Times New Roman" w:eastAsia="宋体" w:cs="Times New Roman"/>
                <w:color w:val="000000" w:themeColor="text1"/>
                <w:sz w:val="24"/>
                <w:szCs w:val="24"/>
                <w:highlight w:val="none"/>
                <w:lang w:val="en-US" w:eastAsia="zh-CN"/>
              </w:rPr>
              <w:t>本项目废水为地面清洗水，经厂内化粪池处理后通过园区管网汇入赤湖工业园污水处理厂深度处理，经赤湖工业园污水处理厂</w:t>
            </w:r>
            <w:r>
              <w:rPr>
                <w:rFonts w:hint="default" w:ascii="Times New Roman" w:hAnsi="Times New Roman" w:eastAsia="宋体" w:cs="Times New Roman"/>
                <w:color w:val="000000" w:themeColor="text1"/>
                <w:sz w:val="24"/>
                <w:szCs w:val="24"/>
                <w:highlight w:val="none"/>
                <w:lang w:val="en-US" w:eastAsia="zh-CN"/>
              </w:rPr>
              <w:t>处理</w:t>
            </w:r>
            <w:r>
              <w:rPr>
                <w:rFonts w:hint="eastAsia" w:cs="Times New Roman"/>
                <w:color w:val="000000" w:themeColor="text1"/>
                <w:sz w:val="24"/>
                <w:szCs w:val="24"/>
                <w:highlight w:val="none"/>
                <w:lang w:val="en-US" w:eastAsia="zh-CN"/>
              </w:rPr>
              <w:t>达到</w:t>
            </w:r>
            <w:r>
              <w:rPr>
                <w:rFonts w:hint="default" w:ascii="Times New Roman" w:hAnsi="Times New Roman" w:eastAsia="宋体" w:cs="Times New Roman"/>
                <w:color w:val="000000" w:themeColor="text1"/>
                <w:sz w:val="24"/>
                <w:szCs w:val="24"/>
                <w:highlight w:val="none"/>
                <w:lang w:val="en-US" w:eastAsia="zh-CN"/>
              </w:rPr>
              <w:t>《城镇污水处理厂污染物排放标准》（GB18918-2002）中的</w:t>
            </w:r>
            <w:r>
              <w:rPr>
                <w:rFonts w:hint="eastAsia" w:cs="Times New Roman"/>
                <w:color w:val="000000" w:themeColor="text1"/>
                <w:sz w:val="24"/>
                <w:szCs w:val="24"/>
                <w:highlight w:val="none"/>
                <w:lang w:val="en-US" w:eastAsia="zh-CN"/>
              </w:rPr>
              <w:t>一级A</w:t>
            </w:r>
            <w:r>
              <w:rPr>
                <w:rFonts w:hint="default" w:ascii="Times New Roman" w:hAnsi="Times New Roman" w:eastAsia="宋体" w:cs="Times New Roman"/>
                <w:color w:val="000000" w:themeColor="text1"/>
                <w:sz w:val="24"/>
                <w:szCs w:val="24"/>
                <w:highlight w:val="none"/>
                <w:lang w:val="en-US" w:eastAsia="zh-CN"/>
              </w:rPr>
              <w:t>标准后，最终排入长江</w:t>
            </w:r>
            <w:r>
              <w:rPr>
                <w:rFonts w:hint="eastAsia"/>
                <w:color w:val="000000" w:themeColor="text1"/>
                <w:sz w:val="24"/>
                <w:szCs w:val="24"/>
                <w:highlight w:val="none"/>
                <w:lang w:eastAsia="zh-CN"/>
              </w:rPr>
              <w:t>，</w:t>
            </w:r>
            <w:r>
              <w:rPr>
                <w:rFonts w:hint="eastAsia"/>
                <w:color w:val="000000" w:themeColor="text1"/>
                <w:sz w:val="24"/>
                <w:szCs w:val="24"/>
                <w:highlight w:val="none"/>
              </w:rPr>
              <w:t>故</w:t>
            </w:r>
            <w:r>
              <w:rPr>
                <w:rFonts w:hint="eastAsia"/>
                <w:color w:val="000000" w:themeColor="text1"/>
                <w:sz w:val="24"/>
                <w:highlight w:val="none"/>
              </w:rPr>
              <w:t>本项目符合《鄱阳湖生态经济区环境保护条例》中的相关要求。</w:t>
            </w:r>
          </w:p>
          <w:p w14:paraId="6BEBACA3">
            <w:pPr>
              <w:keepNext w:val="0"/>
              <w:keepLines w:val="0"/>
              <w:pageBreakBefore w:val="0"/>
              <w:kinsoku/>
              <w:wordWrap/>
              <w:overflowPunct/>
              <w:topLinePunct w:val="0"/>
              <w:autoSpaceDE/>
              <w:autoSpaceDN/>
              <w:bidi w:val="0"/>
              <w:adjustRightInd w:val="0"/>
              <w:snapToGrid w:val="0"/>
              <w:spacing w:line="360" w:lineRule="auto"/>
              <w:ind w:left="0" w:firstLine="482" w:firstLineChars="200"/>
              <w:textAlignment w:val="auto"/>
              <w:rPr>
                <w:b/>
                <w:bCs/>
                <w:color w:val="000000" w:themeColor="text1"/>
                <w:sz w:val="24"/>
                <w:highlight w:val="none"/>
              </w:rPr>
            </w:pPr>
            <w:r>
              <w:rPr>
                <w:rFonts w:hint="eastAsia"/>
                <w:b/>
                <w:bCs/>
                <w:color w:val="000000" w:themeColor="text1"/>
                <w:sz w:val="24"/>
                <w:highlight w:val="none"/>
                <w:lang w:val="en-US" w:eastAsia="zh-CN"/>
              </w:rPr>
              <w:t>6</w:t>
            </w:r>
            <w:r>
              <w:rPr>
                <w:b/>
                <w:bCs/>
                <w:color w:val="000000" w:themeColor="text1"/>
                <w:sz w:val="24"/>
                <w:highlight w:val="none"/>
              </w:rPr>
              <w:t>、与《中华人民共和国长江保护法》相符性分析</w:t>
            </w:r>
          </w:p>
          <w:p w14:paraId="675BE0A8">
            <w:pPr>
              <w:pageBreakBefore w:val="0"/>
              <w:kinsoku/>
              <w:overflowPunct/>
              <w:topLinePunct w:val="0"/>
              <w:bidi w:val="0"/>
              <w:adjustRightInd w:val="0"/>
              <w:snapToGrid w:val="0"/>
              <w:spacing w:line="240" w:lineRule="auto"/>
              <w:ind w:left="0" w:firstLine="0" w:firstLineChars="0"/>
              <w:jc w:val="center"/>
              <w:rPr>
                <w:b/>
                <w:bCs/>
                <w:color w:val="000000" w:themeColor="text1"/>
                <w:sz w:val="21"/>
                <w:szCs w:val="21"/>
                <w:highlight w:val="none"/>
              </w:rPr>
            </w:pPr>
            <w:r>
              <w:rPr>
                <w:b/>
                <w:bCs/>
                <w:color w:val="000000" w:themeColor="text1"/>
                <w:sz w:val="21"/>
                <w:szCs w:val="21"/>
                <w:highlight w:val="none"/>
              </w:rPr>
              <w:t>表1-</w:t>
            </w:r>
            <w:r>
              <w:rPr>
                <w:rFonts w:hint="eastAsia"/>
                <w:b/>
                <w:bCs/>
                <w:color w:val="000000" w:themeColor="text1"/>
                <w:sz w:val="21"/>
                <w:szCs w:val="21"/>
                <w:highlight w:val="none"/>
                <w:lang w:val="en-US" w:eastAsia="zh-CN"/>
              </w:rPr>
              <w:t xml:space="preserve">10  </w:t>
            </w:r>
            <w:r>
              <w:rPr>
                <w:b/>
                <w:bCs/>
                <w:color w:val="000000" w:themeColor="text1"/>
                <w:sz w:val="21"/>
                <w:szCs w:val="21"/>
                <w:highlight w:val="none"/>
              </w:rPr>
              <w:t>项目与《中华人民共和国长江保护法》的相符性分析</w:t>
            </w:r>
          </w:p>
          <w:tbl>
            <w:tblPr>
              <w:tblStyle w:val="33"/>
              <w:tblW w:w="5000" w:type="pct"/>
              <w:jc w:val="center"/>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1"/>
              <w:gridCol w:w="5000"/>
              <w:gridCol w:w="2061"/>
            </w:tblGrid>
            <w:tr w14:paraId="0847DCB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tcBorders>
                    <w:top w:val="single" w:color="auto" w:sz="12" w:space="0"/>
                  </w:tcBorders>
                  <w:noWrap w:val="0"/>
                  <w:vAlign w:val="center"/>
                </w:tcPr>
                <w:p w14:paraId="63B5E84E">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b/>
                      <w:bCs/>
                      <w:color w:val="000000" w:themeColor="text1"/>
                      <w:sz w:val="21"/>
                      <w:szCs w:val="21"/>
                      <w:highlight w:val="none"/>
                    </w:rPr>
                  </w:pPr>
                  <w:r>
                    <w:rPr>
                      <w:b/>
                      <w:bCs/>
                      <w:color w:val="000000" w:themeColor="text1"/>
                      <w:sz w:val="21"/>
                      <w:szCs w:val="21"/>
                      <w:highlight w:val="none"/>
                    </w:rPr>
                    <w:t>项目</w:t>
                  </w:r>
                </w:p>
              </w:tc>
              <w:tc>
                <w:tcPr>
                  <w:tcW w:w="3108" w:type="pct"/>
                  <w:tcBorders>
                    <w:top w:val="single" w:color="auto" w:sz="12" w:space="0"/>
                  </w:tcBorders>
                  <w:noWrap w:val="0"/>
                  <w:vAlign w:val="center"/>
                </w:tcPr>
                <w:p w14:paraId="2F07092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b/>
                      <w:bCs/>
                      <w:color w:val="000000" w:themeColor="text1"/>
                      <w:sz w:val="21"/>
                      <w:szCs w:val="21"/>
                      <w:highlight w:val="none"/>
                    </w:rPr>
                  </w:pPr>
                  <w:r>
                    <w:rPr>
                      <w:b/>
                      <w:bCs/>
                      <w:color w:val="000000" w:themeColor="text1"/>
                      <w:sz w:val="21"/>
                      <w:szCs w:val="21"/>
                      <w:highlight w:val="none"/>
                    </w:rPr>
                    <w:t>内容</w:t>
                  </w:r>
                </w:p>
              </w:tc>
              <w:tc>
                <w:tcPr>
                  <w:tcW w:w="1281" w:type="pct"/>
                  <w:tcBorders>
                    <w:top w:val="single" w:color="auto" w:sz="12" w:space="0"/>
                  </w:tcBorders>
                  <w:noWrap w:val="0"/>
                  <w:vAlign w:val="center"/>
                </w:tcPr>
                <w:p w14:paraId="49E4DBD8">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b/>
                      <w:bCs/>
                      <w:color w:val="000000" w:themeColor="text1"/>
                      <w:sz w:val="21"/>
                      <w:szCs w:val="21"/>
                      <w:highlight w:val="none"/>
                    </w:rPr>
                  </w:pPr>
                  <w:r>
                    <w:rPr>
                      <w:b/>
                      <w:bCs/>
                      <w:color w:val="000000" w:themeColor="text1"/>
                      <w:sz w:val="21"/>
                      <w:szCs w:val="21"/>
                      <w:highlight w:val="none"/>
                    </w:rPr>
                    <w:t>相符性分析</w:t>
                  </w:r>
                </w:p>
              </w:tc>
            </w:tr>
            <w:tr w14:paraId="4999253F">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6" w:hRule="atLeast"/>
                <w:jc w:val="center"/>
              </w:trPr>
              <w:tc>
                <w:tcPr>
                  <w:tcW w:w="609" w:type="pct"/>
                  <w:noWrap w:val="0"/>
                  <w:vAlign w:val="center"/>
                </w:tcPr>
                <w:p w14:paraId="79ACDBC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总则</w:t>
                  </w:r>
                </w:p>
                <w:p w14:paraId="7AC87E1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第二条</w:t>
                  </w:r>
                </w:p>
              </w:tc>
              <w:tc>
                <w:tcPr>
                  <w:tcW w:w="3108" w:type="pct"/>
                  <w:noWrap w:val="0"/>
                  <w:vAlign w:val="center"/>
                </w:tcPr>
                <w:p w14:paraId="1A397C93">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在长江流域开展生态环境保护和修复以及长江流域各类生产生活、开发建设活动，应当遵守本法。本法所称长江流域，是指由长江干流、支流和湖泊形成的集水区域所涉及的青海省、四川省、西藏自治区、云南省、重庆市、湖北省、湖南省、江西省、安徽省、江苏省、上海市，以及甘肃省、陕西省、河南省、贵州省、广西壮族自治区、广东省、浙江省、福建省的相关县级行政区域。</w:t>
                  </w:r>
                </w:p>
              </w:tc>
              <w:tc>
                <w:tcPr>
                  <w:tcW w:w="1281" w:type="pct"/>
                  <w:noWrap w:val="0"/>
                  <w:vAlign w:val="center"/>
                </w:tcPr>
                <w:p w14:paraId="5E3E28C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本</w:t>
                  </w:r>
                  <w:r>
                    <w:rPr>
                      <w:color w:val="000000" w:themeColor="text1"/>
                      <w:sz w:val="21"/>
                      <w:szCs w:val="21"/>
                      <w:highlight w:val="none"/>
                    </w:rPr>
                    <w:t>项目</w:t>
                  </w:r>
                  <w:r>
                    <w:rPr>
                      <w:rFonts w:hint="eastAsia"/>
                      <w:color w:val="000000" w:themeColor="text1"/>
                      <w:sz w:val="21"/>
                      <w:szCs w:val="21"/>
                      <w:highlight w:val="none"/>
                      <w:lang w:val="en-US" w:eastAsia="zh-CN"/>
                    </w:rPr>
                    <w:t>位于江西省九江市柴桑区赤湖工业园，</w:t>
                  </w:r>
                  <w:r>
                    <w:rPr>
                      <w:color w:val="000000" w:themeColor="text1"/>
                      <w:sz w:val="21"/>
                      <w:szCs w:val="21"/>
                      <w:highlight w:val="none"/>
                    </w:rPr>
                    <w:t>建设</w:t>
                  </w:r>
                  <w:r>
                    <w:rPr>
                      <w:rFonts w:hint="eastAsia"/>
                      <w:color w:val="000000" w:themeColor="text1"/>
                      <w:sz w:val="21"/>
                      <w:szCs w:val="21"/>
                      <w:highlight w:val="none"/>
                      <w:lang w:val="en-US" w:eastAsia="zh-CN"/>
                    </w:rPr>
                    <w:t>定会遵守</w:t>
                  </w:r>
                  <w:r>
                    <w:rPr>
                      <w:color w:val="000000" w:themeColor="text1"/>
                      <w:sz w:val="21"/>
                      <w:szCs w:val="21"/>
                      <w:highlight w:val="none"/>
                    </w:rPr>
                    <w:t>《中华人民共和国长江保护法》要求。</w:t>
                  </w:r>
                </w:p>
              </w:tc>
            </w:tr>
            <w:tr w14:paraId="7838E99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44E680C1">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color w:val="000000" w:themeColor="text1"/>
                      <w:sz w:val="21"/>
                      <w:szCs w:val="21"/>
                      <w:highlight w:val="none"/>
                    </w:rPr>
                  </w:pPr>
                  <w:r>
                    <w:rPr>
                      <w:color w:val="000000" w:themeColor="text1"/>
                      <w:sz w:val="21"/>
                      <w:szCs w:val="21"/>
                      <w:highlight w:val="none"/>
                    </w:rPr>
                    <w:t>规划与管控 第二十条</w:t>
                  </w:r>
                </w:p>
              </w:tc>
              <w:tc>
                <w:tcPr>
                  <w:tcW w:w="3108" w:type="pct"/>
                  <w:noWrap w:val="0"/>
                  <w:vAlign w:val="center"/>
                </w:tcPr>
                <w:p w14:paraId="3A6B00F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highlight w:val="none"/>
                    </w:rPr>
                  </w:pPr>
                  <w:r>
                    <w:rPr>
                      <w:rFonts w:hint="eastAsia" w:ascii="Times New Roman" w:hAnsi="Times New Roman" w:eastAsia="宋体" w:cs="Times New Roman"/>
                      <w:color w:val="000000" w:themeColor="text1"/>
                      <w:sz w:val="21"/>
                      <w:szCs w:val="21"/>
                      <w:highlight w:val="none"/>
                    </w:rPr>
                    <w:t>长江流域国土空间开发利用活动应当符合国土空间用途管制要求，并依法取得规划许可。对不符合国土空间用途管制要求的，县级以上人民政府自然资源主管部门不得办理规划许可。</w:t>
                  </w:r>
                </w:p>
              </w:tc>
              <w:tc>
                <w:tcPr>
                  <w:tcW w:w="1281" w:type="pct"/>
                  <w:noWrap w:val="0"/>
                  <w:vAlign w:val="center"/>
                </w:tcPr>
                <w:p w14:paraId="62B986D1">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本项目已取得土地许可证，</w:t>
                  </w:r>
                  <w:r>
                    <w:rPr>
                      <w:rFonts w:hint="eastAsia" w:ascii="Times New Roman" w:hAnsi="Times New Roman" w:eastAsia="宋体" w:cs="Times New Roman"/>
                      <w:color w:val="000000" w:themeColor="text1"/>
                      <w:sz w:val="21"/>
                      <w:szCs w:val="21"/>
                      <w:highlight w:val="none"/>
                    </w:rPr>
                    <w:t>符合国土空间用途管制要求</w:t>
                  </w:r>
                </w:p>
              </w:tc>
            </w:tr>
            <w:tr w14:paraId="0A191DB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50D40DC3">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color w:val="000000" w:themeColor="text1"/>
                      <w:sz w:val="21"/>
                      <w:szCs w:val="21"/>
                      <w:highlight w:val="none"/>
                    </w:rPr>
                  </w:pPr>
                  <w:r>
                    <w:rPr>
                      <w:color w:val="000000" w:themeColor="text1"/>
                      <w:sz w:val="21"/>
                      <w:szCs w:val="21"/>
                      <w:highlight w:val="none"/>
                    </w:rPr>
                    <w:t>规划与管控 第二十</w:t>
                  </w:r>
                  <w:r>
                    <w:rPr>
                      <w:rFonts w:hint="eastAsia"/>
                      <w:color w:val="000000" w:themeColor="text1"/>
                      <w:sz w:val="21"/>
                      <w:szCs w:val="21"/>
                      <w:highlight w:val="none"/>
                      <w:lang w:val="en-US" w:eastAsia="zh-CN"/>
                    </w:rPr>
                    <w:t>一</w:t>
                  </w:r>
                  <w:r>
                    <w:rPr>
                      <w:color w:val="000000" w:themeColor="text1"/>
                      <w:sz w:val="21"/>
                      <w:szCs w:val="21"/>
                      <w:highlight w:val="none"/>
                    </w:rPr>
                    <w:t>条</w:t>
                  </w:r>
                </w:p>
              </w:tc>
              <w:tc>
                <w:tcPr>
                  <w:tcW w:w="3108" w:type="pct"/>
                  <w:noWrap w:val="0"/>
                  <w:vAlign w:val="center"/>
                </w:tcPr>
                <w:p w14:paraId="6693664E">
                  <w:pPr>
                    <w:pStyle w:val="2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color w:val="000000" w:themeColor="text1"/>
                      <w:sz w:val="21"/>
                      <w:szCs w:val="21"/>
                      <w:highlight w:val="none"/>
                    </w:rPr>
                  </w:pPr>
                  <w:r>
                    <w:rPr>
                      <w:rFonts w:hint="eastAsia" w:ascii="Times New Roman" w:hAnsi="Times New Roman" w:eastAsia="宋体" w:cs="Times New Roman"/>
                      <w:color w:val="000000" w:themeColor="text1"/>
                      <w:kern w:val="2"/>
                      <w:sz w:val="21"/>
                      <w:szCs w:val="21"/>
                      <w:highlight w:val="none"/>
                      <w:lang w:val="en-US" w:eastAsia="zh-CN" w:bidi="ar-SA"/>
                    </w:rP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1281" w:type="pct"/>
                  <w:noWrap w:val="0"/>
                  <w:vAlign w:val="center"/>
                </w:tcPr>
                <w:p w14:paraId="44F34CAD">
                  <w:pPr>
                    <w:keepNext w:val="0"/>
                    <w:keepLines w:val="0"/>
                    <w:pageBreakBefore w:val="0"/>
                    <w:widowControl/>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本项目</w:t>
                  </w:r>
                  <w:r>
                    <w:rPr>
                      <w:rFonts w:hint="eastAsia" w:ascii="Times New Roman" w:hAnsi="Times New Roman" w:eastAsia="宋体" w:cs="Times New Roman"/>
                      <w:color w:val="000000" w:themeColor="text1"/>
                      <w:kern w:val="2"/>
                      <w:sz w:val="21"/>
                      <w:szCs w:val="21"/>
                      <w:highlight w:val="none"/>
                      <w:lang w:val="en-US" w:eastAsia="zh-CN" w:bidi="ar-SA"/>
                    </w:rPr>
                    <w:t>污染物排放总量</w:t>
                  </w:r>
                  <w:r>
                    <w:rPr>
                      <w:rFonts w:hint="eastAsia" w:cs="Times New Roman"/>
                      <w:color w:val="000000" w:themeColor="text1"/>
                      <w:kern w:val="2"/>
                      <w:sz w:val="21"/>
                      <w:szCs w:val="21"/>
                      <w:highlight w:val="none"/>
                      <w:lang w:val="en-US" w:eastAsia="zh-CN" w:bidi="ar-SA"/>
                    </w:rPr>
                    <w:t>已</w:t>
                  </w:r>
                  <w:r>
                    <w:rPr>
                      <w:rFonts w:hint="eastAsia" w:ascii="Times New Roman" w:hAnsi="Times New Roman" w:eastAsia="宋体" w:cs="Times New Roman"/>
                      <w:color w:val="000000" w:themeColor="text1"/>
                      <w:kern w:val="2"/>
                      <w:sz w:val="21"/>
                      <w:szCs w:val="21"/>
                      <w:highlight w:val="none"/>
                      <w:lang w:val="en-US" w:eastAsia="zh-CN" w:bidi="ar-SA"/>
                    </w:rPr>
                    <w:t>取得生态环境局确认</w:t>
                  </w:r>
                </w:p>
              </w:tc>
            </w:tr>
            <w:tr w14:paraId="6207558D">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16FD4D7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规划与管控 第二十二条</w:t>
                  </w:r>
                </w:p>
              </w:tc>
              <w:tc>
                <w:tcPr>
                  <w:tcW w:w="3108" w:type="pct"/>
                  <w:noWrap w:val="0"/>
                  <w:vAlign w:val="center"/>
                </w:tcPr>
                <w:p w14:paraId="5C4A939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长江流域产业结构和布局应当与长江流域生态系统和资源环境承载能力相适应。禁止在长江流域重点生态功能区布局对生态系统有严重影响的产业。禁止重污染企业和项目向长江中上游转移。</w:t>
                  </w:r>
                </w:p>
              </w:tc>
              <w:tc>
                <w:tcPr>
                  <w:tcW w:w="1281" w:type="pct"/>
                  <w:noWrap w:val="0"/>
                  <w:vAlign w:val="center"/>
                </w:tcPr>
                <w:p w14:paraId="46747EE3">
                  <w:pPr>
                    <w:keepNext w:val="0"/>
                    <w:keepLines w:val="0"/>
                    <w:pageBreakBefore w:val="0"/>
                    <w:widowControl/>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本项目</w:t>
                  </w:r>
                  <w:r>
                    <w:rPr>
                      <w:color w:val="000000" w:themeColor="text1"/>
                      <w:sz w:val="21"/>
                      <w:szCs w:val="21"/>
                      <w:highlight w:val="none"/>
                    </w:rPr>
                    <w:t>不属于对生态系统有严重影响的产业及重污染项目</w:t>
                  </w:r>
                </w:p>
              </w:tc>
            </w:tr>
            <w:tr w14:paraId="56269A2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restart"/>
                  <w:noWrap w:val="0"/>
                  <w:vAlign w:val="center"/>
                </w:tcPr>
                <w:p w14:paraId="0AFFEDA9">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规划与管控第二十六条</w:t>
                  </w:r>
                </w:p>
              </w:tc>
              <w:tc>
                <w:tcPr>
                  <w:tcW w:w="3108" w:type="pct"/>
                  <w:noWrap w:val="0"/>
                  <w:vAlign w:val="center"/>
                </w:tcPr>
                <w:p w14:paraId="4EF3584F">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禁止在长江干支流岸线一公里范围内新建、扩建化工园区和化工项目</w:t>
                  </w:r>
                </w:p>
              </w:tc>
              <w:tc>
                <w:tcPr>
                  <w:tcW w:w="1281" w:type="pct"/>
                  <w:noWrap w:val="0"/>
                  <w:vAlign w:val="center"/>
                </w:tcPr>
                <w:p w14:paraId="63172CCC">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本项目</w:t>
                  </w:r>
                  <w:r>
                    <w:rPr>
                      <w:rFonts w:hint="eastAsia"/>
                      <w:color w:val="000000" w:themeColor="text1"/>
                      <w:sz w:val="21"/>
                      <w:szCs w:val="21"/>
                      <w:highlight w:val="none"/>
                    </w:rPr>
                    <w:t>不属于</w:t>
                  </w:r>
                  <w:r>
                    <w:rPr>
                      <w:color w:val="000000" w:themeColor="text1"/>
                      <w:sz w:val="21"/>
                      <w:szCs w:val="21"/>
                      <w:highlight w:val="none"/>
                    </w:rPr>
                    <w:t>化工园区和化工项目</w:t>
                  </w:r>
                </w:p>
              </w:tc>
            </w:tr>
            <w:tr w14:paraId="067C004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vMerge w:val="continue"/>
                  <w:noWrap w:val="0"/>
                  <w:vAlign w:val="center"/>
                </w:tcPr>
                <w:p w14:paraId="3FE52EF5">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p>
              </w:tc>
              <w:tc>
                <w:tcPr>
                  <w:tcW w:w="3108" w:type="pct"/>
                  <w:noWrap w:val="0"/>
                  <w:vAlign w:val="center"/>
                </w:tcPr>
                <w:p w14:paraId="3B90B107">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color w:val="000000" w:themeColor="text1"/>
                      <w:sz w:val="21"/>
                      <w:szCs w:val="21"/>
                      <w:highlight w:val="none"/>
                    </w:rPr>
                    <w:t>禁止在长江干流岸线三公里范围内和重要支流岸线一公里范围内新建、改建、扩建尾矿库；但是以提升安全、生态环境保护水平为目的的改建除外。</w:t>
                  </w:r>
                </w:p>
              </w:tc>
              <w:tc>
                <w:tcPr>
                  <w:tcW w:w="1281" w:type="pct"/>
                  <w:noWrap w:val="0"/>
                  <w:vAlign w:val="center"/>
                </w:tcPr>
                <w:p w14:paraId="76A1180D">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本项目</w:t>
                  </w:r>
                  <w:r>
                    <w:rPr>
                      <w:rFonts w:hint="eastAsia"/>
                      <w:color w:val="000000" w:themeColor="text1"/>
                      <w:sz w:val="21"/>
                      <w:szCs w:val="21"/>
                      <w:highlight w:val="none"/>
                    </w:rPr>
                    <w:t>不属于</w:t>
                  </w:r>
                  <w:r>
                    <w:rPr>
                      <w:color w:val="000000" w:themeColor="text1"/>
                      <w:sz w:val="21"/>
                      <w:szCs w:val="21"/>
                      <w:highlight w:val="none"/>
                    </w:rPr>
                    <w:t>尾矿库项目</w:t>
                  </w:r>
                </w:p>
              </w:tc>
            </w:tr>
            <w:tr w14:paraId="3EAD3570">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9" w:type="pct"/>
                  <w:noWrap w:val="0"/>
                  <w:vAlign w:val="center"/>
                </w:tcPr>
                <w:p w14:paraId="5596CB75">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color w:val="000000" w:themeColor="text1"/>
                      <w:sz w:val="21"/>
                      <w:szCs w:val="21"/>
                      <w:highlight w:val="none"/>
                    </w:rPr>
                  </w:pPr>
                  <w:r>
                    <w:rPr>
                      <w:color w:val="000000" w:themeColor="text1"/>
                      <w:sz w:val="21"/>
                      <w:szCs w:val="21"/>
                      <w:highlight w:val="none"/>
                    </w:rPr>
                    <w:t>规划与管控第</w:t>
                  </w:r>
                  <w:r>
                    <w:rPr>
                      <w:rFonts w:hint="eastAsia"/>
                      <w:color w:val="000000" w:themeColor="text1"/>
                      <w:sz w:val="21"/>
                      <w:szCs w:val="21"/>
                      <w:highlight w:val="none"/>
                      <w:lang w:val="en-US" w:eastAsia="zh-CN"/>
                    </w:rPr>
                    <w:t>二十七</w:t>
                  </w:r>
                  <w:r>
                    <w:rPr>
                      <w:color w:val="000000" w:themeColor="text1"/>
                      <w:sz w:val="21"/>
                      <w:szCs w:val="21"/>
                      <w:highlight w:val="none"/>
                    </w:rPr>
                    <w:t>条</w:t>
                  </w:r>
                </w:p>
              </w:tc>
              <w:tc>
                <w:tcPr>
                  <w:tcW w:w="3108" w:type="pct"/>
                  <w:noWrap w:val="0"/>
                  <w:vAlign w:val="center"/>
                </w:tcPr>
                <w:p w14:paraId="37B7997B">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highlight w:val="none"/>
                    </w:rPr>
                  </w:pPr>
                  <w:r>
                    <w:rPr>
                      <w:rFonts w:hint="eastAsia" w:ascii="Times New Roman" w:hAnsi="Times New Roman" w:eastAsia="宋体" w:cs="Times New Roman"/>
                      <w:color w:val="000000" w:themeColor="text1"/>
                      <w:sz w:val="21"/>
                      <w:szCs w:val="21"/>
                      <w:highlight w:val="none"/>
                    </w:rPr>
                    <w:t>严格限制在长江流域生态保护红线、自然保护地、水生生物重要栖息地水域实施航道整治工程；确需整治的，应当经科学论证，并依法办理相关手续。</w:t>
                  </w:r>
                </w:p>
                <w:p w14:paraId="412320A2">
                  <w:pPr>
                    <w:keepNext w:val="0"/>
                    <w:keepLines w:val="0"/>
                    <w:pageBreakBefore w:val="0"/>
                    <w:kinsoku/>
                    <w:wordWrap/>
                    <w:overflowPunct/>
                    <w:topLinePunct w:val="0"/>
                    <w:autoSpaceDE w:val="0"/>
                    <w:autoSpaceDN w:val="0"/>
                    <w:bidi w:val="0"/>
                    <w:adjustRightInd w:val="0"/>
                    <w:snapToGrid w:val="0"/>
                    <w:spacing w:line="240" w:lineRule="auto"/>
                    <w:ind w:left="0" w:firstLine="0" w:firstLineChars="0"/>
                    <w:jc w:val="center"/>
                    <w:textAlignment w:val="auto"/>
                    <w:rPr>
                      <w:rFonts w:ascii="Times New Roman" w:hAnsi="Times New Roman" w:eastAsia="宋体" w:cs="Times New Roman"/>
                      <w:color w:val="000000" w:themeColor="text1"/>
                      <w:sz w:val="21"/>
                      <w:szCs w:val="21"/>
                      <w:highlight w:val="none"/>
                    </w:rPr>
                  </w:pPr>
                </w:p>
              </w:tc>
              <w:tc>
                <w:tcPr>
                  <w:tcW w:w="1281" w:type="pct"/>
                  <w:noWrap w:val="0"/>
                  <w:vAlign w:val="center"/>
                </w:tcPr>
                <w:p w14:paraId="61B274EC">
                  <w:pPr>
                    <w:keepNext w:val="0"/>
                    <w:keepLines w:val="0"/>
                    <w:pageBreakBefore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olor w:val="000000" w:themeColor="text1"/>
                      <w:sz w:val="21"/>
                      <w:szCs w:val="21"/>
                      <w:highlight w:val="none"/>
                      <w:lang w:val="en-US" w:eastAsia="zh-CN"/>
                    </w:rPr>
                  </w:pPr>
                  <w:r>
                    <w:rPr>
                      <w:rFonts w:hint="default" w:ascii="Times New Roman" w:hAnsi="Times New Roman" w:eastAsia="宋体" w:cs="Times New Roman"/>
                      <w:b w:val="0"/>
                      <w:bCs/>
                      <w:color w:val="000000" w:themeColor="text1"/>
                      <w:sz w:val="21"/>
                      <w:szCs w:val="21"/>
                      <w:lang w:val="en-US" w:eastAsia="zh-CN"/>
                    </w:rPr>
                    <w:t>本项目</w:t>
                  </w:r>
                  <w:r>
                    <w:rPr>
                      <w:rFonts w:hint="eastAsia" w:ascii="Times New Roman" w:hAnsi="Times New Roman" w:eastAsia="宋体" w:cs="Times New Roman"/>
                      <w:b w:val="0"/>
                      <w:bCs/>
                      <w:color w:val="000000" w:themeColor="text1"/>
                      <w:sz w:val="21"/>
                      <w:szCs w:val="21"/>
                      <w:lang w:val="en-US" w:eastAsia="zh-CN"/>
                    </w:rPr>
                    <w:t>不涉及</w:t>
                  </w:r>
                  <w:r>
                    <w:rPr>
                      <w:rFonts w:hint="eastAsia" w:ascii="Times New Roman" w:hAnsi="Times New Roman" w:eastAsia="宋体" w:cs="Times New Roman"/>
                      <w:color w:val="000000" w:themeColor="text1"/>
                      <w:sz w:val="21"/>
                      <w:szCs w:val="21"/>
                      <w:highlight w:val="none"/>
                    </w:rPr>
                    <w:t>长江流域生态保护红线、自然保护地、水生生物重要栖息地</w:t>
                  </w:r>
                  <w:r>
                    <w:rPr>
                      <w:rFonts w:hint="eastAsia" w:ascii="Times New Roman" w:hAnsi="Times New Roman" w:eastAsia="宋体" w:cs="Times New Roman"/>
                      <w:color w:val="000000" w:themeColor="text1"/>
                      <w:sz w:val="21"/>
                      <w:szCs w:val="21"/>
                      <w:highlight w:val="none"/>
                      <w:lang w:eastAsia="zh-CN"/>
                    </w:rPr>
                    <w:t>，</w:t>
                  </w:r>
                  <w:r>
                    <w:rPr>
                      <w:rFonts w:hint="eastAsia" w:ascii="Times New Roman" w:hAnsi="Times New Roman" w:eastAsia="宋体" w:cs="Times New Roman"/>
                      <w:color w:val="000000" w:themeColor="text1"/>
                      <w:sz w:val="21"/>
                      <w:szCs w:val="21"/>
                      <w:highlight w:val="none"/>
                      <w:lang w:val="en-US" w:eastAsia="zh-CN"/>
                    </w:rPr>
                    <w:t>也不属于航道整治工程</w:t>
                  </w:r>
                  <w:r>
                    <w:rPr>
                      <w:rFonts w:hint="eastAsia"/>
                      <w:color w:val="000000" w:themeColor="text1"/>
                      <w:sz w:val="21"/>
                      <w:szCs w:val="21"/>
                      <w:highlight w:val="none"/>
                      <w:lang w:val="en-US" w:eastAsia="zh-CN"/>
                    </w:rPr>
                    <w:t>。</w:t>
                  </w:r>
                </w:p>
              </w:tc>
            </w:tr>
          </w:tbl>
          <w:p w14:paraId="39644205">
            <w:pPr>
              <w:pStyle w:val="159"/>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color w:val="000000" w:themeColor="text1"/>
                <w:sz w:val="24"/>
                <w:szCs w:val="24"/>
                <w:highlight w:val="none"/>
              </w:rPr>
            </w:pPr>
            <w:r>
              <w:rPr>
                <w:color w:val="000000" w:themeColor="text1"/>
                <w:sz w:val="24"/>
                <w:szCs w:val="24"/>
                <w:highlight w:val="none"/>
              </w:rPr>
              <w:t>综上所述，本项目符合《中华人民共和国长江保护法》的要求。</w:t>
            </w:r>
          </w:p>
          <w:p w14:paraId="7C3D4CFE">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cs="Times New Roman"/>
                <w:b/>
                <w:bCs/>
                <w:color w:val="000000" w:themeColor="text1"/>
                <w:lang w:val="en-US" w:eastAsia="zh-CN"/>
              </w:rPr>
            </w:pPr>
            <w:r>
              <w:rPr>
                <w:rFonts w:hint="eastAsia"/>
                <w:b/>
                <w:bCs/>
                <w:color w:val="000000" w:themeColor="text1"/>
                <w:sz w:val="24"/>
                <w:highlight w:val="none"/>
                <w:lang w:val="en-US" w:eastAsia="zh-CN"/>
              </w:rPr>
              <w:t>7</w:t>
            </w:r>
            <w:r>
              <w:rPr>
                <w:rFonts w:hint="eastAsia"/>
                <w:b/>
                <w:bCs/>
                <w:color w:val="000000" w:themeColor="text1"/>
                <w:sz w:val="24"/>
                <w:highlight w:val="none"/>
              </w:rPr>
              <w:t>、</w:t>
            </w:r>
            <w:r>
              <w:rPr>
                <w:rFonts w:hint="default" w:ascii="Times New Roman" w:hAnsi="Times New Roman" w:eastAsia="宋体" w:cs="Times New Roman"/>
                <w:b/>
                <w:bCs/>
                <w:color w:val="000000" w:themeColor="text1"/>
                <w:sz w:val="24"/>
                <w:szCs w:val="24"/>
                <w:lang w:val="en-US" w:eastAsia="zh-CN"/>
              </w:rPr>
              <w:t>《关于深入打好污染防治攻坚战的意见》相符性分析</w:t>
            </w:r>
          </w:p>
          <w:p w14:paraId="3BD0ADEF">
            <w:pPr>
              <w:keepNext w:val="0"/>
              <w:keepLines w:val="0"/>
              <w:suppressLineNumbers w:val="0"/>
              <w:tabs>
                <w:tab w:val="left" w:pos="3026"/>
              </w:tabs>
              <w:spacing w:before="0" w:beforeAutospacing="0" w:after="0" w:afterAutospacing="0" w:line="240" w:lineRule="auto"/>
              <w:ind w:left="0" w:right="0" w:firstLine="422"/>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表1-</w:t>
            </w:r>
            <w:r>
              <w:rPr>
                <w:rFonts w:hint="eastAsia" w:cs="Times New Roman"/>
                <w:b/>
                <w:bCs/>
                <w:color w:val="000000" w:themeColor="text1"/>
                <w:sz w:val="21"/>
                <w:szCs w:val="21"/>
                <w:lang w:val="en-US" w:eastAsia="zh-CN"/>
              </w:rPr>
              <w:t>11</w:t>
            </w:r>
            <w:r>
              <w:rPr>
                <w:rFonts w:hint="default" w:ascii="Times New Roman" w:hAnsi="Times New Roman" w:eastAsia="宋体" w:cs="Times New Roman"/>
                <w:b/>
                <w:bCs/>
                <w:color w:val="000000" w:themeColor="text1"/>
                <w:sz w:val="21"/>
                <w:szCs w:val="21"/>
              </w:rPr>
              <w:t xml:space="preserve"> 与《</w:t>
            </w:r>
            <w:r>
              <w:rPr>
                <w:rFonts w:hint="default" w:ascii="Times New Roman" w:hAnsi="Times New Roman" w:eastAsia="宋体" w:cs="Times New Roman"/>
                <w:b/>
                <w:bCs/>
                <w:color w:val="000000" w:themeColor="text1"/>
                <w:sz w:val="24"/>
                <w:szCs w:val="24"/>
                <w:lang w:val="en-US" w:eastAsia="zh-CN"/>
              </w:rPr>
              <w:t>关于深入打好污染防治攻坚战的意见</w:t>
            </w:r>
            <w:r>
              <w:rPr>
                <w:rFonts w:hint="default" w:ascii="Times New Roman" w:hAnsi="Times New Roman" w:eastAsia="宋体" w:cs="Times New Roman"/>
                <w:b/>
                <w:bCs/>
                <w:color w:val="000000" w:themeColor="text1"/>
                <w:sz w:val="21"/>
                <w:szCs w:val="21"/>
              </w:rPr>
              <w:t>》相符性分析</w:t>
            </w:r>
          </w:p>
          <w:tbl>
            <w:tblPr>
              <w:tblStyle w:val="34"/>
              <w:tblW w:w="81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7"/>
              <w:gridCol w:w="1437"/>
              <w:gridCol w:w="1225"/>
            </w:tblGrid>
            <w:tr w14:paraId="7F782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57" w:type="dxa"/>
                  <w:tcBorders>
                    <w:tl2br w:val="nil"/>
                    <w:tr2bl w:val="nil"/>
                  </w:tcBorders>
                  <w:vAlign w:val="center"/>
                </w:tcPr>
                <w:p w14:paraId="16878138">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意见相关内容</w:t>
                  </w:r>
                </w:p>
              </w:tc>
              <w:tc>
                <w:tcPr>
                  <w:tcW w:w="1437" w:type="dxa"/>
                  <w:tcBorders>
                    <w:tl2br w:val="nil"/>
                    <w:tr2bl w:val="nil"/>
                  </w:tcBorders>
                  <w:vAlign w:val="center"/>
                </w:tcPr>
                <w:p w14:paraId="2B02305E">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本项目</w:t>
                  </w:r>
                </w:p>
              </w:tc>
              <w:tc>
                <w:tcPr>
                  <w:tcW w:w="1225" w:type="dxa"/>
                  <w:tcBorders>
                    <w:tl2br w:val="nil"/>
                    <w:tr2bl w:val="nil"/>
                  </w:tcBorders>
                  <w:vAlign w:val="center"/>
                </w:tcPr>
                <w:p w14:paraId="1902DE28">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是否符合</w:t>
                  </w:r>
                </w:p>
              </w:tc>
            </w:tr>
            <w:tr w14:paraId="1801F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9" w:hRule="atLeast"/>
                <w:jc w:val="center"/>
              </w:trPr>
              <w:tc>
                <w:tcPr>
                  <w:tcW w:w="5457" w:type="dxa"/>
                  <w:tcBorders>
                    <w:tl2br w:val="nil"/>
                    <w:tr2bl w:val="nil"/>
                  </w:tcBorders>
                  <w:vAlign w:val="center"/>
                </w:tcPr>
                <w:p w14:paraId="4B7E554D">
                  <w:pPr>
                    <w:pStyle w:val="4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iCs w:val="0"/>
                      <w:caps w:val="0"/>
                      <w:color w:val="000000" w:themeColor="text1"/>
                      <w:spacing w:val="0"/>
                      <w:sz w:val="21"/>
                      <w:szCs w:val="21"/>
                      <w:shd w:val="clear" w:fill="FFFFFF"/>
                    </w:rPr>
                    <w:t>推动能源清洁低碳转型。在保障能源安全的前提下，加快煤炭减量步伐，实施可再生能源替代行动。“十四五”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增气减煤”同步，新增天然气优先保障居民生活和清洁取暖需求。提高电能占终端能源消费比重。重点区域的平原地区散煤基本清零。有序扩大清洁取暖试点城市范围，稳步提升北方地区清洁取暖水平。</w:t>
                  </w:r>
                </w:p>
              </w:tc>
              <w:tc>
                <w:tcPr>
                  <w:tcW w:w="1437" w:type="dxa"/>
                  <w:tcBorders>
                    <w:tl2br w:val="nil"/>
                    <w:tr2bl w:val="nil"/>
                  </w:tcBorders>
                  <w:vAlign w:val="center"/>
                </w:tcPr>
                <w:p w14:paraId="616C1CFA">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w:t>
                  </w:r>
                  <w:r>
                    <w:rPr>
                      <w:rFonts w:hint="default" w:ascii="Times New Roman" w:hAnsi="Times New Roman" w:eastAsia="宋体" w:cs="Times New Roman"/>
                      <w:i w:val="0"/>
                      <w:iCs w:val="0"/>
                      <w:caps w:val="0"/>
                      <w:color w:val="000000" w:themeColor="text1"/>
                      <w:spacing w:val="0"/>
                      <w:sz w:val="21"/>
                      <w:szCs w:val="21"/>
                      <w:shd w:val="clear" w:fill="FFFFFF"/>
                      <w:lang w:eastAsia="zh-CN"/>
                    </w:rPr>
                    <w:t>使用天然气</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、电等清洁能源</w:t>
                  </w:r>
                </w:p>
              </w:tc>
              <w:tc>
                <w:tcPr>
                  <w:tcW w:w="1225" w:type="dxa"/>
                  <w:tcBorders>
                    <w:tl2br w:val="nil"/>
                    <w:tr2bl w:val="nil"/>
                  </w:tcBorders>
                  <w:vAlign w:val="center"/>
                </w:tcPr>
                <w:p w14:paraId="5AD616CD">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748BB6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5" w:hRule="atLeast"/>
                <w:jc w:val="center"/>
              </w:trPr>
              <w:tc>
                <w:tcPr>
                  <w:tcW w:w="5457" w:type="dxa"/>
                  <w:tcBorders>
                    <w:tl2br w:val="nil"/>
                    <w:tr2bl w:val="nil"/>
                  </w:tcBorders>
                  <w:vAlign w:val="center"/>
                </w:tcPr>
                <w:p w14:paraId="27FD001D">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iCs w:val="0"/>
                      <w:caps w:val="0"/>
                      <w:color w:val="000000" w:themeColor="text1"/>
                      <w:spacing w:val="0"/>
                      <w:sz w:val="21"/>
                      <w:szCs w:val="21"/>
                      <w:shd w:val="clear" w:fill="FFFFFF"/>
                    </w:rPr>
                    <w:t>坚决遏制高耗能高排放项目盲目发展。严把高耗能高排放项目准入关口，严格落实污染物排放区域削减要求，对不符合规定的项目坚决停批停建。依法依规淘汰落后产能和化解过剩产能。推动高炉－转炉长流程炼钢转型为电炉短流程炼钢。重点区域严禁新增钢铁、焦化、水泥熟料、平板玻璃、电解铝、氧化铝、煤化工产能，合理控制煤制油气产能规模，严控新增炼油产能。</w:t>
                  </w:r>
                </w:p>
              </w:tc>
              <w:tc>
                <w:tcPr>
                  <w:tcW w:w="1437" w:type="dxa"/>
                  <w:tcBorders>
                    <w:tl2br w:val="nil"/>
                    <w:tr2bl w:val="nil"/>
                  </w:tcBorders>
                  <w:vAlign w:val="center"/>
                </w:tcPr>
                <w:p w14:paraId="557977A9">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本项目属于</w:t>
                  </w:r>
                  <w:r>
                    <w:rPr>
                      <w:rFonts w:hint="eastAsia" w:ascii="Times New Roman" w:hAnsi="Times New Roman" w:eastAsia="宋体" w:cs="Times New Roman"/>
                      <w:i w:val="0"/>
                      <w:iCs w:val="0"/>
                      <w:caps w:val="0"/>
                      <w:color w:val="000000" w:themeColor="text1"/>
                      <w:spacing w:val="0"/>
                      <w:sz w:val="21"/>
                      <w:szCs w:val="21"/>
                      <w:shd w:val="clear" w:fill="FFFFFF"/>
                      <w:lang w:eastAsia="zh-CN"/>
                    </w:rPr>
                    <w:t>塑料零件及其他塑料制品制造、非金属废料和碎屑加工处理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项目</w:t>
                  </w:r>
                  <w:r>
                    <w:rPr>
                      <w:rFonts w:hint="default" w:ascii="Times New Roman" w:hAnsi="Times New Roman" w:eastAsia="宋体" w:cs="Times New Roman"/>
                      <w:i w:val="0"/>
                      <w:iCs w:val="0"/>
                      <w:caps w:val="0"/>
                      <w:color w:val="000000" w:themeColor="text1"/>
                      <w:spacing w:val="0"/>
                      <w:sz w:val="21"/>
                      <w:szCs w:val="21"/>
                      <w:shd w:val="clear" w:fill="FFFFFF"/>
                      <w:lang w:eastAsia="zh-CN"/>
                    </w:rPr>
                    <w:t>，非高耗能高排放项目</w:t>
                  </w:r>
                </w:p>
              </w:tc>
              <w:tc>
                <w:tcPr>
                  <w:tcW w:w="1225" w:type="dxa"/>
                  <w:tcBorders>
                    <w:tl2br w:val="nil"/>
                    <w:tr2bl w:val="nil"/>
                  </w:tcBorders>
                  <w:vAlign w:val="center"/>
                </w:tcPr>
                <w:p w14:paraId="7955B337">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EFA0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5457" w:type="dxa"/>
                  <w:tcBorders>
                    <w:tl2br w:val="nil"/>
                    <w:tr2bl w:val="nil"/>
                  </w:tcBorders>
                  <w:vAlign w:val="center"/>
                </w:tcPr>
                <w:p w14:paraId="5B96BBCB">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iCs w:val="0"/>
                      <w:caps w:val="0"/>
                      <w:color w:val="000000" w:themeColor="text1"/>
                      <w:spacing w:val="0"/>
                      <w:sz w:val="21"/>
                      <w:szCs w:val="21"/>
                      <w:shd w:val="clear" w:fill="FFFFFF"/>
                    </w:rPr>
                    <w:t>推进清洁生产和能源资源节约高效利用。引导重点行业深入实施清洁生产改造，依法开展自愿性清洁生产评价认证。大力推行绿色制造，构建资源循环利用体系。推动煤炭等化石能源清洁高效利用。加强重点领域节能，提高能源使用效率。实施国家节水行动，强化农业节水增效、工业节水减排、城镇节水降损。推进污水资源化利用和海水淡化规模化利用。</w:t>
                  </w:r>
                </w:p>
              </w:tc>
              <w:tc>
                <w:tcPr>
                  <w:tcW w:w="1437" w:type="dxa"/>
                  <w:tcBorders>
                    <w:tl2br w:val="nil"/>
                    <w:tr2bl w:val="nil"/>
                  </w:tcBorders>
                  <w:vAlign w:val="center"/>
                </w:tcPr>
                <w:p w14:paraId="6FDDD221">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w:t>
                  </w:r>
                  <w:r>
                    <w:rPr>
                      <w:rFonts w:hint="default" w:ascii="Times New Roman" w:hAnsi="Times New Roman" w:eastAsia="宋体" w:cs="Times New Roman"/>
                      <w:i w:val="0"/>
                      <w:iCs w:val="0"/>
                      <w:caps w:val="0"/>
                      <w:color w:val="000000" w:themeColor="text1"/>
                      <w:spacing w:val="0"/>
                      <w:sz w:val="21"/>
                      <w:szCs w:val="21"/>
                      <w:shd w:val="clear" w:fill="FFFFFF"/>
                      <w:lang w:eastAsia="zh-CN"/>
                    </w:rPr>
                    <w:t>使用天然气</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、电等清洁能源</w:t>
                  </w:r>
                  <w:r>
                    <w:rPr>
                      <w:rFonts w:hint="default" w:ascii="Times New Roman" w:hAnsi="Times New Roman" w:eastAsia="宋体" w:cs="Times New Roman"/>
                      <w:i w:val="0"/>
                      <w:iCs w:val="0"/>
                      <w:caps w:val="0"/>
                      <w:color w:val="000000" w:themeColor="text1"/>
                      <w:spacing w:val="0"/>
                      <w:sz w:val="21"/>
                      <w:szCs w:val="21"/>
                      <w:shd w:val="clear" w:fill="FFFFFF"/>
                      <w:lang w:eastAsia="zh-CN"/>
                    </w:rPr>
                    <w:t>，符合清洁生产要求</w:t>
                  </w:r>
                </w:p>
              </w:tc>
              <w:tc>
                <w:tcPr>
                  <w:tcW w:w="1225" w:type="dxa"/>
                  <w:tcBorders>
                    <w:tl2br w:val="nil"/>
                    <w:tr2bl w:val="nil"/>
                  </w:tcBorders>
                  <w:vAlign w:val="center"/>
                </w:tcPr>
                <w:p w14:paraId="7DFB51FE">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r w14:paraId="62B459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5457" w:type="dxa"/>
                  <w:tcBorders>
                    <w:tl2br w:val="nil"/>
                    <w:tr2bl w:val="nil"/>
                  </w:tcBorders>
                  <w:vAlign w:val="center"/>
                </w:tcPr>
                <w:p w14:paraId="0E06F4E9">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i w:val="0"/>
                      <w:iCs w:val="0"/>
                      <w:caps w:val="0"/>
                      <w:color w:val="000000" w:themeColor="text1"/>
                      <w:spacing w:val="0"/>
                      <w:sz w:val="21"/>
                      <w:szCs w:val="21"/>
                      <w:shd w:val="clear" w:fill="FFFFFF"/>
                    </w:rPr>
                    <w:t>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437" w:type="dxa"/>
                  <w:tcBorders>
                    <w:tl2br w:val="nil"/>
                    <w:tr2bl w:val="nil"/>
                  </w:tcBorders>
                  <w:vAlign w:val="center"/>
                </w:tcPr>
                <w:p w14:paraId="4664BA13">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w:t>
                  </w:r>
                  <w:r>
                    <w:rPr>
                      <w:rFonts w:hint="default" w:ascii="Times New Roman" w:hAnsi="Times New Roman" w:eastAsia="宋体" w:cs="Times New Roman"/>
                      <w:i w:val="0"/>
                      <w:iCs w:val="0"/>
                      <w:caps w:val="0"/>
                      <w:color w:val="000000" w:themeColor="text1"/>
                      <w:spacing w:val="0"/>
                      <w:sz w:val="21"/>
                      <w:szCs w:val="21"/>
                      <w:shd w:val="clear" w:fill="FFFFFF"/>
                      <w:lang w:eastAsia="zh-CN"/>
                    </w:rPr>
                    <w:t>位于</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柴桑区赤湖工业园</w:t>
                  </w:r>
                  <w:r>
                    <w:rPr>
                      <w:rFonts w:hint="default" w:ascii="Times New Roman" w:hAnsi="Times New Roman" w:eastAsia="宋体" w:cs="Times New Roman"/>
                      <w:i w:val="0"/>
                      <w:iCs w:val="0"/>
                      <w:caps w:val="0"/>
                      <w:color w:val="000000" w:themeColor="text1"/>
                      <w:spacing w:val="0"/>
                      <w:sz w:val="21"/>
                      <w:szCs w:val="21"/>
                      <w:shd w:val="clear" w:fill="FFFFFF"/>
                      <w:lang w:eastAsia="zh-CN"/>
                    </w:rPr>
                    <w:t>，符合</w:t>
                  </w:r>
                  <w:r>
                    <w:rPr>
                      <w:rFonts w:hint="eastAsia" w:ascii="Times New Roman" w:hAnsi="Times New Roman" w:eastAsia="宋体" w:cs="Times New Roman"/>
                      <w:i w:val="0"/>
                      <w:iCs w:val="0"/>
                      <w:caps w:val="0"/>
                      <w:color w:val="000000" w:themeColor="text1"/>
                      <w:spacing w:val="0"/>
                      <w:sz w:val="21"/>
                      <w:szCs w:val="21"/>
                      <w:shd w:val="clear" w:fill="FFFFFF"/>
                      <w:lang w:eastAsia="zh-CN"/>
                    </w:rPr>
                    <w:t>“三线一单”</w:t>
                  </w:r>
                  <w:r>
                    <w:rPr>
                      <w:rFonts w:hint="default" w:ascii="Times New Roman" w:hAnsi="Times New Roman" w:eastAsia="宋体" w:cs="Times New Roman"/>
                      <w:i w:val="0"/>
                      <w:iCs w:val="0"/>
                      <w:caps w:val="0"/>
                      <w:color w:val="000000" w:themeColor="text1"/>
                      <w:spacing w:val="0"/>
                      <w:sz w:val="21"/>
                      <w:szCs w:val="21"/>
                      <w:shd w:val="clear" w:fill="FFFFFF"/>
                      <w:lang w:eastAsia="zh-CN"/>
                    </w:rPr>
                    <w:t>要求</w:t>
                  </w:r>
                </w:p>
              </w:tc>
              <w:tc>
                <w:tcPr>
                  <w:tcW w:w="1225" w:type="dxa"/>
                  <w:tcBorders>
                    <w:tl2br w:val="nil"/>
                    <w:tr2bl w:val="nil"/>
                  </w:tcBorders>
                  <w:vAlign w:val="center"/>
                </w:tcPr>
                <w:p w14:paraId="375EE263">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符合</w:t>
                  </w:r>
                </w:p>
              </w:tc>
            </w:tr>
          </w:tbl>
          <w:p w14:paraId="23834858">
            <w:pPr>
              <w:pStyle w:val="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2" w:firstLineChars="200"/>
              <w:textAlignment w:val="auto"/>
              <w:rPr>
                <w:rFonts w:hint="eastAsia" w:cs="Times New Roman"/>
                <w:b/>
                <w:bCs/>
                <w:color w:val="000000" w:themeColor="text1"/>
                <w:lang w:val="en-US" w:eastAsia="zh-CN"/>
              </w:rPr>
            </w:pPr>
            <w:r>
              <w:rPr>
                <w:rFonts w:hint="eastAsia"/>
                <w:b/>
                <w:bCs/>
                <w:color w:val="000000" w:themeColor="text1"/>
                <w:sz w:val="24"/>
                <w:highlight w:val="none"/>
                <w:lang w:val="en-US" w:eastAsia="zh-CN"/>
              </w:rPr>
              <w:t>8</w:t>
            </w:r>
            <w:r>
              <w:rPr>
                <w:rFonts w:hint="eastAsia"/>
                <w:b/>
                <w:bCs/>
                <w:color w:val="000000" w:themeColor="text1"/>
                <w:sz w:val="24"/>
                <w:highlight w:val="none"/>
              </w:rPr>
              <w:t>、</w:t>
            </w:r>
            <w:r>
              <w:rPr>
                <w:rFonts w:hint="eastAsia"/>
                <w:b/>
                <w:bCs/>
                <w:color w:val="000000" w:themeColor="text1"/>
                <w:sz w:val="24"/>
                <w:highlight w:val="none"/>
                <w:lang w:val="en-US" w:eastAsia="zh-CN"/>
              </w:rPr>
              <w:t>与</w:t>
            </w:r>
            <w:r>
              <w:rPr>
                <w:rFonts w:hint="default" w:ascii="Times New Roman" w:hAnsi="Times New Roman" w:eastAsia="宋体" w:cs="Times New Roman"/>
                <w:b/>
                <w:bCs/>
                <w:color w:val="000000" w:themeColor="text1"/>
                <w:sz w:val="24"/>
                <w:szCs w:val="24"/>
                <w:lang w:val="en-US" w:eastAsia="zh-CN"/>
              </w:rPr>
              <w:t>《环境保护综合名录》</w:t>
            </w:r>
            <w:r>
              <w:rPr>
                <w:rFonts w:hint="eastAsia" w:ascii="Times New Roman" w:hAnsi="Times New Roman" w:eastAsia="宋体" w:cs="Times New Roman"/>
                <w:b/>
                <w:bCs/>
                <w:color w:val="000000" w:themeColor="text1"/>
                <w:sz w:val="24"/>
                <w:szCs w:val="24"/>
                <w:lang w:val="en-US" w:eastAsia="zh-CN"/>
              </w:rPr>
              <w:t>（2021年版）</w:t>
            </w:r>
            <w:r>
              <w:rPr>
                <w:rFonts w:hint="default" w:ascii="Times New Roman" w:hAnsi="Times New Roman" w:eastAsia="宋体" w:cs="Times New Roman"/>
                <w:b/>
                <w:bCs/>
                <w:color w:val="000000" w:themeColor="text1"/>
                <w:sz w:val="24"/>
                <w:szCs w:val="24"/>
                <w:lang w:val="en-US" w:eastAsia="zh-CN"/>
              </w:rPr>
              <w:t>相符性分析</w:t>
            </w:r>
          </w:p>
          <w:p w14:paraId="6E9B8115">
            <w:pPr>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Times New Roman" w:hAnsi="Times New Roman" w:eastAsia="宋体" w:cs="Times New Roman"/>
                <w:b w:val="0"/>
                <w:bCs w:val="0"/>
                <w:color w:val="000000" w:themeColor="text1"/>
                <w:sz w:val="24"/>
                <w:szCs w:val="24"/>
                <w:lang w:val="en-US" w:eastAsia="zh-CN"/>
              </w:rPr>
            </w:pPr>
            <w:r>
              <w:rPr>
                <w:rFonts w:hint="eastAsia"/>
                <w:color w:val="000000" w:themeColor="text1"/>
                <w:sz w:val="24"/>
                <w:highlight w:val="none"/>
                <w:lang w:val="en-US" w:eastAsia="zh-CN"/>
              </w:rPr>
              <w:t>本项目为扩建项目，主要为现有项目的生产工艺技改，在现有项目工艺的基础上增加塑料母粒生产。根据</w:t>
            </w:r>
            <w:r>
              <w:rPr>
                <w:rFonts w:hint="default" w:ascii="Times New Roman" w:hAnsi="Times New Roman" w:eastAsia="宋体" w:cs="Times New Roman"/>
                <w:b w:val="0"/>
                <w:bCs w:val="0"/>
                <w:color w:val="000000" w:themeColor="text1"/>
                <w:sz w:val="24"/>
                <w:szCs w:val="24"/>
                <w:lang w:val="en-US" w:eastAsia="zh-CN"/>
              </w:rPr>
              <w:t>《环境保护综合名录》</w:t>
            </w:r>
            <w:r>
              <w:rPr>
                <w:rFonts w:hint="eastAsia" w:ascii="Times New Roman" w:hAnsi="Times New Roman" w:eastAsia="宋体" w:cs="Times New Roman"/>
                <w:b w:val="0"/>
                <w:bCs w:val="0"/>
                <w:color w:val="000000" w:themeColor="text1"/>
                <w:sz w:val="24"/>
                <w:szCs w:val="24"/>
                <w:lang w:val="en-US" w:eastAsia="zh-CN"/>
              </w:rPr>
              <w:t>（2021年版），既不在“高污染、高风险”产品名录中，也不在“高污染、高环境风险”产品名录中部分产品的“除外工艺”说明名录中。综上所述，本项目既不生产“高污染、高风险”产品，也不涉及“高污染、高环境风险”工艺，符合</w:t>
            </w:r>
            <w:r>
              <w:rPr>
                <w:rFonts w:hint="default" w:ascii="Times New Roman" w:hAnsi="Times New Roman" w:eastAsia="宋体" w:cs="Times New Roman"/>
                <w:b w:val="0"/>
                <w:bCs w:val="0"/>
                <w:color w:val="000000" w:themeColor="text1"/>
                <w:sz w:val="24"/>
                <w:szCs w:val="24"/>
                <w:lang w:val="en-US" w:eastAsia="zh-CN"/>
              </w:rPr>
              <w:t>《环境保护综合名录》</w:t>
            </w:r>
            <w:r>
              <w:rPr>
                <w:rFonts w:hint="eastAsia" w:ascii="Times New Roman" w:hAnsi="Times New Roman" w:eastAsia="宋体" w:cs="Times New Roman"/>
                <w:b w:val="0"/>
                <w:bCs w:val="0"/>
                <w:color w:val="000000" w:themeColor="text1"/>
                <w:sz w:val="24"/>
                <w:szCs w:val="24"/>
                <w:lang w:val="en-US" w:eastAsia="zh-CN"/>
              </w:rPr>
              <w:t>（2021年版）的要求。</w:t>
            </w:r>
          </w:p>
          <w:p w14:paraId="7DC4504E">
            <w:pPr>
              <w:widowControl/>
              <w:spacing w:line="360" w:lineRule="auto"/>
              <w:ind w:firstLine="482" w:firstLineChars="200"/>
              <w:rPr>
                <w:rFonts w:hint="default" w:ascii="Times New Roman" w:hAnsi="Times New Roman" w:eastAsia="宋体" w:cs="Times New Roman"/>
                <w:b/>
                <w:bCs/>
                <w:color w:val="000000" w:themeColor="text1"/>
                <w:sz w:val="24"/>
                <w:highlight w:val="none"/>
              </w:rPr>
            </w:pPr>
            <w:r>
              <w:rPr>
                <w:rFonts w:hint="eastAsia" w:cs="Times New Roman"/>
                <w:b/>
                <w:bCs/>
                <w:color w:val="000000" w:themeColor="text1"/>
                <w:sz w:val="24"/>
                <w:highlight w:val="none"/>
                <w:lang w:val="en-US" w:eastAsia="zh-CN"/>
              </w:rPr>
              <w:t>9</w:t>
            </w:r>
            <w:r>
              <w:rPr>
                <w:rFonts w:hint="default" w:ascii="Times New Roman" w:hAnsi="Times New Roman" w:eastAsia="宋体" w:cs="Times New Roman"/>
                <w:b/>
                <w:bCs/>
                <w:color w:val="000000" w:themeColor="text1"/>
                <w:sz w:val="24"/>
                <w:highlight w:val="none"/>
              </w:rPr>
              <w:t>、与《2020年挥发性有机物治理攻坚方案》</w:t>
            </w:r>
            <w:r>
              <w:rPr>
                <w:rFonts w:hint="default" w:ascii="Times New Roman" w:hAnsi="Times New Roman" w:eastAsia="宋体" w:cs="Times New Roman"/>
                <w:b/>
                <w:bCs/>
                <w:color w:val="000000" w:themeColor="text1"/>
                <w:sz w:val="24"/>
                <w:highlight w:val="none"/>
                <w:lang w:val="en-US" w:eastAsia="zh-CN"/>
              </w:rPr>
              <w:t>（环大气〔2020〕33号）</w:t>
            </w:r>
            <w:r>
              <w:rPr>
                <w:rFonts w:hint="default" w:ascii="Times New Roman" w:hAnsi="Times New Roman" w:eastAsia="宋体" w:cs="Times New Roman"/>
                <w:b/>
                <w:bCs/>
                <w:color w:val="000000" w:themeColor="text1"/>
                <w:sz w:val="24"/>
                <w:highlight w:val="none"/>
              </w:rPr>
              <w:t>、《关于加快解决当前挥发性有机物治理突出问题的通知》</w:t>
            </w:r>
            <w:r>
              <w:rPr>
                <w:rFonts w:hint="eastAsia" w:cs="Times New Roman"/>
                <w:b/>
                <w:bCs/>
                <w:color w:val="000000" w:themeColor="text1"/>
                <w:sz w:val="24"/>
                <w:highlight w:val="none"/>
                <w:lang w:eastAsia="zh-CN"/>
              </w:rPr>
              <w:t>（</w:t>
            </w:r>
            <w:r>
              <w:rPr>
                <w:rFonts w:hint="default" w:ascii="Times New Roman" w:hAnsi="Times New Roman" w:eastAsia="宋体" w:cs="Times New Roman"/>
                <w:b/>
                <w:bCs/>
                <w:color w:val="000000" w:themeColor="text1"/>
                <w:sz w:val="24"/>
                <w:highlight w:val="none"/>
              </w:rPr>
              <w:t>环大气〔2021〕65号</w:t>
            </w:r>
            <w:r>
              <w:rPr>
                <w:rFonts w:hint="eastAsia" w:cs="Times New Roman"/>
                <w:b/>
                <w:bCs/>
                <w:color w:val="000000" w:themeColor="text1"/>
                <w:sz w:val="24"/>
                <w:highlight w:val="none"/>
                <w:lang w:eastAsia="zh-CN"/>
              </w:rPr>
              <w:t>）</w:t>
            </w:r>
            <w:r>
              <w:rPr>
                <w:rFonts w:hint="default" w:ascii="Times New Roman" w:hAnsi="Times New Roman" w:eastAsia="宋体" w:cs="Times New Roman"/>
                <w:b/>
                <w:bCs/>
                <w:color w:val="000000" w:themeColor="text1"/>
                <w:sz w:val="24"/>
                <w:highlight w:val="none"/>
              </w:rPr>
              <w:t>相符性分析</w:t>
            </w:r>
          </w:p>
          <w:p w14:paraId="69D39E47">
            <w:pPr>
              <w:pStyle w:val="46"/>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themeColor="text1"/>
                <w:sz w:val="24"/>
                <w:szCs w:val="24"/>
                <w:highlight w:val="none"/>
                <w:lang w:val="zh-CN" w:eastAsia="zh-CN"/>
              </w:rPr>
            </w:pPr>
            <w:r>
              <w:rPr>
                <w:rFonts w:hint="default" w:ascii="Times New Roman" w:hAnsi="Times New Roman" w:eastAsia="宋体" w:cs="Times New Roman"/>
                <w:color w:val="000000" w:themeColor="text1"/>
                <w:sz w:val="24"/>
                <w:szCs w:val="24"/>
                <w:highlight w:val="none"/>
                <w:lang w:val="zh-CN" w:eastAsia="zh-CN"/>
              </w:rPr>
              <w:t>根据《关于加快解决当前挥发性有机物治理突出问题的通知》</w:t>
            </w:r>
            <w:r>
              <w:rPr>
                <w:rFonts w:hint="eastAsia" w:ascii="Times New Roman" w:hAnsi="Times New Roman" w:eastAsia="宋体" w:cs="Times New Roman"/>
                <w:color w:val="000000" w:themeColor="text1"/>
                <w:sz w:val="24"/>
                <w:szCs w:val="24"/>
                <w:highlight w:val="none"/>
                <w:lang w:val="zh-CN" w:eastAsia="zh-CN"/>
              </w:rPr>
              <w:t>（</w:t>
            </w:r>
            <w:r>
              <w:rPr>
                <w:rFonts w:hint="default" w:ascii="Times New Roman" w:hAnsi="Times New Roman" w:eastAsia="宋体" w:cs="Times New Roman"/>
                <w:color w:val="000000" w:themeColor="text1"/>
                <w:sz w:val="24"/>
                <w:szCs w:val="24"/>
                <w:highlight w:val="none"/>
                <w:lang w:val="zh-CN" w:eastAsia="zh-CN"/>
              </w:rPr>
              <w:t>环大气〔2021〕65号</w:t>
            </w:r>
            <w:r>
              <w:rPr>
                <w:rFonts w:hint="eastAsia" w:ascii="Times New Roman" w:hAnsi="Times New Roman" w:eastAsia="宋体" w:cs="Times New Roman"/>
                <w:color w:val="000000" w:themeColor="text1"/>
                <w:sz w:val="24"/>
                <w:szCs w:val="24"/>
                <w:highlight w:val="none"/>
                <w:lang w:val="zh-CN" w:eastAsia="zh-CN"/>
              </w:rPr>
              <w:t>）</w:t>
            </w:r>
            <w:r>
              <w:rPr>
                <w:rFonts w:hint="default" w:ascii="Times New Roman" w:hAnsi="Times New Roman" w:eastAsia="宋体" w:cs="Times New Roman"/>
                <w:color w:val="000000" w:themeColor="text1"/>
                <w:sz w:val="24"/>
                <w:szCs w:val="24"/>
                <w:highlight w:val="none"/>
                <w:lang w:val="zh-CN" w:eastAsia="zh-CN"/>
              </w:rPr>
              <w:t>内容：四、强化监督落实，压实TVOC治理责任，各地要加强组织实施，监测、执法、人员、资金保障等向TVOC治理倾斜；制定细化落实方案，精心组织排查、检查、抽测等工作，完善排查清单和治理台账。检查、抽测中发现违法问题的，依法依规进行处罚；重点查处通过旁路直排偷排、治理设施擅自停运、严重超标排放，以及TVOC监测数据、LDAR、运行管理台账造假等行为；涉嫌污染环境犯罪的，及时移交司法机关依法严肃查处；典型案例向社会公开曝光。各省级生态环境部门要加强业务指导，强化统筹调度，对治理任务重、工作进度慢的城市，要加强督促检查，加大帮扶指导力度。</w:t>
            </w:r>
          </w:p>
          <w:p w14:paraId="047A1A45">
            <w:pPr>
              <w:pStyle w:val="46"/>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auto"/>
              <w:rPr>
                <w:rFonts w:hint="default" w:ascii="Times New Roman" w:hAnsi="Times New Roman" w:eastAsia="宋体" w:cs="Times New Roman"/>
                <w:b w:val="0"/>
                <w:bCs w:val="0"/>
                <w:color w:val="000000" w:themeColor="text1"/>
                <w:highlight w:val="none"/>
              </w:rPr>
            </w:pPr>
            <w:r>
              <w:rPr>
                <w:rFonts w:hint="default" w:ascii="Times New Roman" w:hAnsi="Times New Roman" w:eastAsia="宋体" w:cs="Times New Roman"/>
                <w:color w:val="000000" w:themeColor="text1"/>
                <w:sz w:val="24"/>
                <w:szCs w:val="24"/>
                <w:highlight w:val="none"/>
                <w:lang w:val="zh-CN" w:eastAsia="zh-CN"/>
              </w:rPr>
              <w:t>根据《2020年挥发性有机物治理攻坚方案》：一、大力推进源头替代，有效减少TVOC产生，大力推进低（无）TVOC含量原辅材料替代。二、全面落实标准要求，强化无组织排放控制，企业在无组织排放排查整治过程中，在保证安全的前提下，加强含TVOC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p>
          <w:p w14:paraId="0E5FC017">
            <w:pPr>
              <w:pStyle w:val="46"/>
              <w:keepNext w:val="0"/>
              <w:keepLines w:val="0"/>
              <w:pageBreakBefore w:val="0"/>
              <w:widowControl w:val="0"/>
              <w:kinsoku/>
              <w:wordWrap/>
              <w:overflowPunct/>
              <w:topLinePunct w:val="0"/>
              <w:autoSpaceDE w:val="0"/>
              <w:autoSpaceDN w:val="0"/>
              <w:bidi w:val="0"/>
              <w:adjustRightInd w:val="0"/>
              <w:snapToGrid/>
              <w:spacing w:after="0" w:line="360" w:lineRule="auto"/>
              <w:ind w:left="0" w:leftChars="0" w:firstLine="480" w:firstLineChars="200"/>
              <w:textAlignment w:val="auto"/>
              <w:rPr>
                <w:rFonts w:hint="default" w:ascii="Times New Roman" w:hAnsi="Times New Roman" w:eastAsia="宋体" w:cs="Times New Roman"/>
                <w:b w:val="0"/>
                <w:bCs w:val="0"/>
                <w:color w:val="000000" w:themeColor="text1"/>
                <w:highlight w:val="none"/>
              </w:rPr>
            </w:pPr>
            <w:r>
              <w:rPr>
                <w:rFonts w:hint="default" w:ascii="Times New Roman" w:hAnsi="Times New Roman" w:eastAsia="宋体" w:cs="Times New Roman"/>
                <w:color w:val="000000" w:themeColor="text1"/>
                <w:sz w:val="24"/>
                <w:szCs w:val="24"/>
                <w:highlight w:val="none"/>
                <w:lang w:val="zh-CN" w:eastAsia="zh-CN"/>
              </w:rPr>
              <w:t>本项目有机废气主要</w:t>
            </w:r>
            <w:r>
              <w:rPr>
                <w:rFonts w:hint="eastAsia" w:ascii="Times New Roman" w:hAnsi="Times New Roman" w:eastAsia="宋体" w:cs="Times New Roman"/>
                <w:color w:val="000000" w:themeColor="text1"/>
                <w:sz w:val="24"/>
                <w:szCs w:val="24"/>
                <w:highlight w:val="none"/>
                <w:lang w:val="zh-CN" w:eastAsia="zh-CN"/>
              </w:rPr>
              <w:t>来自</w:t>
            </w:r>
            <w:r>
              <w:rPr>
                <w:rFonts w:hint="eastAsia" w:ascii="Times New Roman" w:hAnsi="Times New Roman" w:eastAsia="宋体" w:cs="Times New Roman"/>
                <w:color w:val="000000" w:themeColor="text1"/>
                <w:sz w:val="24"/>
                <w:szCs w:val="24"/>
                <w:highlight w:val="none"/>
                <w:lang w:val="en-US" w:eastAsia="zh-CN"/>
              </w:rPr>
              <w:t>挤出的</w:t>
            </w:r>
            <w:r>
              <w:rPr>
                <w:rFonts w:hint="default" w:ascii="Times New Roman" w:hAnsi="Times New Roman" w:eastAsia="宋体" w:cs="Times New Roman"/>
                <w:color w:val="000000" w:themeColor="text1"/>
                <w:sz w:val="24"/>
                <w:szCs w:val="24"/>
                <w:highlight w:val="none"/>
                <w:lang w:val="zh-CN" w:eastAsia="zh-CN"/>
              </w:rPr>
              <w:t>过程，为贯彻落实有机废气管控治理原则，项目对</w:t>
            </w:r>
            <w:r>
              <w:rPr>
                <w:rFonts w:hint="eastAsia" w:ascii="Times New Roman" w:hAnsi="Times New Roman" w:eastAsia="宋体" w:cs="Times New Roman"/>
                <w:color w:val="000000" w:themeColor="text1"/>
                <w:sz w:val="24"/>
                <w:szCs w:val="24"/>
                <w:highlight w:val="none"/>
                <w:lang w:val="en-US" w:eastAsia="zh-CN"/>
              </w:rPr>
              <w:t>挤出过程产生的</w:t>
            </w:r>
            <w:r>
              <w:rPr>
                <w:rFonts w:hint="default" w:ascii="Times New Roman" w:hAnsi="Times New Roman" w:eastAsia="宋体" w:cs="Times New Roman"/>
                <w:color w:val="000000" w:themeColor="text1"/>
                <w:sz w:val="24"/>
                <w:szCs w:val="24"/>
                <w:highlight w:val="none"/>
                <w:lang w:val="zh-CN" w:eastAsia="zh-CN"/>
              </w:rPr>
              <w:t>废气进行收集处理后达标排放</w:t>
            </w:r>
            <w:r>
              <w:rPr>
                <w:rFonts w:hint="eastAsia" w:ascii="Times New Roman" w:hAnsi="Times New Roman" w:eastAsia="宋体" w:cs="Times New Roman"/>
                <w:color w:val="000000" w:themeColor="text1"/>
                <w:sz w:val="24"/>
                <w:szCs w:val="24"/>
                <w:highlight w:val="none"/>
                <w:lang w:val="zh-CN" w:eastAsia="zh-CN"/>
              </w:rPr>
              <w:t>；</w:t>
            </w:r>
            <w:r>
              <w:rPr>
                <w:rFonts w:hint="eastAsia" w:ascii="Times New Roman" w:hAnsi="Times New Roman" w:eastAsia="宋体" w:cs="Times New Roman"/>
                <w:color w:val="000000" w:themeColor="text1"/>
                <w:sz w:val="24"/>
                <w:szCs w:val="24"/>
                <w:highlight w:val="none"/>
                <w:lang w:val="en-US" w:eastAsia="zh-CN"/>
              </w:rPr>
              <w:t>根</w:t>
            </w:r>
            <w:r>
              <w:rPr>
                <w:rFonts w:hint="eastAsia" w:ascii="Times New Roman" w:hAnsi="Times New Roman" w:eastAsia="宋体" w:cs="宋体"/>
                <w:bCs/>
                <w:strike w:val="0"/>
                <w:dstrike w:val="0"/>
                <w:color w:val="000000" w:themeColor="text1"/>
                <w:kern w:val="0"/>
                <w:highlight w:val="none"/>
                <w:lang w:val="en-US" w:eastAsia="zh-CN"/>
              </w:rPr>
              <w:t>据</w:t>
            </w:r>
            <w:r>
              <w:rPr>
                <w:rFonts w:hint="default" w:ascii="Times New Roman" w:hAnsi="Times New Roman" w:eastAsia="宋体" w:cs="宋体"/>
                <w:bCs/>
                <w:strike w:val="0"/>
                <w:dstrike w:val="0"/>
                <w:color w:val="000000" w:themeColor="text1"/>
                <w:kern w:val="0"/>
                <w:highlight w:val="none"/>
                <w:lang w:val="en-US" w:eastAsia="zh-CN"/>
              </w:rPr>
              <w:t xml:space="preserve">《排污许可证申请与核发技术规范 </w:t>
            </w:r>
            <w:r>
              <w:rPr>
                <w:rFonts w:hint="eastAsia" w:ascii="Times New Roman" w:hAnsi="Times New Roman" w:eastAsia="宋体" w:cs="宋体"/>
                <w:bCs/>
                <w:strike w:val="0"/>
                <w:dstrike w:val="0"/>
                <w:color w:val="000000" w:themeColor="text1"/>
                <w:kern w:val="0"/>
                <w:highlight w:val="none"/>
                <w:lang w:val="en-US" w:eastAsia="zh-CN"/>
              </w:rPr>
              <w:t>橡胶和塑料制品</w:t>
            </w:r>
            <w:r>
              <w:rPr>
                <w:rFonts w:hint="default" w:ascii="Times New Roman" w:hAnsi="Times New Roman" w:eastAsia="宋体" w:cs="宋体"/>
                <w:bCs/>
                <w:strike w:val="0"/>
                <w:dstrike w:val="0"/>
                <w:color w:val="000000" w:themeColor="text1"/>
                <w:kern w:val="0"/>
                <w:highlight w:val="none"/>
                <w:lang w:val="en-US" w:eastAsia="zh-CN"/>
              </w:rPr>
              <w:t>业 》（ HJ 1</w:t>
            </w:r>
            <w:r>
              <w:rPr>
                <w:rFonts w:hint="eastAsia" w:ascii="Times New Roman" w:hAnsi="Times New Roman" w:eastAsia="宋体" w:cs="宋体"/>
                <w:bCs/>
                <w:strike w:val="0"/>
                <w:dstrike w:val="0"/>
                <w:color w:val="000000" w:themeColor="text1"/>
                <w:kern w:val="0"/>
                <w:highlight w:val="none"/>
                <w:lang w:val="en-US" w:eastAsia="zh-CN"/>
              </w:rPr>
              <w:t>122</w:t>
            </w:r>
            <w:r>
              <w:rPr>
                <w:rFonts w:hint="default" w:ascii="Times New Roman" w:hAnsi="Times New Roman" w:eastAsia="宋体" w:cs="宋体"/>
                <w:bCs/>
                <w:strike w:val="0"/>
                <w:dstrike w:val="0"/>
                <w:color w:val="000000" w:themeColor="text1"/>
                <w:kern w:val="0"/>
                <w:highlight w:val="none"/>
                <w:lang w:val="en-US" w:eastAsia="zh-CN"/>
              </w:rPr>
              <w:t>—20</w:t>
            </w:r>
            <w:r>
              <w:rPr>
                <w:rFonts w:hint="eastAsia" w:ascii="Times New Roman" w:hAnsi="Times New Roman" w:eastAsia="宋体" w:cs="宋体"/>
                <w:bCs/>
                <w:strike w:val="0"/>
                <w:dstrike w:val="0"/>
                <w:color w:val="000000" w:themeColor="text1"/>
                <w:kern w:val="0"/>
                <w:highlight w:val="none"/>
                <w:lang w:val="en-US" w:eastAsia="zh-CN"/>
              </w:rPr>
              <w:t>20</w:t>
            </w:r>
            <w:r>
              <w:rPr>
                <w:rFonts w:hint="default" w:ascii="Times New Roman" w:hAnsi="Times New Roman" w:eastAsia="宋体" w:cs="宋体"/>
                <w:bCs/>
                <w:strike w:val="0"/>
                <w:dstrike w:val="0"/>
                <w:color w:val="000000" w:themeColor="text1"/>
                <w:kern w:val="0"/>
                <w:highlight w:val="none"/>
                <w:lang w:val="en-US" w:eastAsia="zh-CN"/>
              </w:rPr>
              <w:t>）</w:t>
            </w:r>
            <w:r>
              <w:rPr>
                <w:rFonts w:hint="eastAsia" w:ascii="Times New Roman" w:hAnsi="Times New Roman" w:eastAsia="宋体" w:cs="宋体"/>
                <w:bCs/>
                <w:strike w:val="0"/>
                <w:dstrike w:val="0"/>
                <w:color w:val="000000" w:themeColor="text1"/>
                <w:kern w:val="0"/>
                <w:highlight w:val="none"/>
                <w:lang w:val="en-US" w:eastAsia="zh-CN"/>
              </w:rPr>
              <w:t>，</w:t>
            </w:r>
            <w:r>
              <w:rPr>
                <w:rFonts w:hint="default" w:ascii="Times New Roman" w:hAnsi="Times New Roman" w:eastAsia="宋体" w:cs="宋体"/>
                <w:bCs/>
                <w:strike w:val="0"/>
                <w:dstrike w:val="0"/>
                <w:color w:val="000000" w:themeColor="text1"/>
                <w:kern w:val="0"/>
                <w:highlight w:val="none"/>
                <w:lang w:val="en-US" w:eastAsia="zh-CN"/>
              </w:rPr>
              <w:t>表</w:t>
            </w:r>
            <w:r>
              <w:rPr>
                <w:rFonts w:hint="eastAsia" w:ascii="Times New Roman" w:hAnsi="Times New Roman" w:eastAsia="宋体" w:cs="宋体"/>
                <w:bCs/>
                <w:strike w:val="0"/>
                <w:dstrike w:val="0"/>
                <w:color w:val="000000" w:themeColor="text1"/>
                <w:kern w:val="0"/>
                <w:highlight w:val="none"/>
                <w:lang w:val="en-US" w:eastAsia="zh-CN"/>
              </w:rPr>
              <w:t>7</w:t>
            </w:r>
            <w:r>
              <w:rPr>
                <w:rFonts w:hint="default" w:ascii="Times New Roman" w:hAnsi="Times New Roman" w:eastAsia="宋体" w:cs="宋体"/>
                <w:bCs/>
                <w:strike w:val="0"/>
                <w:dstrike w:val="0"/>
                <w:color w:val="000000" w:themeColor="text1"/>
                <w:kern w:val="0"/>
                <w:highlight w:val="none"/>
                <w:lang w:val="en-US" w:eastAsia="zh-CN"/>
              </w:rPr>
              <w:t>简化管理排污单位废气产污环节、污染物种类、排放形式及污染防治设施一览表</w:t>
            </w:r>
            <w:r>
              <w:rPr>
                <w:rFonts w:hint="eastAsia" w:ascii="Times New Roman" w:hAnsi="Times New Roman" w:eastAsia="宋体" w:cs="宋体"/>
                <w:bCs/>
                <w:strike w:val="0"/>
                <w:dstrike w:val="0"/>
                <w:color w:val="000000" w:themeColor="text1"/>
                <w:kern w:val="0"/>
                <w:highlight w:val="none"/>
                <w:lang w:val="en-US" w:eastAsia="zh-CN"/>
              </w:rPr>
              <w:t>的相关内容，结合本项目的行业类别，</w:t>
            </w:r>
            <w:r>
              <w:rPr>
                <w:rFonts w:hint="default" w:ascii="Times New Roman" w:hAnsi="Times New Roman" w:eastAsia="宋体" w:cs="宋体"/>
                <w:bCs/>
                <w:strike w:val="0"/>
                <w:dstrike w:val="0"/>
                <w:color w:val="000000" w:themeColor="text1"/>
                <w:kern w:val="0"/>
                <w:highlight w:val="none"/>
                <w:lang w:val="en-US" w:eastAsia="zh-CN"/>
              </w:rPr>
              <w:t>针对</w:t>
            </w:r>
            <w:r>
              <w:rPr>
                <w:rFonts w:hint="eastAsia" w:ascii="Times New Roman" w:hAnsi="Times New Roman" w:eastAsia="宋体" w:cs="宋体"/>
                <w:bCs/>
                <w:strike w:val="0"/>
                <w:dstrike w:val="0"/>
                <w:color w:val="000000" w:themeColor="text1"/>
                <w:kern w:val="0"/>
                <w:highlight w:val="none"/>
                <w:lang w:val="en-US" w:eastAsia="zh-CN"/>
              </w:rPr>
              <w:t>挤出</w:t>
            </w:r>
            <w:r>
              <w:rPr>
                <w:rFonts w:hint="default" w:ascii="Times New Roman" w:hAnsi="Times New Roman" w:eastAsia="宋体" w:cs="宋体"/>
                <w:bCs/>
                <w:strike w:val="0"/>
                <w:dstrike w:val="0"/>
                <w:color w:val="000000" w:themeColor="text1"/>
                <w:kern w:val="0"/>
                <w:highlight w:val="none"/>
                <w:lang w:val="en-US" w:eastAsia="zh-CN"/>
              </w:rPr>
              <w:t>产生的挥发性有机物污染防治，</w:t>
            </w:r>
            <w:r>
              <w:rPr>
                <w:rFonts w:hint="eastAsia" w:ascii="Times New Roman" w:hAnsi="Times New Roman" w:eastAsia="宋体" w:cs="宋体"/>
                <w:bCs/>
                <w:strike w:val="0"/>
                <w:dstrike w:val="0"/>
                <w:color w:val="000000" w:themeColor="text1"/>
                <w:kern w:val="0"/>
                <w:highlight w:val="none"/>
                <w:lang w:val="en-US" w:eastAsia="zh-CN"/>
              </w:rPr>
              <w:t>采用</w:t>
            </w:r>
            <w:r>
              <w:rPr>
                <w:rFonts w:hint="default" w:ascii="Times New Roman" w:hAnsi="Times New Roman" w:eastAsia="宋体" w:cs="宋体"/>
                <w:bCs/>
                <w:strike w:val="0"/>
                <w:dstrike w:val="0"/>
                <w:color w:val="000000" w:themeColor="text1"/>
                <w:kern w:val="0"/>
                <w:highlight w:val="none"/>
                <w:lang w:val="en-US" w:eastAsia="zh-CN"/>
              </w:rPr>
              <w:t>活性炭吸附可行</w:t>
            </w:r>
            <w:r>
              <w:rPr>
                <w:rFonts w:hint="default" w:ascii="Times New Roman" w:hAnsi="Times New Roman" w:eastAsia="宋体" w:cs="宋体"/>
                <w:bCs/>
                <w:strike w:val="0"/>
                <w:dstrike w:val="0"/>
                <w:color w:val="000000" w:themeColor="text1"/>
                <w:kern w:val="0"/>
                <w:highlight w:val="none"/>
                <w:lang w:val="zh-CN" w:eastAsia="zh-CN"/>
              </w:rPr>
              <w:t>，符合要求。</w:t>
            </w:r>
            <w:r>
              <w:rPr>
                <w:rFonts w:hint="eastAsia" w:ascii="Times New Roman" w:hAnsi="Times New Roman" w:eastAsia="宋体" w:cs="宋体"/>
                <w:bCs/>
                <w:strike w:val="0"/>
                <w:dstrike w:val="0"/>
                <w:color w:val="000000" w:themeColor="text1"/>
                <w:kern w:val="0"/>
                <w:highlight w:val="none"/>
                <w:lang w:val="en-US" w:eastAsia="zh-CN"/>
              </w:rPr>
              <w:t>本项目原料不含VOCs，但企业也将</w:t>
            </w:r>
            <w:r>
              <w:rPr>
                <w:rFonts w:hint="default" w:ascii="Times New Roman" w:hAnsi="Times New Roman" w:eastAsia="宋体" w:cs="宋体"/>
                <w:bCs/>
                <w:strike w:val="0"/>
                <w:dstrike w:val="0"/>
                <w:color w:val="000000" w:themeColor="text1"/>
                <w:kern w:val="0"/>
                <w:highlight w:val="none"/>
                <w:lang w:val="zh-CN" w:eastAsia="zh-CN"/>
              </w:rPr>
              <w:t>建立原辅材料台账，记录原辅材料名称、成分、采购量、使用量、库存量、回收方式、回收量等信息，并保存相</w:t>
            </w:r>
            <w:r>
              <w:rPr>
                <w:rFonts w:hint="default" w:ascii="Times New Roman" w:hAnsi="Times New Roman" w:eastAsia="宋体" w:cs="Times New Roman"/>
                <w:color w:val="000000" w:themeColor="text1"/>
                <w:sz w:val="24"/>
                <w:szCs w:val="24"/>
                <w:highlight w:val="none"/>
                <w:lang w:val="zh-CN" w:eastAsia="zh-CN"/>
              </w:rPr>
              <w:t>关证明材料。</w:t>
            </w:r>
          </w:p>
          <w:p w14:paraId="2C18A8E9">
            <w:pPr>
              <w:pStyle w:val="146"/>
              <w:numPr>
                <w:ilvl w:val="0"/>
                <w:numId w:val="0"/>
              </w:numPr>
              <w:adjustRightInd/>
              <w:snapToGrid/>
              <w:ind w:firstLine="498" w:firstLineChars="200"/>
              <w:jc w:val="left"/>
              <w:rPr>
                <w:rFonts w:hint="eastAsia"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1</w:t>
            </w:r>
            <w:r>
              <w:rPr>
                <w:rFonts w:hint="eastAsia" w:ascii="Times New Roman" w:cs="Times New Roman"/>
                <w:b/>
                <w:bCs/>
                <w:color w:val="000000" w:themeColor="text1"/>
                <w:highlight w:val="none"/>
                <w:lang w:val="en-US" w:eastAsia="zh-CN"/>
              </w:rPr>
              <w:t>0</w:t>
            </w:r>
            <w:r>
              <w:rPr>
                <w:rFonts w:hint="eastAsia" w:ascii="Times New Roman" w:hAnsi="Times New Roman" w:eastAsia="宋体" w:cs="Times New Roman"/>
                <w:b/>
                <w:bCs/>
                <w:color w:val="000000" w:themeColor="text1"/>
                <w:highlight w:val="none"/>
                <w:lang w:val="en-US" w:eastAsia="zh-CN"/>
              </w:rPr>
              <w:t>、</w:t>
            </w:r>
            <w:r>
              <w:rPr>
                <w:rFonts w:hint="default" w:ascii="Times New Roman" w:hAnsi="Times New Roman" w:eastAsia="宋体" w:cs="Times New Roman"/>
                <w:b/>
                <w:bCs/>
                <w:color w:val="000000" w:themeColor="text1"/>
                <w:highlight w:val="none"/>
                <w:lang w:val="en-US" w:eastAsia="zh-CN"/>
              </w:rPr>
              <w:t>与《重点行业挥发性有机物综合治理方案》（环大气〔2019〕53号）相符性分析</w:t>
            </w:r>
          </w:p>
          <w:p w14:paraId="210EAE98">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表1</w:t>
            </w:r>
            <w:r>
              <w:rPr>
                <w:rFonts w:hint="eastAsia" w:cs="Times New Roman"/>
                <w:color w:val="000000" w:themeColor="text1"/>
                <w:sz w:val="21"/>
                <w:szCs w:val="18"/>
                <w:highlight w:val="none"/>
                <w:lang w:val="en-US" w:eastAsia="zh-CN"/>
              </w:rPr>
              <w:t xml:space="preserve">-12 </w:t>
            </w:r>
            <w:r>
              <w:rPr>
                <w:rFonts w:hint="default" w:ascii="Times New Roman" w:hAnsi="Times New Roman" w:eastAsia="宋体" w:cs="Times New Roman"/>
                <w:color w:val="000000" w:themeColor="text1"/>
                <w:sz w:val="21"/>
                <w:szCs w:val="18"/>
                <w:highlight w:val="none"/>
              </w:rPr>
              <w:t>与 重点行业挥发性有机物综合治理方案》（环大气〔2019〕53号）相符性分析</w:t>
            </w:r>
          </w:p>
          <w:tbl>
            <w:tblPr>
              <w:tblStyle w:val="33"/>
              <w:tblW w:w="79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4022"/>
              <w:gridCol w:w="2373"/>
              <w:gridCol w:w="814"/>
            </w:tblGrid>
            <w:tr w14:paraId="4DC74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482" w:type="pct"/>
                  <w:noWrap w:val="0"/>
                  <w:vAlign w:val="center"/>
                </w:tcPr>
                <w:p w14:paraId="6DED1D6D">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规范</w:t>
                  </w:r>
                </w:p>
              </w:tc>
              <w:tc>
                <w:tcPr>
                  <w:tcW w:w="2520" w:type="pct"/>
                  <w:noWrap w:val="0"/>
                  <w:vAlign w:val="center"/>
                </w:tcPr>
                <w:p w14:paraId="3FE47F38">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相关要求</w:t>
                  </w:r>
                </w:p>
              </w:tc>
              <w:tc>
                <w:tcPr>
                  <w:tcW w:w="1487" w:type="pct"/>
                  <w:noWrap w:val="0"/>
                  <w:vAlign w:val="center"/>
                </w:tcPr>
                <w:p w14:paraId="1CAA27F5">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符合情况</w:t>
                  </w:r>
                </w:p>
              </w:tc>
              <w:tc>
                <w:tcPr>
                  <w:tcW w:w="510" w:type="pct"/>
                  <w:noWrap w:val="0"/>
                  <w:vAlign w:val="center"/>
                </w:tcPr>
                <w:p w14:paraId="47E8D001">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符合性</w:t>
                  </w:r>
                </w:p>
              </w:tc>
            </w:tr>
            <w:tr w14:paraId="5652B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3" w:hRule="atLeast"/>
                <w:jc w:val="center"/>
              </w:trPr>
              <w:tc>
                <w:tcPr>
                  <w:tcW w:w="482" w:type="pct"/>
                  <w:vMerge w:val="restart"/>
                  <w:noWrap w:val="0"/>
                  <w:vAlign w:val="center"/>
                </w:tcPr>
                <w:p w14:paraId="0691AEB4">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重点行业挥发性有机物综合治理方案》（环大气〔2019〕53号）</w:t>
                  </w:r>
                </w:p>
              </w:tc>
              <w:tc>
                <w:tcPr>
                  <w:tcW w:w="2520" w:type="pct"/>
                  <w:noWrap w:val="0"/>
                  <w:vAlign w:val="center"/>
                </w:tcPr>
                <w:p w14:paraId="47900E67">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default" w:ascii="Times New Roman" w:hAnsi="Times New Roman" w:eastAsia="宋体" w:cs="Times New Roman"/>
                      <w:i w:val="0"/>
                      <w:iCs w:val="0"/>
                      <w:caps w:val="0"/>
                      <w:color w:val="000000" w:themeColor="text1"/>
                      <w:spacing w:val="0"/>
                      <w:sz w:val="21"/>
                      <w:szCs w:val="21"/>
                      <w:shd w:val="clear" w:fill="FFFFFF"/>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加强设备与场所密闭管理。</w:t>
                  </w:r>
                </w:p>
              </w:tc>
              <w:tc>
                <w:tcPr>
                  <w:tcW w:w="1487" w:type="pct"/>
                  <w:noWrap w:val="0"/>
                  <w:vAlign w:val="center"/>
                </w:tcPr>
                <w:p w14:paraId="1DDDA9CC">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w:t>
                  </w:r>
                  <w:r>
                    <w:rPr>
                      <w:rFonts w:hint="eastAsia" w:ascii="Times New Roman" w:hAnsi="Times New Roman" w:eastAsia="宋体" w:cs="Times New Roman"/>
                      <w:i w:val="0"/>
                      <w:iCs w:val="0"/>
                      <w:caps w:val="0"/>
                      <w:color w:val="000000" w:themeColor="text1"/>
                      <w:spacing w:val="0"/>
                      <w:sz w:val="21"/>
                      <w:szCs w:val="21"/>
                      <w:shd w:val="clear" w:fill="FFFFFF"/>
                    </w:rPr>
                    <w:t>项目属于</w:t>
                  </w:r>
                  <w:r>
                    <w:rPr>
                      <w:rFonts w:hint="default" w:ascii="Times New Roman" w:hAnsi="Times New Roman" w:eastAsia="宋体" w:cs="Times New Roman"/>
                      <w:color w:val="000000" w:themeColor="text1"/>
                      <w:sz w:val="21"/>
                      <w:szCs w:val="21"/>
                      <w:highlight w:val="none"/>
                      <w:lang w:val="en-US" w:eastAsia="zh-CN"/>
                    </w:rPr>
                    <w:t>塑料零件及其他塑料制品制造</w:t>
                  </w:r>
                  <w:r>
                    <w:rPr>
                      <w:rFonts w:hint="eastAsia" w:ascii="Times New Roman" w:hAnsi="Times New Roman" w:eastAsia="宋体" w:cs="Times New Roman"/>
                      <w:color w:val="000000" w:themeColor="text1"/>
                      <w:sz w:val="21"/>
                      <w:szCs w:val="21"/>
                      <w:highlight w:val="none"/>
                      <w:lang w:val="en-US" w:eastAsia="zh-CN"/>
                    </w:rPr>
                    <w:t>、非金属废料和碎屑加工处理</w:t>
                  </w:r>
                  <w:r>
                    <w:rPr>
                      <w:rFonts w:hint="eastAsia" w:ascii="Times New Roman" w:hAnsi="Times New Roman" w:eastAsia="宋体" w:cs="Times New Roman"/>
                      <w:color w:val="000000" w:themeColor="text1"/>
                      <w:sz w:val="21"/>
                      <w:szCs w:val="21"/>
                      <w:lang w:val="en-US" w:eastAsia="zh-CN" w:bidi="ar-SA"/>
                    </w:rPr>
                    <w:t>、固体废物治理</w:t>
                  </w:r>
                  <w:r>
                    <w:rPr>
                      <w:rFonts w:hint="eastAsia" w:ascii="Times New Roman" w:hAnsi="Times New Roman" w:eastAsia="宋体" w:cs="Times New Roman"/>
                      <w:i w:val="0"/>
                      <w:iCs w:val="0"/>
                      <w:caps w:val="0"/>
                      <w:color w:val="000000" w:themeColor="text1"/>
                      <w:spacing w:val="0"/>
                      <w:sz w:val="21"/>
                      <w:szCs w:val="21"/>
                      <w:shd w:val="clear" w:fill="FFFFFF"/>
                    </w:rPr>
                    <w:t>行业，本</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评价要求项目挤出</w:t>
                  </w:r>
                  <w:r>
                    <w:rPr>
                      <w:rFonts w:hint="eastAsia" w:ascii="Times New Roman" w:hAnsi="Times New Roman" w:eastAsia="宋体" w:cs="Times New Roman"/>
                      <w:i w:val="0"/>
                      <w:iCs w:val="0"/>
                      <w:caps w:val="0"/>
                      <w:color w:val="000000" w:themeColor="text1"/>
                      <w:spacing w:val="0"/>
                      <w:sz w:val="21"/>
                      <w:szCs w:val="21"/>
                      <w:shd w:val="clear" w:fill="FFFFFF"/>
                    </w:rPr>
                    <w:t>在密闭环境中进行，废气收集装置按相关规范合理设置。</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有机废气</w:t>
                  </w:r>
                  <w:r>
                    <w:rPr>
                      <w:rFonts w:hint="eastAsia" w:ascii="Times New Roman" w:hAnsi="Times New Roman" w:eastAsia="宋体" w:cs="Times New Roman"/>
                      <w:i w:val="0"/>
                      <w:iCs w:val="0"/>
                      <w:caps w:val="0"/>
                      <w:color w:val="000000" w:themeColor="text1"/>
                      <w:spacing w:val="0"/>
                      <w:sz w:val="21"/>
                      <w:szCs w:val="21"/>
                      <w:shd w:val="clear" w:fill="FFFFFF"/>
                    </w:rPr>
                    <w:t>末端治理装置处理后达标排放。</w:t>
                  </w:r>
                </w:p>
              </w:tc>
              <w:tc>
                <w:tcPr>
                  <w:tcW w:w="510" w:type="pct"/>
                  <w:noWrap w:val="0"/>
                  <w:vAlign w:val="center"/>
                </w:tcPr>
                <w:p w14:paraId="105A4679">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符合</w:t>
                  </w:r>
                </w:p>
              </w:tc>
            </w:tr>
            <w:tr w14:paraId="62185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482" w:type="pct"/>
                  <w:vMerge w:val="continue"/>
                  <w:noWrap w:val="0"/>
                  <w:vAlign w:val="center"/>
                </w:tcPr>
                <w:p w14:paraId="1463EF26">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p>
              </w:tc>
              <w:tc>
                <w:tcPr>
                  <w:tcW w:w="2520" w:type="pct"/>
                  <w:noWrap w:val="0"/>
                  <w:vAlign w:val="center"/>
                </w:tcPr>
                <w:p w14:paraId="1D8203C5">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default" w:ascii="Times New Roman" w:hAnsi="Times New Roman" w:eastAsia="宋体" w:cs="Times New Roman"/>
                      <w:i w:val="0"/>
                      <w:iCs w:val="0"/>
                      <w:caps w:val="0"/>
                      <w:color w:val="000000" w:themeColor="text1"/>
                      <w:spacing w:val="0"/>
                      <w:sz w:val="21"/>
                      <w:szCs w:val="21"/>
                      <w:shd w:val="clear" w:fill="FFFFFF"/>
                    </w:rPr>
                    <w:t>含VOCs物料应储存于密闭容器、包装袋，高效密封储罐，封闭式储库、料仓等。含VOCs物料转移和输送，应采用密闭管道或密闭容器、罐车等。</w:t>
                  </w:r>
                </w:p>
              </w:tc>
              <w:tc>
                <w:tcPr>
                  <w:tcW w:w="1487" w:type="pct"/>
                  <w:noWrap w:val="0"/>
                  <w:vAlign w:val="center"/>
                </w:tcPr>
                <w:p w14:paraId="56D9F449">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本项目不涉及</w:t>
                  </w:r>
                  <w:r>
                    <w:rPr>
                      <w:rFonts w:hint="default" w:ascii="Times New Roman" w:hAnsi="Times New Roman" w:eastAsia="宋体" w:cs="Times New Roman"/>
                      <w:i w:val="0"/>
                      <w:iCs w:val="0"/>
                      <w:caps w:val="0"/>
                      <w:color w:val="000000" w:themeColor="text1"/>
                      <w:spacing w:val="0"/>
                      <w:sz w:val="21"/>
                      <w:szCs w:val="21"/>
                      <w:shd w:val="clear" w:fill="FFFFFF"/>
                    </w:rPr>
                    <w:t>含VOCs物料</w:t>
                  </w:r>
                </w:p>
              </w:tc>
              <w:tc>
                <w:tcPr>
                  <w:tcW w:w="510" w:type="pct"/>
                  <w:noWrap w:val="0"/>
                  <w:vAlign w:val="center"/>
                </w:tcPr>
                <w:p w14:paraId="2BF3664D">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符合</w:t>
                  </w:r>
                </w:p>
              </w:tc>
            </w:tr>
            <w:tr w14:paraId="5DB27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482" w:type="pct"/>
                  <w:vMerge w:val="continue"/>
                  <w:noWrap w:val="0"/>
                  <w:vAlign w:val="top"/>
                </w:tcPr>
                <w:p w14:paraId="4EA0662C">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p>
              </w:tc>
              <w:tc>
                <w:tcPr>
                  <w:tcW w:w="0" w:type="auto"/>
                  <w:noWrap w:val="0"/>
                  <w:vAlign w:val="center"/>
                </w:tcPr>
                <w:p w14:paraId="00D1D802">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default" w:ascii="Times New Roman" w:hAnsi="Times New Roman" w:eastAsia="宋体" w:cs="Times New Roman"/>
                      <w:i w:val="0"/>
                      <w:iCs w:val="0"/>
                      <w:caps w:val="0"/>
                      <w:color w:val="000000" w:themeColor="text1"/>
                      <w:spacing w:val="0"/>
                      <w:sz w:val="21"/>
                      <w:szCs w:val="21"/>
                      <w:shd w:val="clear" w:fill="FFFFFF"/>
                    </w:rPr>
                    <w:t>推进使用先进生产工艺。通过采用全密闭、连续化、自动化等生产技术，以及高效工艺与设备等，减少工艺过程无组织排放。挥发性有机液体装载优先采用底部装载方式。</w:t>
                  </w:r>
                </w:p>
              </w:tc>
              <w:tc>
                <w:tcPr>
                  <w:tcW w:w="1487" w:type="pct"/>
                  <w:noWrap w:val="0"/>
                  <w:vAlign w:val="center"/>
                </w:tcPr>
                <w:p w14:paraId="30CA3458">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default" w:ascii="Times New Roman" w:hAnsi="Times New Roman" w:eastAsia="宋体" w:cs="Times New Roman"/>
                      <w:i w:val="0"/>
                      <w:iCs w:val="0"/>
                      <w:caps w:val="0"/>
                      <w:color w:val="000000" w:themeColor="text1"/>
                      <w:spacing w:val="0"/>
                      <w:sz w:val="21"/>
                      <w:szCs w:val="21"/>
                      <w:shd w:val="clear" w:fill="FFFFFF"/>
                    </w:rPr>
                    <w:t>本项目</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产生挥发性有机物</w:t>
                  </w:r>
                  <w:r>
                    <w:rPr>
                      <w:rFonts w:hint="default" w:ascii="Times New Roman" w:hAnsi="Times New Roman" w:eastAsia="宋体" w:cs="Times New Roman"/>
                      <w:i w:val="0"/>
                      <w:iCs w:val="0"/>
                      <w:caps w:val="0"/>
                      <w:color w:val="000000" w:themeColor="text1"/>
                      <w:spacing w:val="0"/>
                      <w:sz w:val="21"/>
                      <w:szCs w:val="21"/>
                      <w:shd w:val="clear" w:fill="FFFFFF"/>
                    </w:rPr>
                    <w:t>工艺在密闭</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微</w:t>
                  </w:r>
                  <w:r>
                    <w:rPr>
                      <w:rFonts w:hint="default" w:ascii="Times New Roman" w:hAnsi="Times New Roman" w:eastAsia="宋体" w:cs="Times New Roman"/>
                      <w:i w:val="0"/>
                      <w:iCs w:val="0"/>
                      <w:caps w:val="0"/>
                      <w:color w:val="000000" w:themeColor="text1"/>
                      <w:spacing w:val="0"/>
                      <w:sz w:val="21"/>
                      <w:szCs w:val="21"/>
                      <w:shd w:val="clear" w:fill="FFFFFF"/>
                    </w:rPr>
                    <w:t>负压状态下进行生产，最大限度地控制了有机废气的无组织排放</w:t>
                  </w:r>
                </w:p>
              </w:tc>
              <w:tc>
                <w:tcPr>
                  <w:tcW w:w="510" w:type="pct"/>
                  <w:noWrap w:val="0"/>
                  <w:vAlign w:val="center"/>
                </w:tcPr>
                <w:p w14:paraId="6D96DD24">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符合</w:t>
                  </w:r>
                </w:p>
              </w:tc>
            </w:tr>
            <w:tr w14:paraId="43AA6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0" w:hRule="atLeast"/>
                <w:jc w:val="center"/>
              </w:trPr>
              <w:tc>
                <w:tcPr>
                  <w:tcW w:w="482" w:type="pct"/>
                  <w:vMerge w:val="continue"/>
                  <w:noWrap w:val="0"/>
                  <w:vAlign w:val="top"/>
                </w:tcPr>
                <w:p w14:paraId="0F5ADC58">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p>
              </w:tc>
              <w:tc>
                <w:tcPr>
                  <w:tcW w:w="0" w:type="auto"/>
                  <w:noWrap w:val="0"/>
                  <w:vAlign w:val="center"/>
                </w:tcPr>
                <w:p w14:paraId="655820D5">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default" w:ascii="Times New Roman" w:hAnsi="Times New Roman" w:eastAsia="宋体" w:cs="Times New Roman"/>
                      <w:i w:val="0"/>
                      <w:iCs w:val="0"/>
                      <w:caps w:val="0"/>
                      <w:color w:val="000000" w:themeColor="text1"/>
                      <w:spacing w:val="0"/>
                      <w:sz w:val="21"/>
                      <w:szCs w:val="21"/>
                      <w:shd w:val="clear" w:fill="FFFFFF"/>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w:t>
                  </w:r>
                </w:p>
              </w:tc>
              <w:tc>
                <w:tcPr>
                  <w:tcW w:w="1487" w:type="pct"/>
                  <w:noWrap w:val="0"/>
                  <w:vAlign w:val="center"/>
                </w:tcPr>
                <w:p w14:paraId="7C2C4AD8">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en-US"/>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本项目采用密闭式集气罩收集废气</w:t>
                  </w:r>
                </w:p>
              </w:tc>
              <w:tc>
                <w:tcPr>
                  <w:tcW w:w="510" w:type="pct"/>
                  <w:noWrap w:val="0"/>
                  <w:vAlign w:val="center"/>
                </w:tcPr>
                <w:p w14:paraId="7457580E">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符合</w:t>
                  </w:r>
                </w:p>
              </w:tc>
            </w:tr>
          </w:tbl>
          <w:p w14:paraId="18D174E9">
            <w:pPr>
              <w:pStyle w:val="146"/>
              <w:numPr>
                <w:ilvl w:val="0"/>
                <w:numId w:val="0"/>
              </w:numPr>
              <w:adjustRightInd/>
              <w:snapToGrid/>
              <w:ind w:firstLine="498" w:firstLineChars="200"/>
              <w:jc w:val="left"/>
              <w:rPr>
                <w:rFonts w:hint="default" w:ascii="Times New Roman" w:hAnsi="Times New Roman" w:eastAsia="宋体" w:cs="Times New Roman"/>
                <w:b/>
                <w:bCs/>
                <w:color w:val="000000" w:themeColor="text1"/>
                <w:highlight w:val="none"/>
                <w:lang w:val="en-US" w:eastAsia="zh-CN"/>
              </w:rPr>
            </w:pPr>
            <w:r>
              <w:rPr>
                <w:rFonts w:hint="eastAsia" w:ascii="Times New Roman" w:hAnsi="Times New Roman" w:eastAsia="宋体" w:cs="Times New Roman"/>
                <w:b/>
                <w:bCs/>
                <w:color w:val="000000" w:themeColor="text1"/>
                <w:highlight w:val="none"/>
                <w:lang w:val="en-US" w:eastAsia="zh-CN"/>
              </w:rPr>
              <w:t>1</w:t>
            </w:r>
            <w:r>
              <w:rPr>
                <w:rFonts w:hint="eastAsia" w:ascii="Times New Roman" w:cs="Times New Roman"/>
                <w:b/>
                <w:bCs/>
                <w:color w:val="000000" w:themeColor="text1"/>
                <w:highlight w:val="none"/>
                <w:lang w:val="en-US" w:eastAsia="zh-CN"/>
              </w:rPr>
              <w:t>1</w:t>
            </w:r>
            <w:r>
              <w:rPr>
                <w:rFonts w:hint="default" w:ascii="Times New Roman" w:hAnsi="Times New Roman" w:eastAsia="宋体" w:cs="Times New Roman"/>
                <w:b/>
                <w:bCs/>
                <w:color w:val="000000" w:themeColor="text1"/>
                <w:highlight w:val="none"/>
                <w:lang w:val="en-US" w:eastAsia="zh-CN"/>
              </w:rPr>
              <w:t>、与《江西省生态环境厅关于印发江西省重点行业挥发性有机物综合治理方案的通知》（赣环大气</w:t>
            </w:r>
            <w:r>
              <w:rPr>
                <w:rFonts w:hint="eastAsia" w:ascii="Times New Roman" w:cs="Times New Roman"/>
                <w:b/>
                <w:bCs/>
                <w:color w:val="000000" w:themeColor="text1"/>
                <w:highlight w:val="none"/>
                <w:lang w:val="en-US" w:eastAsia="zh-CN"/>
              </w:rPr>
              <w:t>〔2019〕20号</w:t>
            </w:r>
            <w:r>
              <w:rPr>
                <w:rFonts w:hint="default" w:ascii="Times New Roman" w:hAnsi="Times New Roman" w:eastAsia="宋体" w:cs="Times New Roman"/>
                <w:b/>
                <w:bCs/>
                <w:color w:val="000000" w:themeColor="text1"/>
                <w:highlight w:val="none"/>
                <w:lang w:val="en-US" w:eastAsia="zh-CN"/>
              </w:rPr>
              <w:t>）相符性分析</w:t>
            </w:r>
          </w:p>
          <w:p w14:paraId="57FBD9A6">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表1-</w:t>
            </w:r>
            <w:r>
              <w:rPr>
                <w:rFonts w:hint="eastAsia" w:ascii="Times New Roman" w:hAnsi="Times New Roman" w:eastAsia="宋体" w:cs="Times New Roman"/>
                <w:color w:val="000000" w:themeColor="text1"/>
                <w:sz w:val="21"/>
                <w:szCs w:val="18"/>
                <w:highlight w:val="none"/>
                <w:lang w:val="en-US" w:eastAsia="zh-CN"/>
              </w:rPr>
              <w:t>1</w:t>
            </w:r>
            <w:r>
              <w:rPr>
                <w:rFonts w:hint="eastAsia" w:cs="Times New Roman"/>
                <w:color w:val="000000" w:themeColor="text1"/>
                <w:sz w:val="21"/>
                <w:szCs w:val="18"/>
                <w:highlight w:val="none"/>
                <w:lang w:val="en-US" w:eastAsia="zh-CN"/>
              </w:rPr>
              <w:t>3</w:t>
            </w:r>
            <w:r>
              <w:rPr>
                <w:rFonts w:hint="default" w:ascii="Times New Roman" w:hAnsi="Times New Roman" w:eastAsia="宋体" w:cs="Times New Roman"/>
                <w:color w:val="000000" w:themeColor="text1"/>
                <w:sz w:val="21"/>
                <w:szCs w:val="18"/>
                <w:highlight w:val="none"/>
              </w:rPr>
              <w:t xml:space="preserve"> 与 《江西省生态环境厅关于印发江西省重点行业挥发性有机物综合治理方案的通知》（赣环大气</w:t>
            </w:r>
            <w:r>
              <w:rPr>
                <w:rFonts w:hint="eastAsia" w:cs="Times New Roman"/>
                <w:color w:val="000000" w:themeColor="text1"/>
                <w:sz w:val="21"/>
                <w:szCs w:val="18"/>
                <w:highlight w:val="none"/>
                <w:lang w:eastAsia="zh-CN"/>
              </w:rPr>
              <w:t>〔2019〕20号</w:t>
            </w:r>
            <w:r>
              <w:rPr>
                <w:rFonts w:hint="default" w:ascii="Times New Roman" w:hAnsi="Times New Roman" w:eastAsia="宋体" w:cs="Times New Roman"/>
                <w:color w:val="000000" w:themeColor="text1"/>
                <w:sz w:val="21"/>
                <w:szCs w:val="18"/>
                <w:highlight w:val="none"/>
              </w:rPr>
              <w:t>）相符性分析</w:t>
            </w:r>
          </w:p>
          <w:tbl>
            <w:tblPr>
              <w:tblStyle w:val="33"/>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115"/>
              <w:gridCol w:w="2236"/>
              <w:gridCol w:w="880"/>
            </w:tblGrid>
            <w:tr w14:paraId="6503A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blHeader/>
                <w:jc w:val="center"/>
              </w:trPr>
              <w:tc>
                <w:tcPr>
                  <w:tcW w:w="491" w:type="pct"/>
                  <w:noWrap w:val="0"/>
                  <w:vAlign w:val="center"/>
                </w:tcPr>
                <w:p w14:paraId="5BF92822">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规范</w:t>
                  </w:r>
                </w:p>
              </w:tc>
              <w:tc>
                <w:tcPr>
                  <w:tcW w:w="2565" w:type="pct"/>
                  <w:noWrap w:val="0"/>
                  <w:vAlign w:val="center"/>
                </w:tcPr>
                <w:p w14:paraId="581B9265">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相关要求</w:t>
                  </w:r>
                </w:p>
              </w:tc>
              <w:tc>
                <w:tcPr>
                  <w:tcW w:w="1394" w:type="pct"/>
                  <w:noWrap w:val="0"/>
                  <w:vAlign w:val="center"/>
                </w:tcPr>
                <w:p w14:paraId="10076DCB">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符合情况</w:t>
                  </w:r>
                </w:p>
              </w:tc>
              <w:tc>
                <w:tcPr>
                  <w:tcW w:w="548" w:type="pct"/>
                  <w:noWrap w:val="0"/>
                  <w:vAlign w:val="center"/>
                </w:tcPr>
                <w:p w14:paraId="5C8FFB21">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符合性</w:t>
                  </w:r>
                </w:p>
              </w:tc>
            </w:tr>
            <w:tr w14:paraId="75683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8" w:hRule="atLeast"/>
                <w:jc w:val="center"/>
              </w:trPr>
              <w:tc>
                <w:tcPr>
                  <w:tcW w:w="491" w:type="pct"/>
                  <w:vMerge w:val="restart"/>
                  <w:noWrap w:val="0"/>
                  <w:vAlign w:val="center"/>
                </w:tcPr>
                <w:p w14:paraId="77953890">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江西省生态环境厅关于印发江西省重点行业挥发性有机物综合治理方案</w:t>
                  </w:r>
                </w:p>
              </w:tc>
              <w:tc>
                <w:tcPr>
                  <w:tcW w:w="2565" w:type="pct"/>
                  <w:noWrap w:val="0"/>
                  <w:vAlign w:val="center"/>
                </w:tcPr>
                <w:p w14:paraId="7B3EADCB">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全面加强无组织排放控制。重点对含 VOCs物料（包括含VOCs原辅材料、含 VOCs产品、含VOCs废料以及有机聚合物材料等）储存、转移和输送、设备与管线组件泄漏、敞开液面逸散以及工艺过程等五类排放源实施管控，通过采取设备与场所密闭、工艺改进、废气有效收集等措施，削减VOCs无组织排放。到2020年底前，涉及VOCs排放企业在保证安全、正常生产的前提下，收集设备覆盖率达100%，以物料衡算等方法计VOCs收集率不低于75%。</w:t>
                  </w:r>
                </w:p>
              </w:tc>
              <w:tc>
                <w:tcPr>
                  <w:tcW w:w="1394" w:type="pct"/>
                  <w:noWrap w:val="0"/>
                  <w:vAlign w:val="center"/>
                </w:tcPr>
                <w:p w14:paraId="3C42A01B">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本项目</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不涉及含</w:t>
                  </w:r>
                  <w:r>
                    <w:rPr>
                      <w:rFonts w:hint="default" w:ascii="Times New Roman" w:hAnsi="Times New Roman" w:eastAsia="宋体" w:cs="Times New Roman"/>
                      <w:i w:val="0"/>
                      <w:iCs w:val="0"/>
                      <w:caps w:val="0"/>
                      <w:color w:val="000000" w:themeColor="text1"/>
                      <w:spacing w:val="0"/>
                      <w:sz w:val="21"/>
                      <w:szCs w:val="21"/>
                      <w:shd w:val="clear" w:fill="FFFFFF"/>
                    </w:rPr>
                    <w:t>VOCs的</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原料的使用</w:t>
                  </w:r>
                  <w:r>
                    <w:rPr>
                      <w:rFonts w:hint="eastAsia" w:ascii="Times New Roman" w:hAnsi="Times New Roman" w:eastAsia="宋体" w:cs="Times New Roman"/>
                      <w:i w:val="0"/>
                      <w:iCs w:val="0"/>
                      <w:caps w:val="0"/>
                      <w:color w:val="000000" w:themeColor="text1"/>
                      <w:spacing w:val="0"/>
                      <w:sz w:val="21"/>
                      <w:szCs w:val="21"/>
                      <w:shd w:val="clear" w:fill="FFFFFF"/>
                      <w:lang w:eastAsia="zh-CN"/>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且</w:t>
                  </w:r>
                  <w:r>
                    <w:rPr>
                      <w:rFonts w:hint="default" w:ascii="Times New Roman" w:hAnsi="Times New Roman" w:eastAsia="宋体" w:cs="Times New Roman"/>
                      <w:i w:val="0"/>
                      <w:iCs w:val="0"/>
                      <w:caps w:val="0"/>
                      <w:color w:val="000000" w:themeColor="text1"/>
                      <w:spacing w:val="0"/>
                      <w:sz w:val="21"/>
                      <w:szCs w:val="21"/>
                      <w:shd w:val="clear" w:fill="FFFFFF"/>
                    </w:rPr>
                    <w:t>建设单位拟对挥发性有机物进行收集处理，收集效率不低于</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90</w:t>
                  </w:r>
                  <w:r>
                    <w:rPr>
                      <w:rFonts w:hint="default" w:ascii="Times New Roman" w:hAnsi="Times New Roman" w:eastAsia="宋体" w:cs="Times New Roman"/>
                      <w:i w:val="0"/>
                      <w:iCs w:val="0"/>
                      <w:caps w:val="0"/>
                      <w:color w:val="000000" w:themeColor="text1"/>
                      <w:spacing w:val="0"/>
                      <w:sz w:val="21"/>
                      <w:szCs w:val="21"/>
                      <w:shd w:val="clear" w:fill="FFFFFF"/>
                    </w:rPr>
                    <w:t>%。</w:t>
                  </w:r>
                </w:p>
              </w:tc>
              <w:tc>
                <w:tcPr>
                  <w:tcW w:w="548" w:type="pct"/>
                  <w:noWrap w:val="0"/>
                  <w:vAlign w:val="center"/>
                </w:tcPr>
                <w:p w14:paraId="374DF079">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符合</w:t>
                  </w:r>
                </w:p>
              </w:tc>
            </w:tr>
            <w:tr w14:paraId="7A492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3" w:hRule="atLeast"/>
                <w:jc w:val="center"/>
              </w:trPr>
              <w:tc>
                <w:tcPr>
                  <w:tcW w:w="491" w:type="pct"/>
                  <w:vMerge w:val="continue"/>
                  <w:noWrap w:val="0"/>
                  <w:vAlign w:val="center"/>
                </w:tcPr>
                <w:p w14:paraId="028B4512">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p>
              </w:tc>
              <w:tc>
                <w:tcPr>
                  <w:tcW w:w="2565" w:type="pct"/>
                  <w:noWrap w:val="0"/>
                  <w:vAlign w:val="center"/>
                </w:tcPr>
                <w:p w14:paraId="76A5210C">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三）推进建设适宜高效的治污设施。推进企业新建治污设施或现有治污设施改造，对生产过程中通过排气筒所排放的有组织VOCs废气，应根据生产废气的产生量、污染物的组分和性质、温度、压力等因素进行综合分析后选择适宜的工艺路线进行治理。在不影响企业正常生产的前提下，要求治理设备必须同时设置前置采样口和后置采样口，企业不得以未设置采样口为由逃避监测。采用一次性活性炭吸附技术的，要定期更换活性炭，废旧活性炭应再生或处理处置。</w:t>
                  </w:r>
                </w:p>
              </w:tc>
              <w:tc>
                <w:tcPr>
                  <w:tcW w:w="1394" w:type="pct"/>
                  <w:noWrap w:val="0"/>
                  <w:vAlign w:val="center"/>
                </w:tcPr>
                <w:p w14:paraId="584ECC5E">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项目产生的挥发性有机物，采用“</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冷凝</w:t>
                  </w:r>
                  <w:r>
                    <w:rPr>
                      <w:rFonts w:hint="default" w:ascii="Times New Roman" w:hAnsi="Times New Roman" w:eastAsia="宋体" w:cs="Times New Roman"/>
                      <w:i w:val="0"/>
                      <w:iCs w:val="0"/>
                      <w:caps w:val="0"/>
                      <w:color w:val="000000" w:themeColor="text1"/>
                      <w:spacing w:val="0"/>
                      <w:sz w:val="21"/>
                      <w:szCs w:val="21"/>
                      <w:shd w:val="clear" w:fill="FFFFFF"/>
                    </w:rPr>
                    <w:t>+</w:t>
                  </w:r>
                  <w:r>
                    <w:rPr>
                      <w:rFonts w:hint="eastAsia" w:ascii="Times New Roman" w:hAnsi="Times New Roman" w:eastAsia="宋体" w:cs="Times New Roman"/>
                      <w:i w:val="0"/>
                      <w:iCs w:val="0"/>
                      <w:caps w:val="0"/>
                      <w:color w:val="000000" w:themeColor="text1"/>
                      <w:spacing w:val="0"/>
                      <w:sz w:val="21"/>
                      <w:szCs w:val="21"/>
                      <w:shd w:val="clear" w:fill="FFFFFF"/>
                      <w:lang w:eastAsia="zh-CN"/>
                    </w:rPr>
                    <w:t>两级活性炭</w:t>
                  </w:r>
                  <w:r>
                    <w:rPr>
                      <w:rFonts w:hint="default" w:ascii="Times New Roman" w:hAnsi="Times New Roman" w:eastAsia="宋体" w:cs="Times New Roman"/>
                      <w:i w:val="0"/>
                      <w:iCs w:val="0"/>
                      <w:caps w:val="0"/>
                      <w:color w:val="000000" w:themeColor="text1"/>
                      <w:spacing w:val="0"/>
                      <w:sz w:val="21"/>
                      <w:szCs w:val="21"/>
                      <w:shd w:val="clear" w:fill="FFFFFF"/>
                    </w:rPr>
                    <w:t>吸附”处理，且拟设置前置采样口和后置采样口。企业拟定期对活性炭进行更换，废活性炭</w:t>
                  </w:r>
                  <w:r>
                    <w:rPr>
                      <w:rFonts w:hint="eastAsia" w:ascii="Times New Roman" w:hAnsi="Times New Roman" w:eastAsia="宋体" w:cs="Times New Roman"/>
                      <w:i w:val="0"/>
                      <w:iCs w:val="0"/>
                      <w:caps w:val="0"/>
                      <w:color w:val="000000" w:themeColor="text1"/>
                      <w:spacing w:val="0"/>
                      <w:sz w:val="21"/>
                      <w:szCs w:val="21"/>
                      <w:shd w:val="clear" w:fill="FFFFFF"/>
                      <w:lang w:eastAsia="zh-CN"/>
                    </w:rPr>
                    <w:t>、</w:t>
                  </w:r>
                  <w:r>
                    <w:rPr>
                      <w:rFonts w:hint="eastAsia" w:ascii="Times New Roman" w:hAnsi="Times New Roman" w:eastAsia="宋体" w:cs="Times New Roman"/>
                      <w:i w:val="0"/>
                      <w:iCs w:val="0"/>
                      <w:caps w:val="0"/>
                      <w:color w:val="000000" w:themeColor="text1"/>
                      <w:spacing w:val="0"/>
                      <w:sz w:val="21"/>
                      <w:szCs w:val="21"/>
                      <w:shd w:val="clear" w:fill="FFFFFF"/>
                      <w:lang w:val="en-US" w:eastAsia="zh-CN"/>
                    </w:rPr>
                    <w:t>废冷凝液</w:t>
                  </w:r>
                  <w:r>
                    <w:rPr>
                      <w:rFonts w:hint="default" w:ascii="Times New Roman" w:hAnsi="Times New Roman" w:eastAsia="宋体" w:cs="Times New Roman"/>
                      <w:i w:val="0"/>
                      <w:iCs w:val="0"/>
                      <w:caps w:val="0"/>
                      <w:color w:val="000000" w:themeColor="text1"/>
                      <w:spacing w:val="0"/>
                      <w:sz w:val="21"/>
                      <w:szCs w:val="21"/>
                      <w:shd w:val="clear" w:fill="FFFFFF"/>
                    </w:rPr>
                    <w:t>交由有资质的单位处理处置。</w:t>
                  </w:r>
                </w:p>
              </w:tc>
              <w:tc>
                <w:tcPr>
                  <w:tcW w:w="548" w:type="pct"/>
                  <w:noWrap w:val="0"/>
                  <w:vAlign w:val="center"/>
                </w:tcPr>
                <w:p w14:paraId="253F746C">
                  <w:pPr>
                    <w:pStyle w:val="46"/>
                    <w:keepNext w:val="0"/>
                    <w:keepLines w:val="0"/>
                    <w:widowControl/>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i w:val="0"/>
                      <w:iCs w:val="0"/>
                      <w:caps w:val="0"/>
                      <w:color w:val="000000" w:themeColor="text1"/>
                      <w:spacing w:val="0"/>
                      <w:sz w:val="21"/>
                      <w:szCs w:val="21"/>
                      <w:shd w:val="clear" w:fill="FFFFFF"/>
                    </w:rPr>
                    <w:t>符合</w:t>
                  </w:r>
                </w:p>
              </w:tc>
            </w:tr>
          </w:tbl>
          <w:p w14:paraId="7303938B">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rPr>
            </w:pPr>
            <w:r>
              <w:rPr>
                <w:rFonts w:hint="default" w:ascii="Times New Roman" w:hAnsi="Times New Roman" w:eastAsia="宋体" w:cs="Times New Roman"/>
                <w:color w:val="000000" w:themeColor="text1"/>
                <w:sz w:val="24"/>
                <w:highlight w:val="none"/>
              </w:rPr>
              <w:t>项目有机废气收集及净化措施满足江西省生态环境厅关于印发江西省重点行业挥发性有机物综合治理方案相关要求。</w:t>
            </w:r>
          </w:p>
          <w:p w14:paraId="7C3B7CB4">
            <w:pPr>
              <w:numPr>
                <w:ilvl w:val="0"/>
                <w:numId w:val="0"/>
              </w:numPr>
              <w:adjustRightInd w:val="0"/>
              <w:snapToGrid w:val="0"/>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12、项目与</w:t>
            </w:r>
            <w:r>
              <w:rPr>
                <w:rFonts w:hint="default" w:ascii="Times New Roman" w:hAnsi="Times New Roman" w:eastAsia="宋体" w:cs="Times New Roman"/>
                <w:b/>
                <w:bCs/>
                <w:color w:val="000000" w:themeColor="text1"/>
                <w:sz w:val="24"/>
                <w:highlight w:val="none"/>
                <w:lang w:val="en-US" w:eastAsia="zh-CN"/>
              </w:rPr>
              <w:t>《挥发性有机物（VOCs）污染防治技术政策》相符性分析</w:t>
            </w:r>
          </w:p>
          <w:p w14:paraId="20DCB36E">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 xml:space="preserve">表1-14  </w:t>
            </w:r>
            <w:r>
              <w:rPr>
                <w:rFonts w:hint="default" w:ascii="Times New Roman" w:hAnsi="Times New Roman" w:eastAsia="宋体" w:cs="Times New Roman"/>
                <w:color w:val="000000" w:themeColor="text1"/>
                <w:sz w:val="21"/>
                <w:szCs w:val="21"/>
                <w:highlight w:val="none"/>
                <w:lang w:val="en-US" w:eastAsia="zh-CN"/>
              </w:rPr>
              <w:t>与 《挥发性有机物（VOCs）污染防治技术政策》相符性分析</w:t>
            </w:r>
          </w:p>
          <w:tbl>
            <w:tblPr>
              <w:tblStyle w:val="33"/>
              <w:tblW w:w="81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41"/>
              <w:gridCol w:w="3343"/>
              <w:gridCol w:w="994"/>
            </w:tblGrid>
            <w:tr w14:paraId="42F9C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8" w:hRule="atLeast"/>
                <w:tblHeader/>
                <w:jc w:val="center"/>
              </w:trPr>
              <w:tc>
                <w:tcPr>
                  <w:tcW w:w="2348" w:type="pct"/>
                  <w:noWrap w:val="0"/>
                  <w:vAlign w:val="center"/>
                </w:tcPr>
                <w:p w14:paraId="6295806D">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相关要求</w:t>
                  </w:r>
                </w:p>
              </w:tc>
              <w:tc>
                <w:tcPr>
                  <w:tcW w:w="2043" w:type="pct"/>
                  <w:noWrap w:val="0"/>
                  <w:vAlign w:val="center"/>
                </w:tcPr>
                <w:p w14:paraId="2E5D8863">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符合情况</w:t>
                  </w:r>
                </w:p>
              </w:tc>
              <w:tc>
                <w:tcPr>
                  <w:tcW w:w="607" w:type="pct"/>
                  <w:noWrap w:val="0"/>
                  <w:vAlign w:val="center"/>
                </w:tcPr>
                <w:p w14:paraId="4789EDB7">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18"/>
                      <w:highlight w:val="none"/>
                    </w:rPr>
                  </w:pPr>
                  <w:r>
                    <w:rPr>
                      <w:rFonts w:hint="default" w:ascii="Times New Roman" w:hAnsi="Times New Roman" w:eastAsia="宋体" w:cs="Times New Roman"/>
                      <w:color w:val="000000" w:themeColor="text1"/>
                      <w:sz w:val="21"/>
                      <w:szCs w:val="18"/>
                      <w:highlight w:val="none"/>
                    </w:rPr>
                    <w:t>符合性</w:t>
                  </w:r>
                </w:p>
              </w:tc>
            </w:tr>
            <w:tr w14:paraId="79F6B4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2348" w:type="pct"/>
                  <w:noWrap w:val="0"/>
                  <w:vAlign w:val="center"/>
                </w:tcPr>
                <w:p w14:paraId="454BEA85">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2043" w:type="pct"/>
                  <w:noWrap w:val="0"/>
                  <w:vAlign w:val="center"/>
                </w:tcPr>
                <w:p w14:paraId="6A9E8B29">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Times New Roman" w:hAnsi="Times New Roman" w:eastAsia="宋体" w:cs="Times New Roman"/>
                      <w:i w:val="0"/>
                      <w:iCs w:val="0"/>
                      <w:caps w:val="0"/>
                      <w:color w:val="000000" w:themeColor="text1"/>
                      <w:spacing w:val="0"/>
                      <w:sz w:val="21"/>
                      <w:szCs w:val="21"/>
                      <w:shd w:val="clear" w:fill="FFFFFF"/>
                      <w:lang w:val="en-US" w:eastAsia="zh-CN"/>
                    </w:rPr>
                  </w:pPr>
                  <w:r>
                    <w:rPr>
                      <w:rFonts w:hint="eastAsia" w:ascii="Times New Roman" w:hAnsi="Times New Roman" w:eastAsia="宋体" w:cs="Times New Roman"/>
                      <w:color w:val="000000" w:themeColor="text1"/>
                      <w:sz w:val="21"/>
                      <w:szCs w:val="21"/>
                      <w:lang w:val="en-US" w:eastAsia="zh-CN"/>
                    </w:rPr>
                    <w:t>本项目不使用含</w:t>
                  </w:r>
                  <w:r>
                    <w:rPr>
                      <w:rFonts w:hint="default" w:ascii="Times New Roman" w:hAnsi="Times New Roman" w:eastAsia="宋体" w:cs="Times New Roman"/>
                      <w:color w:val="000000" w:themeColor="text1"/>
                      <w:sz w:val="21"/>
                      <w:szCs w:val="21"/>
                    </w:rPr>
                    <w:t>VOCs</w:t>
                  </w:r>
                  <w:r>
                    <w:rPr>
                      <w:rFonts w:hint="eastAsia" w:ascii="Times New Roman" w:hAnsi="Times New Roman" w:eastAsia="宋体" w:cs="Times New Roman"/>
                      <w:color w:val="000000" w:themeColor="text1"/>
                      <w:sz w:val="21"/>
                      <w:szCs w:val="21"/>
                      <w:lang w:val="en-US" w:eastAsia="zh-CN"/>
                    </w:rPr>
                    <w:t>的原料，生产过程中产生的</w:t>
                  </w:r>
                  <w:r>
                    <w:rPr>
                      <w:rFonts w:hint="default" w:ascii="Times New Roman" w:hAnsi="Times New Roman" w:eastAsia="宋体" w:cs="Times New Roman"/>
                      <w:color w:val="000000" w:themeColor="text1"/>
                      <w:sz w:val="21"/>
                      <w:szCs w:val="21"/>
                    </w:rPr>
                    <w:t>VOCs</w:t>
                  </w:r>
                  <w:r>
                    <w:rPr>
                      <w:rFonts w:hint="eastAsia" w:ascii="Times New Roman" w:hAnsi="Times New Roman" w:eastAsia="宋体" w:cs="Times New Roman"/>
                      <w:color w:val="000000" w:themeColor="text1"/>
                      <w:sz w:val="21"/>
                      <w:szCs w:val="21"/>
                      <w:lang w:val="en-US" w:eastAsia="zh-CN"/>
                    </w:rPr>
                    <w:t>经</w:t>
                  </w:r>
                  <w:r>
                    <w:rPr>
                      <w:rFonts w:hint="eastAsia" w:ascii="Times New Roman" w:hAnsi="Times New Roman" w:eastAsia="宋体" w:cs="Times New Roman"/>
                      <w:bCs/>
                      <w:color w:val="000000" w:themeColor="text1"/>
                      <w:sz w:val="21"/>
                      <w:szCs w:val="21"/>
                      <w:lang w:val="en-US" w:eastAsia="zh-CN"/>
                    </w:rPr>
                    <w:t>一级冷凝+二级活性炭吸附</w:t>
                  </w:r>
                  <w:r>
                    <w:rPr>
                      <w:rFonts w:hint="eastAsia" w:ascii="Times New Roman" w:hAnsi="Times New Roman" w:eastAsia="宋体" w:cs="Times New Roman"/>
                      <w:color w:val="000000" w:themeColor="text1"/>
                      <w:sz w:val="21"/>
                      <w:szCs w:val="21"/>
                      <w:lang w:val="en-US" w:eastAsia="zh-CN"/>
                    </w:rPr>
                    <w:t>+15m高排气筒</w:t>
                  </w:r>
                  <w:r>
                    <w:rPr>
                      <w:rFonts w:hint="eastAsia" w:ascii="Times New Roman" w:hAnsi="Times New Roman" w:eastAsia="宋体" w:cs="Times New Roman"/>
                      <w:bCs/>
                      <w:color w:val="000000" w:themeColor="text1"/>
                      <w:sz w:val="21"/>
                      <w:szCs w:val="21"/>
                      <w:lang w:val="en-US" w:eastAsia="zh-CN"/>
                    </w:rPr>
                    <w:t>（DA002）</w:t>
                  </w:r>
                  <w:r>
                    <w:rPr>
                      <w:rFonts w:hint="default" w:ascii="Times New Roman" w:hAnsi="Times New Roman" w:eastAsia="宋体" w:cs="Times New Roman"/>
                      <w:color w:val="000000" w:themeColor="text1"/>
                      <w:sz w:val="21"/>
                      <w:szCs w:val="21"/>
                    </w:rPr>
                    <w:t>处理后达标排放</w:t>
                  </w:r>
                </w:p>
              </w:tc>
              <w:tc>
                <w:tcPr>
                  <w:tcW w:w="607" w:type="pct"/>
                  <w:noWrap w:val="0"/>
                  <w:vAlign w:val="center"/>
                </w:tcPr>
                <w:p w14:paraId="75AB9B38">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color w:val="000000" w:themeColor="text1"/>
                      <w:sz w:val="21"/>
                      <w:szCs w:val="21"/>
                    </w:rPr>
                    <w:t>符合</w:t>
                  </w:r>
                </w:p>
              </w:tc>
            </w:tr>
            <w:tr w14:paraId="34157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2348" w:type="pct"/>
                  <w:noWrap w:val="0"/>
                  <w:vAlign w:val="center"/>
                </w:tcPr>
                <w:p w14:paraId="6C6CC94C">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对生产装置排放的含VOCs工艺排气宜优先回收利用，不能（或不能完全）回收利用的经处理后达标排放；应急情况下的泄放气可导入燃烧塔（火炬），经过充分燃烧后排放</w:t>
                  </w:r>
                </w:p>
              </w:tc>
              <w:tc>
                <w:tcPr>
                  <w:tcW w:w="2043" w:type="pct"/>
                  <w:noWrap w:val="0"/>
                  <w:vAlign w:val="center"/>
                </w:tcPr>
                <w:p w14:paraId="6A9945E4">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color w:val="000000" w:themeColor="text1"/>
                      <w:sz w:val="21"/>
                      <w:szCs w:val="21"/>
                    </w:rPr>
                    <w:t>项目有机废气尽量做到集中收集、集中处理，生产过程产生的</w:t>
                  </w:r>
                  <w:r>
                    <w:rPr>
                      <w:rFonts w:hint="eastAsia" w:ascii="Times New Roman" w:hAnsi="Times New Roman" w:eastAsia="宋体" w:cs="Times New Roman"/>
                      <w:color w:val="000000" w:themeColor="text1"/>
                      <w:sz w:val="21"/>
                      <w:szCs w:val="21"/>
                      <w:lang w:val="en-US" w:eastAsia="zh-CN"/>
                    </w:rPr>
                    <w:t>废气</w:t>
                  </w:r>
                  <w:r>
                    <w:rPr>
                      <w:rFonts w:hint="eastAsia" w:ascii="Times New Roman" w:hAnsi="Times New Roman" w:eastAsia="宋体" w:cs="Times New Roman"/>
                      <w:bCs/>
                      <w:color w:val="000000" w:themeColor="text1"/>
                      <w:sz w:val="21"/>
                      <w:szCs w:val="21"/>
                      <w:lang w:val="en-US" w:eastAsia="zh-CN"/>
                    </w:rPr>
                    <w:t>一级冷凝+二级活性炭吸附</w:t>
                  </w:r>
                  <w:r>
                    <w:rPr>
                      <w:rFonts w:hint="eastAsia" w:ascii="Times New Roman" w:hAnsi="Times New Roman" w:eastAsia="宋体" w:cs="Times New Roman"/>
                      <w:color w:val="000000" w:themeColor="text1"/>
                      <w:sz w:val="21"/>
                      <w:szCs w:val="21"/>
                      <w:lang w:val="en-US" w:eastAsia="zh-CN"/>
                    </w:rPr>
                    <w:t>+15m高排气筒</w:t>
                  </w:r>
                  <w:r>
                    <w:rPr>
                      <w:rFonts w:hint="eastAsia" w:ascii="Times New Roman" w:hAnsi="Times New Roman" w:eastAsia="宋体" w:cs="Times New Roman"/>
                      <w:bCs/>
                      <w:color w:val="000000" w:themeColor="text1"/>
                      <w:sz w:val="21"/>
                      <w:szCs w:val="21"/>
                      <w:lang w:val="en-US" w:eastAsia="zh-CN"/>
                    </w:rPr>
                    <w:t>（DA00）</w:t>
                  </w:r>
                  <w:r>
                    <w:rPr>
                      <w:rFonts w:hint="default" w:ascii="Times New Roman" w:hAnsi="Times New Roman" w:eastAsia="宋体" w:cs="Times New Roman"/>
                      <w:color w:val="000000" w:themeColor="text1"/>
                      <w:sz w:val="21"/>
                      <w:szCs w:val="21"/>
                    </w:rPr>
                    <w:t>处理后达标排放，废气处理工艺符合治理要求</w:t>
                  </w:r>
                </w:p>
              </w:tc>
              <w:tc>
                <w:tcPr>
                  <w:tcW w:w="607" w:type="pct"/>
                  <w:noWrap w:val="0"/>
                  <w:vAlign w:val="center"/>
                </w:tcPr>
                <w:p w14:paraId="1B21ECEF">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i w:val="0"/>
                      <w:iCs w:val="0"/>
                      <w:caps w:val="0"/>
                      <w:color w:val="000000" w:themeColor="text1"/>
                      <w:spacing w:val="0"/>
                      <w:sz w:val="21"/>
                      <w:szCs w:val="21"/>
                      <w:shd w:val="clear" w:fill="FFFFFF"/>
                    </w:rPr>
                  </w:pPr>
                  <w:r>
                    <w:rPr>
                      <w:rFonts w:hint="default" w:ascii="Times New Roman" w:hAnsi="Times New Roman" w:eastAsia="宋体" w:cs="Times New Roman"/>
                      <w:color w:val="000000" w:themeColor="text1"/>
                      <w:sz w:val="21"/>
                      <w:szCs w:val="21"/>
                    </w:rPr>
                    <w:t>符合</w:t>
                  </w:r>
                </w:p>
              </w:tc>
            </w:tr>
          </w:tbl>
          <w:p w14:paraId="2B605F07">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项目符合《挥发性有机物</w:t>
            </w:r>
            <w:r>
              <w:rPr>
                <w:rFonts w:hint="eastAsia" w:ascii="Times New Roman" w:hAnsi="Times New Roman" w:eastAsia="宋体" w:cs="Times New Roman"/>
                <w:color w:val="000000" w:themeColor="text1"/>
                <w:sz w:val="24"/>
                <w:highlight w:val="none"/>
                <w:lang w:val="en-US" w:eastAsia="zh-CN"/>
              </w:rPr>
              <w:t>（</w:t>
            </w:r>
            <w:r>
              <w:rPr>
                <w:rFonts w:hint="default" w:ascii="Times New Roman" w:hAnsi="Times New Roman" w:eastAsia="宋体" w:cs="Times New Roman"/>
                <w:color w:val="000000" w:themeColor="text1"/>
                <w:sz w:val="24"/>
                <w:highlight w:val="none"/>
                <w:lang w:val="en-US" w:eastAsia="zh-CN"/>
              </w:rPr>
              <w:t>VOCs</w:t>
            </w:r>
            <w:r>
              <w:rPr>
                <w:rFonts w:hint="eastAsia" w:ascii="Times New Roman" w:hAnsi="Times New Roman" w:eastAsia="宋体" w:cs="Times New Roman"/>
                <w:color w:val="000000" w:themeColor="text1"/>
                <w:sz w:val="24"/>
                <w:highlight w:val="none"/>
                <w:lang w:val="en-US" w:eastAsia="zh-CN"/>
              </w:rPr>
              <w:t>）</w:t>
            </w:r>
            <w:r>
              <w:rPr>
                <w:rFonts w:hint="default" w:ascii="Times New Roman" w:hAnsi="Times New Roman" w:eastAsia="宋体" w:cs="Times New Roman"/>
                <w:color w:val="000000" w:themeColor="text1"/>
                <w:sz w:val="24"/>
                <w:highlight w:val="none"/>
                <w:lang w:val="en-US" w:eastAsia="zh-CN"/>
              </w:rPr>
              <w:t>污染防治技术政策》的相关要求。</w:t>
            </w:r>
          </w:p>
          <w:p w14:paraId="2875F4B8">
            <w:pPr>
              <w:adjustRightInd w:val="0"/>
              <w:snapToGrid w:val="0"/>
              <w:spacing w:line="360" w:lineRule="auto"/>
              <w:ind w:firstLine="482" w:firstLineChars="200"/>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13、项目与</w:t>
            </w:r>
            <w:r>
              <w:rPr>
                <w:rFonts w:hint="default" w:ascii="Times New Roman" w:hAnsi="Times New Roman" w:eastAsia="宋体" w:cs="Times New Roman"/>
                <w:b/>
                <w:bCs/>
                <w:color w:val="000000" w:themeColor="text1"/>
                <w:sz w:val="24"/>
                <w:highlight w:val="none"/>
                <w:lang w:val="en-US" w:eastAsia="zh-CN"/>
              </w:rPr>
              <w:t>《挥发性有机物无组织排放控制标准》（GB37822-2019）相符性分析</w:t>
            </w:r>
          </w:p>
          <w:p w14:paraId="014AFDB9">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表1-15   项目与</w:t>
            </w:r>
            <w:r>
              <w:rPr>
                <w:rFonts w:hint="default" w:ascii="Times New Roman" w:hAnsi="Times New Roman" w:eastAsia="宋体" w:cs="Times New Roman"/>
                <w:color w:val="000000" w:themeColor="text1"/>
                <w:sz w:val="21"/>
                <w:szCs w:val="21"/>
                <w:highlight w:val="none"/>
                <w:lang w:val="en-US" w:eastAsia="zh-CN"/>
              </w:rPr>
              <w:t>《挥发性有机物无组织排放控制标准》相符性分析</w:t>
            </w:r>
          </w:p>
          <w:tbl>
            <w:tblPr>
              <w:tblStyle w:val="131"/>
              <w:tblW w:w="5096"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3"/>
              <w:gridCol w:w="4632"/>
              <w:gridCol w:w="2468"/>
              <w:gridCol w:w="643"/>
            </w:tblGrid>
            <w:tr w14:paraId="249B04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4" w:hRule="atLeast"/>
                <w:jc w:val="center"/>
              </w:trPr>
              <w:tc>
                <w:tcPr>
                  <w:tcW w:w="448" w:type="dxa"/>
                  <w:tcBorders>
                    <w:top w:val="single" w:color="000000" w:sz="12" w:space="0"/>
                    <w:left w:val="nil"/>
                  </w:tcBorders>
                  <w:noWrap w:val="0"/>
                  <w:vAlign w:val="center"/>
                </w:tcPr>
                <w:p w14:paraId="5046FA2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序号</w:t>
                  </w:r>
                </w:p>
              </w:tc>
              <w:tc>
                <w:tcPr>
                  <w:tcW w:w="4798" w:type="dxa"/>
                  <w:tcBorders>
                    <w:top w:val="single" w:color="000000" w:sz="12" w:space="0"/>
                  </w:tcBorders>
                  <w:noWrap w:val="0"/>
                  <w:vAlign w:val="center"/>
                </w:tcPr>
                <w:p w14:paraId="58D3046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相关要求</w:t>
                  </w:r>
                </w:p>
              </w:tc>
              <w:tc>
                <w:tcPr>
                  <w:tcW w:w="2555" w:type="dxa"/>
                  <w:tcBorders>
                    <w:top w:val="single" w:color="000000" w:sz="12" w:space="0"/>
                  </w:tcBorders>
                  <w:noWrap w:val="0"/>
                  <w:vAlign w:val="center"/>
                </w:tcPr>
                <w:p w14:paraId="105849E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符合性分析</w:t>
                  </w:r>
                </w:p>
              </w:tc>
              <w:tc>
                <w:tcPr>
                  <w:tcW w:w="665" w:type="dxa"/>
                  <w:tcBorders>
                    <w:top w:val="single" w:color="000000" w:sz="12" w:space="0"/>
                    <w:right w:val="nil"/>
                  </w:tcBorders>
                  <w:noWrap w:val="0"/>
                  <w:vAlign w:val="center"/>
                </w:tcPr>
                <w:p w14:paraId="028CC8D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相符</w:t>
                  </w:r>
                </w:p>
                <w:p w14:paraId="2297FE9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性</w:t>
                  </w:r>
                </w:p>
              </w:tc>
            </w:tr>
            <w:tr w14:paraId="7FC1C0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5" w:hRule="atLeast"/>
                <w:jc w:val="center"/>
              </w:trPr>
              <w:tc>
                <w:tcPr>
                  <w:tcW w:w="448" w:type="dxa"/>
                  <w:tcBorders>
                    <w:left w:val="nil"/>
                  </w:tcBorders>
                  <w:noWrap w:val="0"/>
                  <w:vAlign w:val="center"/>
                </w:tcPr>
                <w:p w14:paraId="4023EF4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1</w:t>
                  </w:r>
                </w:p>
              </w:tc>
              <w:tc>
                <w:tcPr>
                  <w:tcW w:w="4798" w:type="dxa"/>
                  <w:noWrap w:val="0"/>
                  <w:vAlign w:val="center"/>
                </w:tcPr>
                <w:p w14:paraId="17C5B4A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VOCs物料应储存于密闭的容器、包装袋、储罐、储库、料仓中。盛装VOCs物料的容器或包装袋应存放于室内，或存放于设置有雨棚、遮阳和防渗设施的专用场地。盛装VOCs物料的容器或包装袋在非取用状态时应加盖、封口，保持密闭。VOCs物料储库、料仓应满足3.6条对密闭空间的要求。</w:t>
                  </w:r>
                </w:p>
              </w:tc>
              <w:tc>
                <w:tcPr>
                  <w:tcW w:w="2555" w:type="dxa"/>
                  <w:noWrap w:val="0"/>
                  <w:vAlign w:val="center"/>
                </w:tcPr>
                <w:p w14:paraId="0915FC8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项目</w:t>
                  </w:r>
                  <w:r>
                    <w:rPr>
                      <w:rFonts w:hint="eastAsia" w:ascii="Times New Roman" w:hAnsi="Times New Roman" w:eastAsia="宋体" w:cs="Times New Roman"/>
                      <w:b w:val="0"/>
                      <w:bCs/>
                      <w:color w:val="000000" w:themeColor="text1"/>
                      <w:lang w:val="en-US" w:eastAsia="zh-CN"/>
                    </w:rPr>
                    <w:t>不</w:t>
                  </w:r>
                  <w:r>
                    <w:rPr>
                      <w:rFonts w:hint="default" w:ascii="Times New Roman" w:hAnsi="Times New Roman" w:eastAsia="宋体" w:cs="Times New Roman"/>
                      <w:b w:val="0"/>
                      <w:bCs/>
                      <w:color w:val="000000" w:themeColor="text1"/>
                    </w:rPr>
                    <w:t>使用</w:t>
                  </w:r>
                  <w:r>
                    <w:rPr>
                      <w:rFonts w:hint="eastAsia" w:ascii="Times New Roman" w:hAnsi="Times New Roman" w:eastAsia="宋体" w:cs="Times New Roman"/>
                      <w:b w:val="0"/>
                      <w:bCs/>
                      <w:color w:val="000000" w:themeColor="text1"/>
                      <w:lang w:val="en-US" w:eastAsia="zh-CN"/>
                    </w:rPr>
                    <w:t>含</w:t>
                  </w:r>
                  <w:r>
                    <w:rPr>
                      <w:rFonts w:hint="default" w:ascii="Times New Roman" w:hAnsi="Times New Roman" w:eastAsia="宋体" w:cs="Times New Roman"/>
                      <w:b w:val="0"/>
                      <w:bCs/>
                      <w:color w:val="000000" w:themeColor="text1"/>
                    </w:rPr>
                    <w:t>VOCs物料。</w:t>
                  </w:r>
                </w:p>
              </w:tc>
              <w:tc>
                <w:tcPr>
                  <w:tcW w:w="665" w:type="dxa"/>
                  <w:tcBorders>
                    <w:right w:val="nil"/>
                  </w:tcBorders>
                  <w:noWrap w:val="0"/>
                  <w:vAlign w:val="center"/>
                </w:tcPr>
                <w:p w14:paraId="4DBD369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550A0E6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546DF0F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62FB22E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1" w:hRule="atLeast"/>
                <w:jc w:val="center"/>
              </w:trPr>
              <w:tc>
                <w:tcPr>
                  <w:tcW w:w="448" w:type="dxa"/>
                  <w:tcBorders>
                    <w:left w:val="nil"/>
                  </w:tcBorders>
                  <w:noWrap w:val="0"/>
                  <w:vAlign w:val="center"/>
                </w:tcPr>
                <w:p w14:paraId="2E4AA8F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4796B48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2</w:t>
                  </w:r>
                </w:p>
              </w:tc>
              <w:tc>
                <w:tcPr>
                  <w:tcW w:w="4798" w:type="dxa"/>
                  <w:noWrap w:val="0"/>
                  <w:vAlign w:val="center"/>
                </w:tcPr>
                <w:p w14:paraId="08F8360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液态VOCs物料应采用密闭管道输送。采用非管道输送方式转移液态VOCs物料时，应采用密闭容器、罐车。</w:t>
                  </w:r>
                </w:p>
              </w:tc>
              <w:tc>
                <w:tcPr>
                  <w:tcW w:w="2555" w:type="dxa"/>
                  <w:noWrap w:val="0"/>
                  <w:vAlign w:val="center"/>
                </w:tcPr>
                <w:p w14:paraId="4E63943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项目</w:t>
                  </w:r>
                  <w:r>
                    <w:rPr>
                      <w:rFonts w:hint="eastAsia" w:ascii="Times New Roman" w:hAnsi="Times New Roman" w:eastAsia="宋体" w:cs="Times New Roman"/>
                      <w:b w:val="0"/>
                      <w:bCs/>
                      <w:color w:val="000000" w:themeColor="text1"/>
                      <w:lang w:val="en-US" w:eastAsia="zh-CN"/>
                    </w:rPr>
                    <w:t>不</w:t>
                  </w:r>
                  <w:r>
                    <w:rPr>
                      <w:rFonts w:hint="default" w:ascii="Times New Roman" w:hAnsi="Times New Roman" w:eastAsia="宋体" w:cs="Times New Roman"/>
                      <w:b w:val="0"/>
                      <w:bCs/>
                      <w:color w:val="000000" w:themeColor="text1"/>
                    </w:rPr>
                    <w:t>使用</w:t>
                  </w:r>
                  <w:r>
                    <w:rPr>
                      <w:rFonts w:hint="eastAsia" w:ascii="Times New Roman" w:hAnsi="Times New Roman" w:eastAsia="宋体" w:cs="Times New Roman"/>
                      <w:b w:val="0"/>
                      <w:bCs/>
                      <w:color w:val="000000" w:themeColor="text1"/>
                      <w:lang w:val="en-US" w:eastAsia="zh-CN"/>
                    </w:rPr>
                    <w:t>含</w:t>
                  </w:r>
                  <w:r>
                    <w:rPr>
                      <w:rFonts w:hint="default" w:ascii="Times New Roman" w:hAnsi="Times New Roman" w:eastAsia="宋体" w:cs="Times New Roman"/>
                      <w:b w:val="0"/>
                      <w:bCs/>
                      <w:color w:val="000000" w:themeColor="text1"/>
                    </w:rPr>
                    <w:t>VOCs物料。</w:t>
                  </w:r>
                </w:p>
              </w:tc>
              <w:tc>
                <w:tcPr>
                  <w:tcW w:w="665" w:type="dxa"/>
                  <w:tcBorders>
                    <w:right w:val="nil"/>
                  </w:tcBorders>
                  <w:noWrap w:val="0"/>
                  <w:vAlign w:val="center"/>
                </w:tcPr>
                <w:p w14:paraId="28F1352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53971E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8" w:hRule="atLeast"/>
                <w:jc w:val="center"/>
              </w:trPr>
              <w:tc>
                <w:tcPr>
                  <w:tcW w:w="448" w:type="dxa"/>
                  <w:tcBorders>
                    <w:left w:val="nil"/>
                  </w:tcBorders>
                  <w:noWrap w:val="0"/>
                  <w:vAlign w:val="center"/>
                </w:tcPr>
                <w:p w14:paraId="27ADCD7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6E207CE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3</w:t>
                  </w:r>
                </w:p>
              </w:tc>
              <w:tc>
                <w:tcPr>
                  <w:tcW w:w="4798" w:type="dxa"/>
                  <w:noWrap w:val="0"/>
                  <w:vAlign w:val="center"/>
                </w:tcPr>
                <w:p w14:paraId="31424AF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粉状、粒状VOCs物料应采用气力输送设备、管状带式输送机、螺旋输送机等密闭输送方式，或者采用密闭的包装袋、容器或罐车进行物料转移。</w:t>
                  </w:r>
                </w:p>
              </w:tc>
              <w:tc>
                <w:tcPr>
                  <w:tcW w:w="2555" w:type="dxa"/>
                  <w:noWrap w:val="0"/>
                  <w:vAlign w:val="center"/>
                </w:tcPr>
                <w:p w14:paraId="0F1332E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项目</w:t>
                  </w:r>
                  <w:r>
                    <w:rPr>
                      <w:rFonts w:hint="eastAsia" w:ascii="Times New Roman" w:hAnsi="Times New Roman" w:eastAsia="宋体" w:cs="Times New Roman"/>
                      <w:b w:val="0"/>
                      <w:bCs/>
                      <w:color w:val="000000" w:themeColor="text1"/>
                      <w:lang w:val="en-US" w:eastAsia="zh-CN"/>
                    </w:rPr>
                    <w:t>不</w:t>
                  </w:r>
                  <w:r>
                    <w:rPr>
                      <w:rFonts w:hint="default" w:ascii="Times New Roman" w:hAnsi="Times New Roman" w:eastAsia="宋体" w:cs="Times New Roman"/>
                      <w:b w:val="0"/>
                      <w:bCs/>
                      <w:color w:val="000000" w:themeColor="text1"/>
                    </w:rPr>
                    <w:t>使用</w:t>
                  </w:r>
                  <w:r>
                    <w:rPr>
                      <w:rFonts w:hint="eastAsia" w:ascii="Times New Roman" w:hAnsi="Times New Roman" w:eastAsia="宋体" w:cs="Times New Roman"/>
                      <w:b w:val="0"/>
                      <w:bCs/>
                      <w:color w:val="000000" w:themeColor="text1"/>
                      <w:lang w:val="en-US" w:eastAsia="zh-CN"/>
                    </w:rPr>
                    <w:t>含</w:t>
                  </w:r>
                  <w:r>
                    <w:rPr>
                      <w:rFonts w:hint="default" w:ascii="Times New Roman" w:hAnsi="Times New Roman" w:eastAsia="宋体" w:cs="Times New Roman"/>
                      <w:b w:val="0"/>
                      <w:bCs/>
                      <w:color w:val="000000" w:themeColor="text1"/>
                    </w:rPr>
                    <w:t>VOCs物料。</w:t>
                  </w:r>
                </w:p>
              </w:tc>
              <w:tc>
                <w:tcPr>
                  <w:tcW w:w="665" w:type="dxa"/>
                  <w:tcBorders>
                    <w:right w:val="nil"/>
                  </w:tcBorders>
                  <w:noWrap w:val="0"/>
                  <w:vAlign w:val="center"/>
                </w:tcPr>
                <w:p w14:paraId="427CABC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191569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56" w:hRule="atLeast"/>
                <w:jc w:val="center"/>
              </w:trPr>
              <w:tc>
                <w:tcPr>
                  <w:tcW w:w="448" w:type="dxa"/>
                  <w:tcBorders>
                    <w:left w:val="nil"/>
                  </w:tcBorders>
                  <w:noWrap w:val="0"/>
                  <w:vAlign w:val="center"/>
                </w:tcPr>
                <w:p w14:paraId="215697D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4</w:t>
                  </w:r>
                </w:p>
              </w:tc>
              <w:tc>
                <w:tcPr>
                  <w:tcW w:w="4798" w:type="dxa"/>
                  <w:noWrap w:val="0"/>
                  <w:vAlign w:val="center"/>
                </w:tcPr>
                <w:p w14:paraId="068706B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VOCs质量占比大于等于10%的含VOCs产品，其使用过程应采用密闭设备或在密闭空间内操作，废气应排至VOCs废气收集处理系统；无法密闭的，应采取局部气体收集措施，废气应排至VOCs废气收集处理系统。</w:t>
                  </w:r>
                </w:p>
              </w:tc>
              <w:tc>
                <w:tcPr>
                  <w:tcW w:w="2555" w:type="dxa"/>
                  <w:noWrap w:val="0"/>
                  <w:vAlign w:val="center"/>
                </w:tcPr>
                <w:p w14:paraId="6B4A081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项目</w:t>
                  </w:r>
                  <w:r>
                    <w:rPr>
                      <w:rFonts w:hint="eastAsia" w:ascii="Times New Roman" w:hAnsi="Times New Roman" w:eastAsia="宋体" w:cs="Times New Roman"/>
                      <w:b w:val="0"/>
                      <w:bCs/>
                      <w:color w:val="000000" w:themeColor="text1"/>
                      <w:lang w:val="en-US" w:eastAsia="zh-CN"/>
                    </w:rPr>
                    <w:t>产品不属于含VOCs的产品</w:t>
                  </w:r>
                  <w:r>
                    <w:rPr>
                      <w:rFonts w:hint="default" w:ascii="Times New Roman" w:hAnsi="Times New Roman" w:eastAsia="宋体" w:cs="Times New Roman"/>
                      <w:b w:val="0"/>
                      <w:bCs/>
                      <w:color w:val="000000" w:themeColor="text1"/>
                    </w:rPr>
                    <w:t>，</w:t>
                  </w:r>
                  <w:r>
                    <w:rPr>
                      <w:rFonts w:hint="eastAsia" w:ascii="Times New Roman" w:hAnsi="Times New Roman" w:eastAsia="宋体" w:cs="Times New Roman"/>
                      <w:b w:val="0"/>
                      <w:bCs/>
                      <w:color w:val="000000" w:themeColor="text1"/>
                      <w:lang w:val="en-US" w:eastAsia="zh-CN"/>
                    </w:rPr>
                    <w:t>且</w:t>
                  </w:r>
                  <w:r>
                    <w:rPr>
                      <w:rFonts w:hint="default" w:ascii="Times New Roman" w:hAnsi="Times New Roman" w:eastAsia="宋体" w:cs="Times New Roman"/>
                      <w:b w:val="0"/>
                      <w:bCs/>
                      <w:color w:val="000000" w:themeColor="text1"/>
                    </w:rPr>
                    <w:t>废气</w:t>
                  </w:r>
                  <w:r>
                    <w:rPr>
                      <w:rFonts w:hint="default" w:ascii="Times New Roman" w:hAnsi="Times New Roman" w:eastAsia="宋体" w:cs="Times New Roman"/>
                      <w:b w:val="0"/>
                      <w:bCs/>
                      <w:color w:val="000000" w:themeColor="text1"/>
                      <w:lang w:eastAsia="zh-CN"/>
                    </w:rPr>
                    <w:t>排至废气处理装置</w:t>
                  </w:r>
                  <w:r>
                    <w:rPr>
                      <w:rFonts w:hint="default" w:ascii="Times New Roman" w:hAnsi="Times New Roman" w:eastAsia="宋体" w:cs="Times New Roman"/>
                      <w:b w:val="0"/>
                      <w:bCs/>
                      <w:color w:val="000000" w:themeColor="text1"/>
                    </w:rPr>
                    <w:t>处理后达标排放。</w:t>
                  </w:r>
                </w:p>
              </w:tc>
              <w:tc>
                <w:tcPr>
                  <w:tcW w:w="665" w:type="dxa"/>
                  <w:tcBorders>
                    <w:right w:val="nil"/>
                  </w:tcBorders>
                  <w:noWrap w:val="0"/>
                  <w:vAlign w:val="center"/>
                </w:tcPr>
                <w:p w14:paraId="4CB3856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59C9AA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8" w:hRule="atLeast"/>
                <w:jc w:val="center"/>
              </w:trPr>
              <w:tc>
                <w:tcPr>
                  <w:tcW w:w="448" w:type="dxa"/>
                  <w:tcBorders>
                    <w:left w:val="nil"/>
                  </w:tcBorders>
                  <w:noWrap w:val="0"/>
                  <w:vAlign w:val="center"/>
                </w:tcPr>
                <w:p w14:paraId="4A06C04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5</w:t>
                  </w:r>
                </w:p>
              </w:tc>
              <w:tc>
                <w:tcPr>
                  <w:tcW w:w="4798" w:type="dxa"/>
                  <w:noWrap w:val="0"/>
                  <w:vAlign w:val="center"/>
                </w:tcPr>
                <w:p w14:paraId="400712B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企业应建立台账，记录含VOCs原辅材料和含VOCs产品的名称、使用量、回收量、废弃量、去向以及VOCs含量等信息。台账保存期限不少于3年。</w:t>
                  </w:r>
                </w:p>
              </w:tc>
              <w:tc>
                <w:tcPr>
                  <w:tcW w:w="2555" w:type="dxa"/>
                  <w:noWrap w:val="0"/>
                  <w:vAlign w:val="center"/>
                </w:tcPr>
                <w:p w14:paraId="753C3B8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建设单位</w:t>
                  </w:r>
                  <w:r>
                    <w:rPr>
                      <w:rFonts w:hint="eastAsia" w:ascii="Times New Roman" w:hAnsi="Times New Roman" w:eastAsia="宋体" w:cs="Times New Roman"/>
                      <w:b w:val="0"/>
                      <w:bCs/>
                      <w:color w:val="000000" w:themeColor="text1"/>
                      <w:lang w:val="en-US" w:eastAsia="zh-CN"/>
                    </w:rPr>
                    <w:t>将</w:t>
                  </w:r>
                  <w:r>
                    <w:rPr>
                      <w:rFonts w:hint="default" w:ascii="Times New Roman" w:hAnsi="Times New Roman" w:eastAsia="宋体" w:cs="Times New Roman"/>
                      <w:b w:val="0"/>
                      <w:bCs/>
                      <w:color w:val="000000" w:themeColor="text1"/>
                    </w:rPr>
                    <w:t>建立台账，记录</w:t>
                  </w:r>
                  <w:r>
                    <w:rPr>
                      <w:rFonts w:hint="eastAsia" w:ascii="Times New Roman" w:hAnsi="Times New Roman" w:eastAsia="宋体" w:cs="Times New Roman"/>
                      <w:b w:val="0"/>
                      <w:bCs/>
                      <w:color w:val="000000" w:themeColor="text1"/>
                      <w:lang w:val="en-US" w:eastAsia="zh-CN"/>
                    </w:rPr>
                    <w:t>本项目</w:t>
                  </w:r>
                  <w:r>
                    <w:rPr>
                      <w:rFonts w:hint="default" w:ascii="Times New Roman" w:hAnsi="Times New Roman" w:eastAsia="宋体" w:cs="Times New Roman"/>
                      <w:b w:val="0"/>
                      <w:bCs/>
                      <w:color w:val="000000" w:themeColor="text1"/>
                    </w:rPr>
                    <w:t>原辅材料名称、使用量、回收量、废弃量、去向。台账保存期限不少于3年。</w:t>
                  </w:r>
                </w:p>
              </w:tc>
              <w:tc>
                <w:tcPr>
                  <w:tcW w:w="665" w:type="dxa"/>
                  <w:tcBorders>
                    <w:right w:val="nil"/>
                  </w:tcBorders>
                  <w:noWrap w:val="0"/>
                  <w:vAlign w:val="center"/>
                </w:tcPr>
                <w:p w14:paraId="77F8452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06E10A4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3694862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4F2C80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5" w:hRule="atLeast"/>
                <w:jc w:val="center"/>
              </w:trPr>
              <w:tc>
                <w:tcPr>
                  <w:tcW w:w="448" w:type="dxa"/>
                  <w:tcBorders>
                    <w:left w:val="nil"/>
                  </w:tcBorders>
                  <w:noWrap w:val="0"/>
                  <w:vAlign w:val="center"/>
                </w:tcPr>
                <w:p w14:paraId="2AE95B8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6</w:t>
                  </w:r>
                </w:p>
              </w:tc>
              <w:tc>
                <w:tcPr>
                  <w:tcW w:w="4798" w:type="dxa"/>
                  <w:noWrap w:val="0"/>
                  <w:vAlign w:val="center"/>
                </w:tcPr>
                <w:p w14:paraId="7F44B95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载有VOCs物料的设备及其管道在开停工（车）、检维修和清洗时，应在退料阶段将残存物料退净，并用密闭容器盛装，退料过程废气应排至VOCs废气收集处理系统；清洗及吹扫过程排气应排至VOCs废气收集处理系统</w:t>
                  </w:r>
                </w:p>
              </w:tc>
              <w:tc>
                <w:tcPr>
                  <w:tcW w:w="2555" w:type="dxa"/>
                  <w:noWrap w:val="0"/>
                  <w:vAlign w:val="center"/>
                </w:tcPr>
                <w:p w14:paraId="2FD4447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项目</w:t>
                  </w:r>
                  <w:r>
                    <w:rPr>
                      <w:rFonts w:hint="eastAsia" w:ascii="Times New Roman" w:hAnsi="Times New Roman" w:eastAsia="宋体" w:cs="Times New Roman"/>
                      <w:b w:val="0"/>
                      <w:bCs/>
                      <w:color w:val="000000" w:themeColor="text1"/>
                      <w:lang w:val="en-US" w:eastAsia="zh-CN"/>
                    </w:rPr>
                    <w:t>不使用</w:t>
                  </w:r>
                  <w:r>
                    <w:rPr>
                      <w:rFonts w:hint="default" w:ascii="Times New Roman" w:hAnsi="Times New Roman" w:eastAsia="宋体" w:cs="Times New Roman"/>
                      <w:b w:val="0"/>
                      <w:bCs/>
                      <w:color w:val="000000" w:themeColor="text1"/>
                    </w:rPr>
                    <w:t>有VOCs物料</w:t>
                  </w:r>
                  <w:r>
                    <w:rPr>
                      <w:rFonts w:hint="eastAsia" w:ascii="Times New Roman" w:hAnsi="Times New Roman" w:eastAsia="宋体" w:cs="Times New Roman"/>
                      <w:b w:val="0"/>
                      <w:bCs/>
                      <w:color w:val="000000" w:themeColor="text1"/>
                      <w:lang w:eastAsia="zh-CN"/>
                    </w:rPr>
                    <w:t>，</w:t>
                  </w:r>
                  <w:r>
                    <w:rPr>
                      <w:rFonts w:hint="eastAsia" w:ascii="Times New Roman" w:hAnsi="Times New Roman" w:eastAsia="宋体" w:cs="Times New Roman"/>
                      <w:b w:val="0"/>
                      <w:bCs/>
                      <w:color w:val="000000" w:themeColor="text1"/>
                      <w:lang w:val="en-US" w:eastAsia="zh-CN"/>
                    </w:rPr>
                    <w:t>且</w:t>
                  </w:r>
                  <w:r>
                    <w:rPr>
                      <w:rFonts w:hint="default" w:ascii="Times New Roman" w:hAnsi="Times New Roman" w:eastAsia="宋体" w:cs="Times New Roman"/>
                      <w:b w:val="0"/>
                      <w:bCs/>
                      <w:color w:val="000000" w:themeColor="text1"/>
                    </w:rPr>
                    <w:t>废气经</w:t>
                  </w:r>
                  <w:r>
                    <w:rPr>
                      <w:rFonts w:hint="default" w:ascii="Times New Roman" w:hAnsi="Times New Roman" w:eastAsia="宋体" w:cs="Times New Roman"/>
                      <w:b w:val="0"/>
                      <w:bCs/>
                      <w:color w:val="000000" w:themeColor="text1"/>
                      <w:lang w:eastAsia="zh-CN"/>
                    </w:rPr>
                    <w:t>废气处理装置</w:t>
                  </w:r>
                  <w:r>
                    <w:rPr>
                      <w:rFonts w:hint="default" w:ascii="Times New Roman" w:hAnsi="Times New Roman" w:eastAsia="宋体" w:cs="Times New Roman"/>
                      <w:b w:val="0"/>
                      <w:bCs/>
                      <w:color w:val="000000" w:themeColor="text1"/>
                    </w:rPr>
                    <w:t>处理后达标排放</w:t>
                  </w:r>
                </w:p>
              </w:tc>
              <w:tc>
                <w:tcPr>
                  <w:tcW w:w="665" w:type="dxa"/>
                  <w:tcBorders>
                    <w:right w:val="nil"/>
                  </w:tcBorders>
                  <w:noWrap w:val="0"/>
                  <w:vAlign w:val="center"/>
                </w:tcPr>
                <w:p w14:paraId="4F124CA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302F81F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4ABAF5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5" w:hRule="atLeast"/>
                <w:jc w:val="center"/>
              </w:trPr>
              <w:tc>
                <w:tcPr>
                  <w:tcW w:w="448" w:type="dxa"/>
                  <w:tcBorders>
                    <w:left w:val="nil"/>
                  </w:tcBorders>
                  <w:noWrap w:val="0"/>
                  <w:vAlign w:val="center"/>
                </w:tcPr>
                <w:p w14:paraId="7250FDC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default" w:ascii="Times New Roman" w:hAnsi="Times New Roman" w:eastAsia="宋体" w:cs="Times New Roman"/>
                      <w:b w:val="0"/>
                      <w:bCs/>
                      <w:color w:val="000000" w:themeColor="text1"/>
                      <w:lang w:val="en-US" w:eastAsia="zh-CN"/>
                    </w:rPr>
                    <w:t>7</w:t>
                  </w:r>
                </w:p>
              </w:tc>
              <w:tc>
                <w:tcPr>
                  <w:tcW w:w="4798" w:type="dxa"/>
                  <w:noWrap w:val="0"/>
                  <w:vAlign w:val="top"/>
                </w:tcPr>
                <w:p w14:paraId="55D0A47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VOCs废气收集处理系统应与生产工艺设备同步运行。VOCs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2555" w:type="dxa"/>
                  <w:noWrap w:val="0"/>
                  <w:vAlign w:val="top"/>
                </w:tcPr>
                <w:p w14:paraId="30A4B2D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VOCs废气收集处理系统与生产工艺设备同步运行。VOCs废气收集处理系统发生故障或检修时，对应的生产工艺设备应停止运行，待检修完毕后同步投入使用</w:t>
                  </w:r>
                </w:p>
              </w:tc>
              <w:tc>
                <w:tcPr>
                  <w:tcW w:w="665" w:type="dxa"/>
                  <w:tcBorders>
                    <w:right w:val="nil"/>
                  </w:tcBorders>
                  <w:noWrap w:val="0"/>
                  <w:vAlign w:val="center"/>
                </w:tcPr>
                <w:p w14:paraId="6140516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6ABA72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5" w:hRule="atLeast"/>
                <w:jc w:val="center"/>
              </w:trPr>
              <w:tc>
                <w:tcPr>
                  <w:tcW w:w="448" w:type="dxa"/>
                  <w:tcBorders>
                    <w:left w:val="nil"/>
                  </w:tcBorders>
                  <w:noWrap w:val="0"/>
                  <w:vAlign w:val="center"/>
                </w:tcPr>
                <w:p w14:paraId="38FEA04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default" w:ascii="Times New Roman" w:hAnsi="Times New Roman" w:eastAsia="宋体" w:cs="Times New Roman"/>
                      <w:b w:val="0"/>
                      <w:bCs/>
                      <w:color w:val="000000" w:themeColor="text1"/>
                      <w:lang w:val="en-US" w:eastAsia="zh-CN"/>
                    </w:rPr>
                    <w:t>8</w:t>
                  </w:r>
                </w:p>
              </w:tc>
              <w:tc>
                <w:tcPr>
                  <w:tcW w:w="4798" w:type="dxa"/>
                  <w:noWrap w:val="0"/>
                  <w:vAlign w:val="center"/>
                </w:tcPr>
                <w:p w14:paraId="06A7BF4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废气收集系统排风罩（集气罩）的设置应符合GB/T16758的规定。采用外部排风罩的，应按GB/T16758、AQ/T4274—2016规定的方法测量控制风速，测量点应选取在距排风罩开口面最远处的VOCs无组织排放位置，控制风速不应低于0.3m/s（行业相关规范有具体规定的，按相关规定执行）。废气收集系统的输送管道应密闭。废气收集系统应在负压下运行，若处于正压状态，应对输送管道组件的密封点进行泄漏检测，泄漏检测值不应超过500µmol/mol，亦不应有感官可察觉泄漏。泄漏检测频次、修复与记录的要求按照第8章规定执行。</w:t>
                  </w:r>
                </w:p>
              </w:tc>
              <w:tc>
                <w:tcPr>
                  <w:tcW w:w="2555" w:type="dxa"/>
                  <w:noWrap w:val="0"/>
                  <w:vAlign w:val="center"/>
                </w:tcPr>
                <w:p w14:paraId="3A17A9B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废气收集系统的输送管道密闭，废气收集系统在负压下运行</w:t>
                  </w:r>
                </w:p>
              </w:tc>
              <w:tc>
                <w:tcPr>
                  <w:tcW w:w="665" w:type="dxa"/>
                  <w:tcBorders>
                    <w:right w:val="nil"/>
                  </w:tcBorders>
                  <w:noWrap w:val="0"/>
                  <w:vAlign w:val="center"/>
                </w:tcPr>
                <w:p w14:paraId="6BD62712">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78F564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5" w:hRule="atLeast"/>
                <w:jc w:val="center"/>
              </w:trPr>
              <w:tc>
                <w:tcPr>
                  <w:tcW w:w="448" w:type="dxa"/>
                  <w:tcBorders>
                    <w:left w:val="nil"/>
                    <w:bottom w:val="single" w:color="000000" w:sz="12" w:space="0"/>
                  </w:tcBorders>
                  <w:noWrap w:val="0"/>
                  <w:vAlign w:val="center"/>
                </w:tcPr>
                <w:p w14:paraId="4D6BA70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default" w:ascii="Times New Roman" w:hAnsi="Times New Roman" w:eastAsia="宋体" w:cs="Times New Roman"/>
                      <w:b w:val="0"/>
                      <w:bCs/>
                      <w:color w:val="000000" w:themeColor="text1"/>
                      <w:lang w:val="en-US" w:eastAsia="zh-CN"/>
                    </w:rPr>
                    <w:t>9</w:t>
                  </w:r>
                </w:p>
              </w:tc>
              <w:tc>
                <w:tcPr>
                  <w:tcW w:w="4798" w:type="dxa"/>
                  <w:tcBorders>
                    <w:bottom w:val="single" w:color="000000" w:sz="12" w:space="0"/>
                  </w:tcBorders>
                  <w:noWrap w:val="0"/>
                  <w:vAlign w:val="center"/>
                </w:tcPr>
                <w:p w14:paraId="1A615B2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企业应建立台账，记录废气收集系统、VOCs处理设施的主要运行和维护信息，如运行时间、废气处理量、操作温度、停留时间、吸附剂再生/更换周期和更换量、催化剂更换周期和更换量、吸收液pH值等关键运行参数。台账保存期限不少于3年。</w:t>
                  </w:r>
                </w:p>
              </w:tc>
              <w:tc>
                <w:tcPr>
                  <w:tcW w:w="2555" w:type="dxa"/>
                  <w:tcBorders>
                    <w:bottom w:val="single" w:color="000000" w:sz="12" w:space="0"/>
                  </w:tcBorders>
                  <w:noWrap w:val="0"/>
                  <w:vAlign w:val="center"/>
                </w:tcPr>
                <w:p w14:paraId="6316BC2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建设单位拟建立台账，记录废气收集系统、VOCs处理设施的主要运行和维护信息台账保存期限不少于3年。</w:t>
                  </w:r>
                </w:p>
              </w:tc>
              <w:tc>
                <w:tcPr>
                  <w:tcW w:w="665" w:type="dxa"/>
                  <w:tcBorders>
                    <w:bottom w:val="single" w:color="000000" w:sz="12" w:space="0"/>
                    <w:right w:val="nil"/>
                  </w:tcBorders>
                  <w:noWrap w:val="0"/>
                  <w:vAlign w:val="center"/>
                </w:tcPr>
                <w:p w14:paraId="2804A92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bl>
          <w:p w14:paraId="658250F4">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项目符合《挥发性有机物无组织排放控制标准》（GB</w:t>
            </w:r>
            <w:r>
              <w:rPr>
                <w:rFonts w:hint="eastAsia" w:cs="Times New Roman"/>
                <w:color w:val="000000" w:themeColor="text1"/>
                <w:sz w:val="24"/>
                <w:highlight w:val="none"/>
                <w:lang w:val="en-US" w:eastAsia="zh-CN"/>
              </w:rPr>
              <w:t xml:space="preserve"> </w:t>
            </w:r>
            <w:r>
              <w:rPr>
                <w:rFonts w:hint="default" w:ascii="Times New Roman" w:hAnsi="Times New Roman" w:eastAsia="宋体" w:cs="Times New Roman"/>
                <w:color w:val="000000" w:themeColor="text1"/>
                <w:sz w:val="24"/>
                <w:highlight w:val="none"/>
                <w:lang w:val="en-US" w:eastAsia="zh-CN"/>
              </w:rPr>
              <w:t>37822-2019）的相关要求。</w:t>
            </w:r>
          </w:p>
          <w:p w14:paraId="27DA3CF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14、项目与</w:t>
            </w:r>
            <w:r>
              <w:rPr>
                <w:rFonts w:hint="default" w:ascii="Times New Roman" w:hAnsi="Times New Roman" w:eastAsia="宋体" w:cs="Times New Roman"/>
                <w:b/>
                <w:bCs/>
                <w:color w:val="000000" w:themeColor="text1"/>
                <w:sz w:val="24"/>
                <w:highlight w:val="none"/>
                <w:lang w:val="en-US" w:eastAsia="zh-CN"/>
              </w:rPr>
              <w:t>《挥发性有机物排放标准</w:t>
            </w:r>
            <w:r>
              <w:rPr>
                <w:rFonts w:hint="eastAsia" w:cs="Times New Roman"/>
                <w:b/>
                <w:bCs/>
                <w:color w:val="000000" w:themeColor="text1"/>
                <w:sz w:val="24"/>
                <w:highlight w:val="none"/>
                <w:lang w:val="en-US" w:eastAsia="zh-CN"/>
              </w:rPr>
              <w:t xml:space="preserve"> </w:t>
            </w:r>
            <w:r>
              <w:rPr>
                <w:rFonts w:hint="default" w:ascii="Times New Roman" w:hAnsi="Times New Roman" w:eastAsia="宋体" w:cs="Times New Roman"/>
                <w:b/>
                <w:bCs/>
                <w:color w:val="000000" w:themeColor="text1"/>
                <w:sz w:val="24"/>
                <w:highlight w:val="none"/>
                <w:lang w:val="en-US" w:eastAsia="zh-CN"/>
              </w:rPr>
              <w:t>第4部分：塑料制品业》</w:t>
            </w:r>
            <w:r>
              <w:rPr>
                <w:rFonts w:hint="default" w:ascii="Times New Roman" w:hAnsi="Times New Roman" w:eastAsia="宋体" w:cs="Times New Roman"/>
                <w:b/>
                <w:bCs/>
                <w:color w:val="000000" w:themeColor="text1"/>
                <w:sz w:val="24"/>
                <w:highlight w:val="none"/>
                <w:lang w:val="zh-CN" w:eastAsia="zh-CN"/>
              </w:rPr>
              <w:t>（</w:t>
            </w:r>
            <w:r>
              <w:rPr>
                <w:rFonts w:hint="default" w:ascii="Times New Roman" w:hAnsi="Times New Roman" w:eastAsia="宋体" w:cs="Times New Roman"/>
                <w:b/>
                <w:bCs/>
                <w:color w:val="000000" w:themeColor="text1"/>
                <w:sz w:val="24"/>
                <w:highlight w:val="none"/>
                <w:lang w:val="en-US" w:eastAsia="zh-CN"/>
              </w:rPr>
              <w:t>DB36/1101.4</w:t>
            </w:r>
          </w:p>
          <w:p w14:paraId="0F4A16A7">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Times New Roman" w:hAnsi="Times New Roman" w:eastAsia="宋体" w:cs="Times New Roman"/>
                <w:b/>
                <w:bCs/>
                <w:color w:val="000000" w:themeColor="text1"/>
                <w:sz w:val="24"/>
                <w:highlight w:val="none"/>
                <w:lang w:val="en-US" w:eastAsia="zh-CN"/>
              </w:rPr>
            </w:pPr>
            <w:r>
              <w:rPr>
                <w:rFonts w:hint="default" w:ascii="Times New Roman" w:hAnsi="Times New Roman" w:eastAsia="宋体" w:cs="Times New Roman"/>
                <w:b/>
                <w:bCs/>
                <w:color w:val="000000" w:themeColor="text1"/>
                <w:sz w:val="24"/>
                <w:highlight w:val="none"/>
                <w:lang w:val="en-US" w:eastAsia="zh-CN"/>
              </w:rPr>
              <w:t>-2019</w:t>
            </w:r>
            <w:r>
              <w:rPr>
                <w:rFonts w:hint="default" w:ascii="Times New Roman" w:hAnsi="Times New Roman" w:eastAsia="宋体" w:cs="Times New Roman"/>
                <w:b/>
                <w:bCs/>
                <w:color w:val="000000" w:themeColor="text1"/>
                <w:sz w:val="24"/>
                <w:highlight w:val="none"/>
                <w:lang w:val="zh-CN" w:eastAsia="zh-CN"/>
              </w:rPr>
              <w:t>）</w:t>
            </w:r>
            <w:r>
              <w:rPr>
                <w:rFonts w:hint="default" w:ascii="Times New Roman" w:hAnsi="Times New Roman" w:eastAsia="宋体" w:cs="Times New Roman"/>
                <w:b/>
                <w:bCs/>
                <w:color w:val="000000" w:themeColor="text1"/>
                <w:sz w:val="24"/>
                <w:highlight w:val="none"/>
                <w:lang w:val="en-US" w:eastAsia="zh-CN"/>
              </w:rPr>
              <w:t>相符性分析</w:t>
            </w:r>
          </w:p>
          <w:p w14:paraId="22D4B23E">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 xml:space="preserve">表1-16 </w:t>
            </w:r>
            <w:r>
              <w:rPr>
                <w:rFonts w:hint="eastAsia" w:cs="Times New Roman"/>
                <w:color w:val="000000" w:themeColor="text1"/>
                <w:sz w:val="21"/>
                <w:szCs w:val="21"/>
                <w:highlight w:val="none"/>
                <w:lang w:val="en-US" w:eastAsia="zh-CN"/>
              </w:rPr>
              <w:t xml:space="preserve"> </w:t>
            </w:r>
            <w:r>
              <w:rPr>
                <w:rFonts w:hint="eastAsia" w:ascii="Times New Roman" w:hAnsi="Times New Roman" w:eastAsia="宋体" w:cs="Times New Roman"/>
                <w:color w:val="000000" w:themeColor="text1"/>
                <w:sz w:val="21"/>
                <w:szCs w:val="21"/>
                <w:highlight w:val="none"/>
                <w:lang w:val="en-US" w:eastAsia="zh-CN"/>
              </w:rPr>
              <w:t>项目与</w:t>
            </w:r>
            <w:r>
              <w:rPr>
                <w:rFonts w:hint="default" w:ascii="Times New Roman" w:hAnsi="Times New Roman" w:eastAsia="宋体" w:cs="Times New Roman"/>
                <w:color w:val="000000" w:themeColor="text1"/>
                <w:sz w:val="21"/>
                <w:szCs w:val="21"/>
                <w:highlight w:val="none"/>
                <w:lang w:val="zh-CN" w:eastAsia="zh-CN"/>
              </w:rPr>
              <w:t>（</w:t>
            </w:r>
            <w:r>
              <w:rPr>
                <w:rFonts w:hint="default" w:ascii="Times New Roman" w:hAnsi="Times New Roman" w:eastAsia="宋体" w:cs="Times New Roman"/>
                <w:color w:val="000000" w:themeColor="text1"/>
                <w:sz w:val="21"/>
                <w:szCs w:val="21"/>
                <w:highlight w:val="none"/>
                <w:lang w:val="en-US" w:eastAsia="zh-CN"/>
              </w:rPr>
              <w:t>DB36/1101.4</w:t>
            </w:r>
            <w:r>
              <w:rPr>
                <w:rFonts w:hint="default" w:ascii="Times New Roman" w:hAnsi="Times New Roman" w:eastAsia="宋体" w:cs="Times New Roman"/>
                <w:b/>
                <w:bCs/>
                <w:color w:val="000000" w:themeColor="text1"/>
                <w:sz w:val="24"/>
                <w:highlight w:val="none"/>
                <w:lang w:val="en-US" w:eastAsia="zh-CN"/>
              </w:rPr>
              <w:t>-2019</w:t>
            </w:r>
            <w:r>
              <w:rPr>
                <w:rFonts w:hint="default" w:ascii="Times New Roman" w:hAnsi="Times New Roman" w:eastAsia="宋体" w:cs="Times New Roman"/>
                <w:b/>
                <w:bCs/>
                <w:color w:val="000000" w:themeColor="text1"/>
                <w:sz w:val="24"/>
                <w:highlight w:val="none"/>
                <w:lang w:val="zh-CN" w:eastAsia="zh-CN"/>
              </w:rPr>
              <w:t>）</w:t>
            </w:r>
            <w:r>
              <w:rPr>
                <w:rFonts w:hint="default" w:ascii="Times New Roman" w:hAnsi="Times New Roman" w:eastAsia="宋体" w:cs="Times New Roman"/>
                <w:color w:val="000000" w:themeColor="text1"/>
                <w:sz w:val="21"/>
                <w:szCs w:val="21"/>
                <w:highlight w:val="none"/>
                <w:lang w:val="en-US" w:eastAsia="zh-CN"/>
              </w:rPr>
              <w:t>相符性分析</w:t>
            </w:r>
          </w:p>
          <w:tbl>
            <w:tblPr>
              <w:tblStyle w:val="131"/>
              <w:tblW w:w="8176"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615"/>
              <w:gridCol w:w="4450"/>
              <w:gridCol w:w="2468"/>
              <w:gridCol w:w="643"/>
            </w:tblGrid>
            <w:tr w14:paraId="6DF83A1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PrEx>
              <w:trPr>
                <w:trHeight w:val="554" w:hRule="atLeast"/>
                <w:jc w:val="center"/>
              </w:trPr>
              <w:tc>
                <w:tcPr>
                  <w:tcW w:w="5065" w:type="dxa"/>
                  <w:gridSpan w:val="2"/>
                  <w:tcBorders>
                    <w:tl2br w:val="nil"/>
                    <w:tr2bl w:val="nil"/>
                  </w:tcBorders>
                  <w:noWrap w:val="0"/>
                  <w:vAlign w:val="center"/>
                </w:tcPr>
                <w:p w14:paraId="31CCA32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相关要求</w:t>
                  </w:r>
                </w:p>
              </w:tc>
              <w:tc>
                <w:tcPr>
                  <w:tcW w:w="2468" w:type="dxa"/>
                  <w:tcBorders>
                    <w:tl2br w:val="nil"/>
                    <w:tr2bl w:val="nil"/>
                  </w:tcBorders>
                  <w:noWrap w:val="0"/>
                  <w:vAlign w:val="center"/>
                </w:tcPr>
                <w:p w14:paraId="166AA76B">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符合性分析</w:t>
                  </w:r>
                </w:p>
              </w:tc>
              <w:tc>
                <w:tcPr>
                  <w:tcW w:w="643" w:type="dxa"/>
                  <w:tcBorders>
                    <w:tl2br w:val="nil"/>
                    <w:tr2bl w:val="nil"/>
                  </w:tcBorders>
                  <w:noWrap w:val="0"/>
                  <w:vAlign w:val="center"/>
                </w:tcPr>
                <w:p w14:paraId="5B3D38C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相符</w:t>
                  </w:r>
                </w:p>
                <w:p w14:paraId="4536C4D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性</w:t>
                  </w:r>
                </w:p>
              </w:tc>
            </w:tr>
            <w:tr w14:paraId="01CDD70C">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635" w:hRule="atLeast"/>
                <w:jc w:val="center"/>
              </w:trPr>
              <w:tc>
                <w:tcPr>
                  <w:tcW w:w="615" w:type="dxa"/>
                  <w:tcBorders>
                    <w:tl2br w:val="nil"/>
                    <w:tr2bl w:val="nil"/>
                  </w:tcBorders>
                  <w:noWrap w:val="0"/>
                  <w:vAlign w:val="center"/>
                </w:tcPr>
                <w:p w14:paraId="16B7167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eastAsia="zh-CN"/>
                    </w:rPr>
                  </w:pPr>
                  <w:r>
                    <w:rPr>
                      <w:rFonts w:hint="eastAsia" w:ascii="Times New Roman" w:hAnsi="Times New Roman" w:eastAsia="宋体" w:cs="Times New Roman"/>
                      <w:b w:val="0"/>
                      <w:bCs/>
                      <w:color w:val="000000" w:themeColor="text1"/>
                      <w:lang w:val="en-US" w:eastAsia="zh-CN"/>
                    </w:rPr>
                    <w:t>生产工艺</w:t>
                  </w:r>
                </w:p>
              </w:tc>
              <w:tc>
                <w:tcPr>
                  <w:tcW w:w="4450" w:type="dxa"/>
                  <w:tcBorders>
                    <w:tl2br w:val="nil"/>
                    <w:tr2bl w:val="nil"/>
                  </w:tcBorders>
                  <w:noWrap w:val="0"/>
                  <w:vAlign w:val="center"/>
                </w:tcPr>
                <w:p w14:paraId="2BF74991">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default" w:ascii="Times New Roman" w:hAnsi="Times New Roman" w:eastAsia="宋体" w:cs="Times New Roman"/>
                      <w:b w:val="0"/>
                      <w:bCs/>
                      <w:color w:val="000000" w:themeColor="text1"/>
                      <w:lang w:val="en-US" w:eastAsia="zh-CN"/>
                    </w:rPr>
                    <w:t xml:space="preserve">5.2.1 </w:t>
                  </w:r>
                  <w:r>
                    <w:rPr>
                      <w:rFonts w:hint="eastAsia" w:ascii="Times New Roman" w:hAnsi="Times New Roman" w:eastAsia="宋体" w:cs="Times New Roman"/>
                      <w:b w:val="0"/>
                      <w:bCs/>
                      <w:color w:val="000000" w:themeColor="text1"/>
                      <w:lang w:val="en-US" w:eastAsia="zh-CN"/>
                    </w:rPr>
                    <w:t xml:space="preserve">增塑剂等含有 VOCs 组分的物料应密闭储存；涉及大宗有机物料使用的应采用储罐存储，并优先考虑管道输送。 </w:t>
                  </w:r>
                </w:p>
                <w:p w14:paraId="5754581E">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5.2.2 塑料加工工艺应当遵循先进、稳定、无二次污染的原则，优先选用自动化程度高、密闭性强、 </w:t>
                  </w:r>
                </w:p>
                <w:p w14:paraId="4875CD77">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废气产生量少的生产工艺和装备，鼓励企业选用密闭自动配套装置和生产线。 </w:t>
                  </w:r>
                </w:p>
                <w:p w14:paraId="0555E1C5">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5.2.3 鼓励企业通过各种添加剂的调节和装备的提升，降低各工序操作温度，降低生产过程VOCs 的产生。 </w:t>
                  </w:r>
                </w:p>
                <w:p w14:paraId="7226DF0C">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5.2.4 为防止热熔过程发生分解，在热熔过程中应对加热温度进行监控，防止加热温度过高。此外， </w:t>
                  </w:r>
                </w:p>
                <w:p w14:paraId="6F4FF1B3">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为控制含氯塑料热熔过程释放含氯气体，其加热过程应低于185℃。</w:t>
                  </w:r>
                </w:p>
              </w:tc>
              <w:tc>
                <w:tcPr>
                  <w:tcW w:w="2468" w:type="dxa"/>
                  <w:tcBorders>
                    <w:tl2br w:val="nil"/>
                    <w:tr2bl w:val="nil"/>
                  </w:tcBorders>
                  <w:noWrap w:val="0"/>
                  <w:vAlign w:val="center"/>
                </w:tcPr>
                <w:p w14:paraId="74CAB89D">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1.项目不涉及含有 VOCs 组分的物料；</w:t>
                  </w:r>
                </w:p>
                <w:p w14:paraId="2E768A6E">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2.项目选用选用自动化程度高、密闭性强、废气产生量少的生产工艺和装备，企业选用密闭自动配套装置和生产线；</w:t>
                  </w:r>
                </w:p>
                <w:p w14:paraId="1CD01961">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3.本项目不使用聚氯乙烯，使用聚乙烯，废气中不含氯，且加热温度我最高为180℃。</w:t>
                  </w:r>
                </w:p>
              </w:tc>
              <w:tc>
                <w:tcPr>
                  <w:tcW w:w="643" w:type="dxa"/>
                  <w:tcBorders>
                    <w:tl2br w:val="nil"/>
                    <w:tr2bl w:val="nil"/>
                  </w:tcBorders>
                  <w:noWrap w:val="0"/>
                  <w:vAlign w:val="center"/>
                </w:tcPr>
                <w:p w14:paraId="43BC0D9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797428B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1525B90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r w14:paraId="23B3DDE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821" w:hRule="atLeast"/>
                <w:jc w:val="center"/>
              </w:trPr>
              <w:tc>
                <w:tcPr>
                  <w:tcW w:w="615" w:type="dxa"/>
                  <w:tcBorders>
                    <w:tl2br w:val="nil"/>
                    <w:tr2bl w:val="nil"/>
                  </w:tcBorders>
                  <w:noWrap w:val="0"/>
                  <w:vAlign w:val="center"/>
                </w:tcPr>
                <w:p w14:paraId="7E961CB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p w14:paraId="29598AA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废气收集</w:t>
                  </w:r>
                </w:p>
              </w:tc>
              <w:tc>
                <w:tcPr>
                  <w:tcW w:w="4450" w:type="dxa"/>
                  <w:tcBorders>
                    <w:tl2br w:val="nil"/>
                    <w:tr2bl w:val="nil"/>
                  </w:tcBorders>
                  <w:noWrap w:val="0"/>
                  <w:vAlign w:val="center"/>
                </w:tcPr>
                <w:p w14:paraId="4C743D4B">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5.3.1挤压、注射、压制、压延、发泡等工艺温度高、易产生恶臭废气的工序必须设置相应的废气收集系统。 </w:t>
                  </w:r>
                </w:p>
                <w:p w14:paraId="598D230D">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 xml:space="preserve">5.3.2 废气收集系统设计应符合 GB 50019 中规定，排风罩的设置应符合 GB/T 16758 中要求。5.3.3当废气产生点较多、彼此距离较远时，在满足风管相关设计规范、风压平衡的基础上，应适当分设多套收集系统或中继风机。 </w:t>
                  </w:r>
                </w:p>
                <w:p w14:paraId="448102B5">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color w:val="000000" w:themeColor="text1"/>
                    </w:rPr>
                  </w:pPr>
                  <w:r>
                    <w:rPr>
                      <w:rFonts w:hint="eastAsia" w:ascii="Times New Roman" w:hAnsi="Times New Roman" w:eastAsia="宋体" w:cs="Times New Roman"/>
                      <w:b w:val="0"/>
                      <w:bCs/>
                      <w:color w:val="000000" w:themeColor="text1"/>
                      <w:lang w:val="en-US" w:eastAsia="zh-CN"/>
                    </w:rPr>
                    <w:t>5.3.4 废气收集和输送应满足 HJ 2000 要求，管路应有明显的颜色区分及走向标识。</w:t>
                  </w:r>
                </w:p>
                <w:p w14:paraId="0417907B">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p>
              </w:tc>
              <w:tc>
                <w:tcPr>
                  <w:tcW w:w="2468" w:type="dxa"/>
                  <w:tcBorders>
                    <w:tl2br w:val="nil"/>
                    <w:tr2bl w:val="nil"/>
                  </w:tcBorders>
                  <w:noWrap w:val="0"/>
                  <w:vAlign w:val="center"/>
                </w:tcPr>
                <w:p w14:paraId="3FBF0E4B">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1.</w:t>
                  </w:r>
                  <w:r>
                    <w:rPr>
                      <w:rFonts w:hint="default" w:ascii="Times New Roman" w:hAnsi="Times New Roman" w:eastAsia="宋体" w:cs="Times New Roman"/>
                      <w:b w:val="0"/>
                      <w:bCs/>
                      <w:color w:val="000000" w:themeColor="text1"/>
                      <w:lang w:val="en-US" w:eastAsia="zh-CN"/>
                    </w:rPr>
                    <w:t>项目</w:t>
                  </w:r>
                  <w:r>
                    <w:rPr>
                      <w:rFonts w:hint="eastAsia" w:ascii="Times New Roman" w:hAnsi="Times New Roman" w:eastAsia="宋体" w:cs="Times New Roman"/>
                      <w:b w:val="0"/>
                      <w:bCs/>
                      <w:color w:val="000000" w:themeColor="text1"/>
                      <w:lang w:val="en-US" w:eastAsia="zh-CN"/>
                    </w:rPr>
                    <w:t>产生恶臭废气的工序为挤压，投产后必将设置废气收集系统，且项目全程均设置废气收集系统；</w:t>
                  </w:r>
                </w:p>
                <w:p w14:paraId="01F4DAB7">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2.分项目废气收集系统、集气罩设计均满足最相关要求；</w:t>
                  </w:r>
                </w:p>
                <w:p w14:paraId="4239AB00">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3.本项目废气产生节点主要为挤出，且距离较近，一套收集系统满足生产；</w:t>
                  </w:r>
                </w:p>
                <w:p w14:paraId="5ED734FC">
                  <w:pPr>
                    <w:pStyle w:val="89"/>
                    <w:keepNext w:val="0"/>
                    <w:keepLines w:val="0"/>
                    <w:pageBreakBefore w:val="0"/>
                    <w:widowControl/>
                    <w:numPr>
                      <w:ilvl w:val="0"/>
                      <w:numId w:val="0"/>
                    </w:numPr>
                    <w:kinsoku/>
                    <w:wordWrap/>
                    <w:overflowPunct w:val="0"/>
                    <w:topLinePunct w:val="0"/>
                    <w:autoSpaceDE/>
                    <w:autoSpaceDN/>
                    <w:bidi w:val="0"/>
                    <w:adjustRightInd w:val="0"/>
                    <w:snapToGrid w:val="0"/>
                    <w:spacing w:line="240" w:lineRule="auto"/>
                    <w:jc w:val="left"/>
                    <w:textAlignment w:val="baseline"/>
                    <w:rPr>
                      <w:rFonts w:hint="default"/>
                      <w:color w:val="000000" w:themeColor="text1"/>
                      <w:lang w:val="en-US"/>
                    </w:rPr>
                  </w:pPr>
                  <w:r>
                    <w:rPr>
                      <w:rFonts w:hint="eastAsia" w:ascii="Times New Roman" w:hAnsi="Times New Roman" w:eastAsia="宋体" w:cs="Times New Roman"/>
                      <w:b w:val="0"/>
                      <w:bCs/>
                      <w:color w:val="000000" w:themeColor="text1"/>
                      <w:lang w:val="en-US" w:eastAsia="zh-CN"/>
                    </w:rPr>
                    <w:t>4.废气收集和输送应满足HJ 2000要求，投产后管路将设置明显的颜色区分及走向标识</w:t>
                  </w:r>
                </w:p>
              </w:tc>
              <w:tc>
                <w:tcPr>
                  <w:tcW w:w="643" w:type="dxa"/>
                  <w:tcBorders>
                    <w:tl2br w:val="nil"/>
                    <w:tr2bl w:val="nil"/>
                  </w:tcBorders>
                  <w:noWrap w:val="0"/>
                  <w:vAlign w:val="center"/>
                </w:tcPr>
                <w:p w14:paraId="66B1910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rPr>
                  </w:pPr>
                  <w:r>
                    <w:rPr>
                      <w:rFonts w:hint="default" w:ascii="Times New Roman" w:hAnsi="Times New Roman" w:eastAsia="宋体" w:cs="Times New Roman"/>
                      <w:b w:val="0"/>
                      <w:bCs/>
                      <w:color w:val="000000" w:themeColor="text1"/>
                    </w:rPr>
                    <w:t>符合</w:t>
                  </w:r>
                </w:p>
              </w:tc>
            </w:tr>
          </w:tbl>
          <w:p w14:paraId="4F94B697">
            <w:pPr>
              <w:adjustRightInd w:val="0"/>
              <w:snapToGrid w:val="0"/>
              <w:spacing w:line="360" w:lineRule="auto"/>
              <w:ind w:firstLine="480" w:firstLineChars="20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项目符合《挥发性有机物排放标准第 4 部分：塑料制品业》</w:t>
            </w:r>
            <w:r>
              <w:rPr>
                <w:rFonts w:hint="default" w:ascii="Times New Roman" w:hAnsi="Times New Roman" w:eastAsia="宋体" w:cs="Times New Roman"/>
                <w:color w:val="000000" w:themeColor="text1"/>
                <w:sz w:val="24"/>
                <w:highlight w:val="none"/>
                <w:lang w:val="zh-CN" w:eastAsia="zh-CN"/>
              </w:rPr>
              <w:t>（</w:t>
            </w:r>
            <w:r>
              <w:rPr>
                <w:rFonts w:hint="default" w:ascii="Times New Roman" w:hAnsi="Times New Roman" w:eastAsia="宋体" w:cs="Times New Roman"/>
                <w:color w:val="000000" w:themeColor="text1"/>
                <w:sz w:val="24"/>
                <w:highlight w:val="none"/>
                <w:lang w:val="en-US" w:eastAsia="zh-CN"/>
              </w:rPr>
              <w:t>DB36/1101.4</w:t>
            </w:r>
          </w:p>
          <w:p w14:paraId="75D41D29">
            <w:pPr>
              <w:adjustRightInd w:val="0"/>
              <w:snapToGrid w:val="0"/>
              <w:spacing w:line="360" w:lineRule="auto"/>
              <w:ind w:left="0" w:leftChars="0" w:firstLine="0" w:firstLineChars="0"/>
              <w:rPr>
                <w:rFonts w:hint="default" w:ascii="Times New Roman" w:hAnsi="Times New Roman" w:eastAsia="宋体" w:cs="Times New Roman"/>
                <w:color w:val="000000" w:themeColor="text1"/>
                <w:sz w:val="24"/>
                <w:highlight w:val="none"/>
                <w:lang w:val="en-US" w:eastAsia="zh-CN"/>
              </w:rPr>
            </w:pPr>
            <w:r>
              <w:rPr>
                <w:rFonts w:hint="default" w:ascii="Times New Roman" w:hAnsi="Times New Roman" w:eastAsia="宋体" w:cs="Times New Roman"/>
                <w:color w:val="000000" w:themeColor="text1"/>
                <w:sz w:val="24"/>
                <w:highlight w:val="none"/>
                <w:lang w:val="en-US" w:eastAsia="zh-CN"/>
              </w:rPr>
              <w:t>-2019</w:t>
            </w:r>
            <w:r>
              <w:rPr>
                <w:rFonts w:hint="default" w:ascii="Times New Roman" w:hAnsi="Times New Roman" w:eastAsia="宋体" w:cs="Times New Roman"/>
                <w:color w:val="000000" w:themeColor="text1"/>
                <w:sz w:val="24"/>
                <w:highlight w:val="none"/>
                <w:lang w:val="zh-CN" w:eastAsia="zh-CN"/>
              </w:rPr>
              <w:t>）</w:t>
            </w:r>
            <w:r>
              <w:rPr>
                <w:rFonts w:hint="default" w:ascii="Times New Roman" w:hAnsi="Times New Roman" w:eastAsia="宋体" w:cs="Times New Roman"/>
                <w:color w:val="000000" w:themeColor="text1"/>
                <w:sz w:val="24"/>
                <w:highlight w:val="none"/>
                <w:lang w:val="en-US" w:eastAsia="zh-CN"/>
              </w:rPr>
              <w:t>的相关要求。</w:t>
            </w:r>
          </w:p>
          <w:p w14:paraId="27B7BE2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15、项目与《固体废物再生利用污染防治技术导则》（HJ1091-2020）相符性分析</w:t>
            </w:r>
          </w:p>
          <w:p w14:paraId="3D66ACD9">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表1-17 与《固体废物再生利用污染防治技术导则》（HJ1091-2020）符合性分析</w:t>
            </w:r>
          </w:p>
          <w:tbl>
            <w:tblPr>
              <w:tblStyle w:val="3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5"/>
              <w:gridCol w:w="3407"/>
              <w:gridCol w:w="707"/>
            </w:tblGrid>
            <w:tr w14:paraId="71D42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3E0B1783">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导则内容</w:t>
                  </w:r>
                </w:p>
              </w:tc>
              <w:tc>
                <w:tcPr>
                  <w:tcW w:w="2119" w:type="pct"/>
                  <w:noWrap w:val="0"/>
                  <w:vAlign w:val="center"/>
                </w:tcPr>
                <w:p w14:paraId="4203640E">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实际情况</w:t>
                  </w:r>
                </w:p>
              </w:tc>
              <w:tc>
                <w:tcPr>
                  <w:tcW w:w="439" w:type="pct"/>
                  <w:noWrap w:val="0"/>
                  <w:vAlign w:val="center"/>
                </w:tcPr>
                <w:p w14:paraId="435E030A">
                  <w:pPr>
                    <w:pStyle w:val="150"/>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是否符合</w:t>
                  </w:r>
                </w:p>
              </w:tc>
            </w:tr>
            <w:tr w14:paraId="6635A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3E82EB3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5.1一般规定</w:t>
                  </w:r>
                </w:p>
              </w:tc>
            </w:tr>
            <w:tr w14:paraId="29679E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525B0E5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5.1.1进行再生利用作业前，应明确固体废物的理化特性，并采取相应的安全防护措施，以防止固体废物在清洗、破碎、中和反应等过程中引起有毒有害物质的释放。</w:t>
                  </w:r>
                </w:p>
              </w:tc>
              <w:tc>
                <w:tcPr>
                  <w:tcW w:w="2119" w:type="pct"/>
                  <w:noWrap w:val="0"/>
                  <w:vAlign w:val="center"/>
                </w:tcPr>
                <w:p w14:paraId="3334A5F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本项目原料炭黑为块状和颗粒状物质，来源于</w:t>
                  </w:r>
                  <w:r>
                    <w:rPr>
                      <w:rFonts w:hint="eastAsia" w:ascii="Times New Roman" w:hAnsi="Times New Roman" w:eastAsia="宋体" w:cs="Times New Roman"/>
                      <w:b w:val="0"/>
                      <w:bCs/>
                      <w:color w:val="000000" w:themeColor="text1"/>
                      <w:lang w:val="en-US" w:eastAsia="zh-CN"/>
                    </w:rPr>
                    <w:fldChar w:fldCharType="begin"/>
                  </w:r>
                  <w:r>
                    <w:rPr>
                      <w:rFonts w:hint="eastAsia" w:ascii="Times New Roman" w:hAnsi="Times New Roman" w:eastAsia="宋体" w:cs="Times New Roman"/>
                      <w:b w:val="0"/>
                      <w:bCs/>
                      <w:color w:val="000000" w:themeColor="text1"/>
                      <w:lang w:val="en-US" w:eastAsia="zh-CN"/>
                    </w:rPr>
                    <w:instrText xml:space="preserve"> HYPERLINK "https://jukunchem.ypshop.net/" \o "吉林市吉化北方炬醌工贸有限责任公司" </w:instrText>
                  </w:r>
                  <w:r>
                    <w:rPr>
                      <w:rFonts w:hint="eastAsia" w:ascii="Times New Roman" w:hAnsi="Times New Roman" w:eastAsia="宋体" w:cs="Times New Roman"/>
                      <w:b w:val="0"/>
                      <w:bCs/>
                      <w:color w:val="000000" w:themeColor="text1"/>
                      <w:lang w:val="en-US" w:eastAsia="zh-CN"/>
                    </w:rPr>
                    <w:fldChar w:fldCharType="separate"/>
                  </w:r>
                  <w:r>
                    <w:rPr>
                      <w:rFonts w:hint="eastAsia" w:ascii="Times New Roman" w:hAnsi="Times New Roman" w:eastAsia="宋体" w:cs="Times New Roman"/>
                      <w:b w:val="0"/>
                      <w:bCs/>
                      <w:color w:val="000000" w:themeColor="text1"/>
                      <w:lang w:val="en-US" w:eastAsia="zh-CN"/>
                    </w:rPr>
                    <w:t>福建炼油化工有限公司</w:t>
                  </w:r>
                  <w:r>
                    <w:rPr>
                      <w:rFonts w:hint="eastAsia" w:ascii="Times New Roman" w:hAnsi="Times New Roman" w:eastAsia="宋体" w:cs="Times New Roman"/>
                      <w:b w:val="0"/>
                      <w:bCs/>
                      <w:color w:val="000000" w:themeColor="text1"/>
                      <w:lang w:val="en-US" w:eastAsia="zh-CN"/>
                    </w:rPr>
                    <w:fldChar w:fldCharType="end"/>
                  </w:r>
                  <w:r>
                    <w:rPr>
                      <w:rFonts w:hint="eastAsia" w:ascii="Times New Roman" w:hAnsi="Times New Roman" w:eastAsia="宋体" w:cs="Times New Roman"/>
                      <w:b w:val="0"/>
                      <w:bCs/>
                      <w:color w:val="000000" w:themeColor="text1"/>
                      <w:lang w:val="en-US" w:eastAsia="zh-CN"/>
                    </w:rPr>
                    <w:t>，为一般工业固体废物。建设单位已提供检测报告，明确固体废物的理化特性。本项目固体废物不清洗且无清洗、破碎、中和反应等工艺处理过程。</w:t>
                  </w:r>
                </w:p>
              </w:tc>
              <w:tc>
                <w:tcPr>
                  <w:tcW w:w="439" w:type="pct"/>
                  <w:noWrap w:val="0"/>
                  <w:vAlign w:val="center"/>
                </w:tcPr>
                <w:p w14:paraId="440C0FE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75EE0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1B73D81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5.1.2具有物理化学危险特性的固体废物，应首先进行稳定化处理。</w:t>
                  </w:r>
                </w:p>
              </w:tc>
              <w:tc>
                <w:tcPr>
                  <w:tcW w:w="2119" w:type="pct"/>
                  <w:noWrap w:val="0"/>
                  <w:vAlign w:val="center"/>
                </w:tcPr>
                <w:p w14:paraId="04E0514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本项目原料为炭黑，不具有物理化学危险特性。</w:t>
                  </w:r>
                </w:p>
              </w:tc>
              <w:tc>
                <w:tcPr>
                  <w:tcW w:w="439" w:type="pct"/>
                  <w:noWrap w:val="0"/>
                  <w:vAlign w:val="center"/>
                </w:tcPr>
                <w:p w14:paraId="2F04B89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w:t>
                  </w:r>
                </w:p>
              </w:tc>
            </w:tr>
            <w:tr w14:paraId="07907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509F091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5.1.3应根据固体废物的特性设置必要的防扬撒、防渗漏、防腐蚀设施，配备废气处理、废水处理、噪声控制等污染防治设施，按要求对主要环境影响指标进行在线监测。</w:t>
                  </w:r>
                </w:p>
              </w:tc>
              <w:tc>
                <w:tcPr>
                  <w:tcW w:w="2119" w:type="pct"/>
                  <w:noWrap w:val="0"/>
                  <w:vAlign w:val="center"/>
                </w:tcPr>
                <w:p w14:paraId="1539CEA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本项目已配备废气处理、废水处理、噪声控制等污染防治设施。</w:t>
                  </w:r>
                </w:p>
              </w:tc>
              <w:tc>
                <w:tcPr>
                  <w:tcW w:w="439" w:type="pct"/>
                  <w:noWrap w:val="0"/>
                  <w:vAlign w:val="center"/>
                </w:tcPr>
                <w:p w14:paraId="4FEFD82B">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4B7728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008E81A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5.1.4产生粉尘和有毒有害气体的作业区应采取除尘和有毒有害气体收集措施。扬尘点应设置吸尘罩和收尘设备，有毒有害气体逸散区应设置吸附（吸收）转化装置，保证作业区粉尘、有害气体浓度满足GBZ2.1的要求。</w:t>
                  </w:r>
                </w:p>
              </w:tc>
              <w:tc>
                <w:tcPr>
                  <w:tcW w:w="2119" w:type="pct"/>
                  <w:noWrap w:val="0"/>
                  <w:vAlign w:val="center"/>
                </w:tcPr>
                <w:p w14:paraId="3B5D434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已于产生粉尘的作业区配套收集及处理设施。</w:t>
                  </w:r>
                </w:p>
              </w:tc>
              <w:tc>
                <w:tcPr>
                  <w:tcW w:w="439" w:type="pct"/>
                  <w:noWrap w:val="0"/>
                  <w:vAlign w:val="center"/>
                </w:tcPr>
                <w:p w14:paraId="37BDF6C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33F200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611E5F0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5.1.5应采取大气污染控制措施,大气污染物排放应满足特定行业排放（控制）标准的要求。没有特定行业污染排放（控制）标准的，应满足GB16297的要求，特征污染物排放（控制）应满足环境影响评价要求。</w:t>
                  </w:r>
                </w:p>
              </w:tc>
              <w:tc>
                <w:tcPr>
                  <w:tcW w:w="2119" w:type="pct"/>
                  <w:noWrap w:val="0"/>
                  <w:vAlign w:val="center"/>
                </w:tcPr>
                <w:p w14:paraId="4D86676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已于产生粉尘的作业区配套收集及处理设施，粉尘排放符合《大气污染物综合排放标准》（DB31/933-2015）表1标准</w:t>
                  </w:r>
                </w:p>
              </w:tc>
              <w:tc>
                <w:tcPr>
                  <w:tcW w:w="439" w:type="pct"/>
                  <w:noWrap w:val="0"/>
                  <w:vAlign w:val="center"/>
                </w:tcPr>
                <w:p w14:paraId="54A1261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7F2E7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7241D9F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5.1.6应采取必要的措施防止恶臭物质扩散，周界恶臭污染物浓度应符合GB 14554的要求。</w:t>
                  </w:r>
                </w:p>
              </w:tc>
              <w:tc>
                <w:tcPr>
                  <w:tcW w:w="2119" w:type="pct"/>
                  <w:noWrap w:val="0"/>
                  <w:vAlign w:val="center"/>
                </w:tcPr>
                <w:p w14:paraId="15061C6B">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本项目运营过程废气经收集后采用一级冷凝+二级活性炭吸附处理后排放，周界恶臭污染物浓度能满足GB 14554的要求。</w:t>
                  </w:r>
                </w:p>
              </w:tc>
              <w:tc>
                <w:tcPr>
                  <w:tcW w:w="439" w:type="pct"/>
                  <w:noWrap w:val="0"/>
                  <w:vAlign w:val="center"/>
                </w:tcPr>
                <w:p w14:paraId="406711B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41F79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66F6DC8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5.1.7 产生的冷凝液、浓缩液、渗滤液等废液应进行有效收集后集中处理。</w:t>
                  </w:r>
                </w:p>
              </w:tc>
              <w:tc>
                <w:tcPr>
                  <w:tcW w:w="2119" w:type="pct"/>
                  <w:noWrap w:val="0"/>
                  <w:vAlign w:val="center"/>
                </w:tcPr>
                <w:p w14:paraId="27D0B19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本项目运营过程不产生浓缩液、渗滤液等废液，废气处理冷凝液交由有危废处理资质的单位处理。</w:t>
                  </w:r>
                </w:p>
              </w:tc>
              <w:tc>
                <w:tcPr>
                  <w:tcW w:w="439" w:type="pct"/>
                  <w:noWrap w:val="0"/>
                  <w:vAlign w:val="center"/>
                </w:tcPr>
                <w:p w14:paraId="78779E60">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32880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51B2DC4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5.1.8应防止噪声污染。设备运转时厂界噪声应符合GB12348的要求，作业车间噪声应符合GBZ 2.2的要求。</w:t>
                  </w:r>
                </w:p>
              </w:tc>
              <w:tc>
                <w:tcPr>
                  <w:tcW w:w="2119" w:type="pct"/>
                  <w:noWrap w:val="0"/>
                  <w:vAlign w:val="center"/>
                </w:tcPr>
                <w:p w14:paraId="709EE10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本项目已采取噪声防治措施，厂界噪声符合GB12348表1中3类标准限值的要求</w:t>
                  </w:r>
                </w:p>
              </w:tc>
              <w:tc>
                <w:tcPr>
                  <w:tcW w:w="439" w:type="pct"/>
                  <w:noWrap w:val="0"/>
                  <w:vAlign w:val="center"/>
                </w:tcPr>
                <w:p w14:paraId="6693EE5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0FF1E4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24EEC23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5.1.9产生的污泥、底渣、废油类等固体废物应按照其管理属性分别处置。不能自行综合利用或处置的，应交给有相应资质和处理能力的企业进行综合利用或处置。</w:t>
                  </w:r>
                </w:p>
              </w:tc>
              <w:tc>
                <w:tcPr>
                  <w:tcW w:w="2119" w:type="pct"/>
                  <w:noWrap w:val="0"/>
                  <w:vAlign w:val="center"/>
                </w:tcPr>
                <w:p w14:paraId="1439055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default"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本项目运营期产生的一般工业固废为废布袋、废包装袋、布袋收集粉尘等，布袋收集粉尘收集后返回生产，废布袋、废包装袋均外售综合利用</w:t>
                  </w:r>
                </w:p>
              </w:tc>
              <w:tc>
                <w:tcPr>
                  <w:tcW w:w="439" w:type="pct"/>
                  <w:noWrap w:val="0"/>
                  <w:vAlign w:val="center"/>
                </w:tcPr>
                <w:p w14:paraId="045240C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50809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64C4033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5.1.10危险废物的贮存、包装、处置等应符合GB 18597、HJ 2042等危险废物专用标准的要求。</w:t>
                  </w:r>
                </w:p>
              </w:tc>
              <w:tc>
                <w:tcPr>
                  <w:tcW w:w="2119" w:type="pct"/>
                  <w:noWrap w:val="0"/>
                  <w:vAlign w:val="center"/>
                </w:tcPr>
                <w:p w14:paraId="10A3503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本项目运营期产生的危险废物为</w:t>
                  </w:r>
                  <w:r>
                    <w:rPr>
                      <w:rFonts w:hint="default" w:ascii="Times New Roman" w:hAnsi="Times New Roman" w:eastAsia="宋体" w:cs="Times New Roman"/>
                      <w:b w:val="0"/>
                      <w:bCs/>
                      <w:color w:val="000000" w:themeColor="text1"/>
                      <w:lang w:val="en-US" w:eastAsia="zh-CN"/>
                    </w:rPr>
                    <w:t>废</w:t>
                  </w:r>
                  <w:r>
                    <w:rPr>
                      <w:rFonts w:hint="eastAsia" w:ascii="Times New Roman" w:hAnsi="Times New Roman" w:eastAsia="宋体" w:cs="Times New Roman"/>
                      <w:b w:val="0"/>
                      <w:bCs/>
                      <w:color w:val="000000" w:themeColor="text1"/>
                      <w:lang w:val="en-US" w:eastAsia="zh-CN"/>
                    </w:rPr>
                    <w:t>润滑油、废润滑油桶、废冷凝液、废活性炭，暂存于新危废暂存间，交由有危废处理资质的单位处理</w:t>
                  </w:r>
                </w:p>
              </w:tc>
              <w:tc>
                <w:tcPr>
                  <w:tcW w:w="439" w:type="pct"/>
                  <w:noWrap w:val="0"/>
                  <w:vAlign w:val="center"/>
                </w:tcPr>
                <w:p w14:paraId="65F5AD82">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1F8F7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6E9CB3E2">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5.4破碎技术要求</w:t>
                  </w:r>
                </w:p>
              </w:tc>
            </w:tr>
            <w:tr w14:paraId="54F08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65E01DE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5.4.3易燃易爆或易释放挥发性毒性物质的固体废物,不应直接进行破碎处理。</w:t>
                  </w:r>
                </w:p>
              </w:tc>
              <w:tc>
                <w:tcPr>
                  <w:tcW w:w="2119" w:type="pct"/>
                  <w:noWrap w:val="0"/>
                  <w:vAlign w:val="center"/>
                </w:tcPr>
                <w:p w14:paraId="16AA2D0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本项目原料为炭黑，遇明火易燃，不属于常温下易燃易爆或易释放挥发性毒性物质的固体废物。</w:t>
                  </w:r>
                </w:p>
              </w:tc>
              <w:tc>
                <w:tcPr>
                  <w:tcW w:w="439" w:type="pct"/>
                  <w:noWrap w:val="0"/>
                  <w:vAlign w:val="center"/>
                </w:tcPr>
                <w:p w14:paraId="692557F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40A8FC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389B35AD">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5.4.4废塑料、废橡胶等固体废物的破碎宜采用干法破碎;铬渣、硼泥等固体废物的破碎宜采用湿法破碎。</w:t>
                  </w:r>
                </w:p>
              </w:tc>
              <w:tc>
                <w:tcPr>
                  <w:tcW w:w="2119" w:type="pct"/>
                  <w:noWrap w:val="0"/>
                  <w:vAlign w:val="center"/>
                </w:tcPr>
                <w:p w14:paraId="43C3004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本项目原料为炭黑，无破碎工艺。</w:t>
                  </w:r>
                </w:p>
              </w:tc>
              <w:tc>
                <w:tcPr>
                  <w:tcW w:w="439" w:type="pct"/>
                  <w:noWrap w:val="0"/>
                  <w:vAlign w:val="center"/>
                </w:tcPr>
                <w:p w14:paraId="6882EA5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35B98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563294D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5.4.5固体废物破碎处理前应对其进行预处理，以保证给料的均匀性，防止非破碎物混入,引起破碎机械的过载损坏。</w:t>
                  </w:r>
                </w:p>
              </w:tc>
              <w:tc>
                <w:tcPr>
                  <w:tcW w:w="2119" w:type="pct"/>
                  <w:noWrap w:val="0"/>
                  <w:vAlign w:val="center"/>
                </w:tcPr>
                <w:p w14:paraId="3DE21D8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本项目原料为炭黑，无破碎工艺。</w:t>
                  </w:r>
                </w:p>
              </w:tc>
              <w:tc>
                <w:tcPr>
                  <w:tcW w:w="439" w:type="pct"/>
                  <w:noWrap w:val="0"/>
                  <w:vAlign w:val="center"/>
                </w:tcPr>
                <w:p w14:paraId="292D4E5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0531B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1589EE1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5.4.6固体废物粉磨过程应严格控制粉尘的颗粒度、挥发性和火源等，防止发生粉尘爆炸。</w:t>
                  </w:r>
                </w:p>
              </w:tc>
              <w:tc>
                <w:tcPr>
                  <w:tcW w:w="2119" w:type="pct"/>
                  <w:noWrap w:val="0"/>
                  <w:vAlign w:val="center"/>
                </w:tcPr>
                <w:p w14:paraId="366F6DBF">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已要求建设单位严格执行，严控粉尘、火源等因素。</w:t>
                  </w:r>
                </w:p>
              </w:tc>
              <w:tc>
                <w:tcPr>
                  <w:tcW w:w="439" w:type="pct"/>
                  <w:noWrap w:val="0"/>
                  <w:vAlign w:val="center"/>
                </w:tcPr>
                <w:p w14:paraId="1D46B1E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71418D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39C17FD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5.5分选技术要求</w:t>
                  </w:r>
                </w:p>
              </w:tc>
            </w:tr>
            <w:tr w14:paraId="7058A8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8" w:type="dxa"/>
                  <w:noWrap w:val="0"/>
                  <w:vAlign w:val="center"/>
                </w:tcPr>
                <w:p w14:paraId="0151D00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5.5.4固体废物分选前应对其进行预处理,清除有毒有害成分或物质,将大块固体废物破碎、筛分，以改善废物的分离特性。</w:t>
                  </w:r>
                </w:p>
              </w:tc>
              <w:tc>
                <w:tcPr>
                  <w:tcW w:w="3262" w:type="dxa"/>
                  <w:noWrap w:val="0"/>
                  <w:vAlign w:val="center"/>
                </w:tcPr>
                <w:p w14:paraId="1CFC908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本项目不涉及分选以及分选前预处理。</w:t>
                  </w:r>
                </w:p>
              </w:tc>
              <w:tc>
                <w:tcPr>
                  <w:tcW w:w="677" w:type="dxa"/>
                  <w:noWrap w:val="0"/>
                  <w:vAlign w:val="center"/>
                </w:tcPr>
                <w:p w14:paraId="2B4A890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146FD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8" w:type="dxa"/>
                  <w:noWrap w:val="0"/>
                  <w:vAlign w:val="center"/>
                </w:tcPr>
                <w:p w14:paraId="73573106">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5.5.5对生活垃圾进行分选时，采用的水力分选、磁选和涡流分选设备的效率应大于90%, 其它分选设备的效率不应小于70%。</w:t>
                  </w:r>
                </w:p>
              </w:tc>
              <w:tc>
                <w:tcPr>
                  <w:tcW w:w="3262" w:type="dxa"/>
                  <w:noWrap w:val="0"/>
                  <w:vAlign w:val="center"/>
                </w:tcPr>
                <w:p w14:paraId="1B944BE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本项目不涉及分选以及分选前预处理。</w:t>
                  </w:r>
                </w:p>
              </w:tc>
              <w:tc>
                <w:tcPr>
                  <w:tcW w:w="677" w:type="dxa"/>
                  <w:noWrap w:val="0"/>
                  <w:vAlign w:val="center"/>
                </w:tcPr>
                <w:p w14:paraId="7C6E5037">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4369C4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8" w:type="dxa"/>
                  <w:noWrap w:val="0"/>
                  <w:vAlign w:val="center"/>
                </w:tcPr>
                <w:p w14:paraId="3965C02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5.5.6分选设备应具有防粘、防缠绕、自清洁、耐磨和耐腐蚀的性能。</w:t>
                  </w:r>
                </w:p>
              </w:tc>
              <w:tc>
                <w:tcPr>
                  <w:tcW w:w="3262" w:type="dxa"/>
                  <w:noWrap w:val="0"/>
                  <w:vAlign w:val="center"/>
                </w:tcPr>
                <w:p w14:paraId="4C6E27B5">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建设单位已使用具有防粘、防缠绕、自清洁、耐磨和耐腐蚀性能的设备。</w:t>
                  </w:r>
                </w:p>
              </w:tc>
              <w:tc>
                <w:tcPr>
                  <w:tcW w:w="677" w:type="dxa"/>
                  <w:noWrap w:val="0"/>
                  <w:vAlign w:val="center"/>
                </w:tcPr>
                <w:p w14:paraId="7C8D820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2F8C8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58" w:type="dxa"/>
                  <w:noWrap w:val="0"/>
                  <w:vAlign w:val="center"/>
                </w:tcPr>
                <w:p w14:paraId="683A6719">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5.5.7固体废物的分选设备应加设罩/盖，以保证分选系统封闭。</w:t>
                  </w:r>
                </w:p>
              </w:tc>
              <w:tc>
                <w:tcPr>
                  <w:tcW w:w="3262" w:type="dxa"/>
                  <w:noWrap w:val="0"/>
                  <w:vAlign w:val="center"/>
                </w:tcPr>
                <w:p w14:paraId="7EA65888">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本项目不涉及分选以及分选前预处理。</w:t>
                  </w:r>
                </w:p>
              </w:tc>
              <w:tc>
                <w:tcPr>
                  <w:tcW w:w="677" w:type="dxa"/>
                  <w:noWrap w:val="0"/>
                  <w:vAlign w:val="center"/>
                </w:tcPr>
                <w:p w14:paraId="25C8753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55807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396F37C4">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8监测</w:t>
                  </w:r>
                </w:p>
              </w:tc>
            </w:tr>
            <w:tr w14:paraId="16EEA4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73B24613">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8.1固体废物再生利用企业应定期对固体废物再生利用产品进行采样监测，监测频次应满足以下要求:(2)当首次再生利用除危险废物外的某种固体废物时，针对再生利用产品中的特征污染物监测频次不低于每周3次;连续两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w:t>
                  </w:r>
                </w:p>
              </w:tc>
              <w:tc>
                <w:tcPr>
                  <w:tcW w:w="2119" w:type="pct"/>
                  <w:noWrap w:val="0"/>
                  <w:vAlign w:val="center"/>
                </w:tcPr>
                <w:p w14:paraId="7804FDCA">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环评建议建设单位针对再生利用产品中的特征污染物监测频次不低于每周3次;连续二周监测结果均不超出环境风险评价结果时，在该废物来源及投加量稳定的前提下，频次可减为每月1次;连续三个月监测结果均不超出环境风险评价结果时，频次可减为每年1次;若在此期间监测结果出现异常或固体废物来源发生变化或再生利用中断超过半年以上，则监测频次重新调整为不低于每周3次，依次重复。</w:t>
                  </w:r>
                </w:p>
              </w:tc>
              <w:tc>
                <w:tcPr>
                  <w:tcW w:w="439" w:type="pct"/>
                  <w:noWrap w:val="0"/>
                  <w:vAlign w:val="center"/>
                </w:tcPr>
                <w:p w14:paraId="79DBCDE1">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r w14:paraId="2B48F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41" w:type="pct"/>
                  <w:noWrap w:val="0"/>
                  <w:vAlign w:val="center"/>
                </w:tcPr>
                <w:p w14:paraId="1827751C">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8.2固体废物再生利用企业应在固体废物再生利用过程中，按照相关要求，定期对场所和设施周边的大气、土壤、地表水和地下水等进行采样监测，以判断固体废物再生利用过程是否对大气、土壤、地表水和地下水造成二次污染。</w:t>
                  </w:r>
                </w:p>
              </w:tc>
              <w:tc>
                <w:tcPr>
                  <w:tcW w:w="2119" w:type="pct"/>
                  <w:noWrap w:val="0"/>
                  <w:vAlign w:val="center"/>
                </w:tcPr>
                <w:p w14:paraId="190A56DB">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本项目已制定运营期废气、废水监测计划；在确保各项防渗措施得以落实，并加强维护和环境管理，本项目不会对土壤和地下水造成二次污染。</w:t>
                  </w:r>
                </w:p>
              </w:tc>
              <w:tc>
                <w:tcPr>
                  <w:tcW w:w="439" w:type="pct"/>
                  <w:noWrap w:val="0"/>
                  <w:vAlign w:val="center"/>
                </w:tcPr>
                <w:p w14:paraId="79890A6E">
                  <w:pPr>
                    <w:pStyle w:val="89"/>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center"/>
                    <w:textAlignment w:val="baseline"/>
                    <w:rPr>
                      <w:rFonts w:hint="eastAsia" w:ascii="Times New Roman" w:hAnsi="Times New Roman" w:eastAsia="宋体" w:cs="Times New Roman"/>
                      <w:b w:val="0"/>
                      <w:bCs/>
                      <w:color w:val="000000" w:themeColor="text1"/>
                      <w:lang w:val="en-US" w:eastAsia="zh-CN"/>
                    </w:rPr>
                  </w:pPr>
                  <w:r>
                    <w:rPr>
                      <w:rFonts w:hint="eastAsia" w:ascii="Times New Roman" w:hAnsi="Times New Roman" w:eastAsia="宋体" w:cs="Times New Roman"/>
                      <w:b w:val="0"/>
                      <w:bCs/>
                      <w:color w:val="000000" w:themeColor="text1"/>
                      <w:lang w:val="en-US" w:eastAsia="zh-CN"/>
                    </w:rPr>
                    <w:t>符合</w:t>
                  </w:r>
                </w:p>
              </w:tc>
            </w:tr>
          </w:tbl>
          <w:p w14:paraId="19F94ADD">
            <w:pPr>
              <w:pStyle w:val="177"/>
              <w:ind w:firstLine="480"/>
              <w:rPr>
                <w:color w:val="000000" w:themeColor="text1"/>
              </w:rPr>
            </w:pPr>
            <w:r>
              <w:rPr>
                <w:color w:val="000000" w:themeColor="text1"/>
              </w:rPr>
              <w:t>根据上表可知，本项目符合《固体废物再生利用污染防治技术导则》（HJ1091-2020）相关要求。</w:t>
            </w:r>
          </w:p>
          <w:p w14:paraId="470648B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cs="Times New Roman"/>
                <w:b/>
                <w:bCs/>
                <w:color w:val="000000" w:themeColor="text1"/>
                <w:sz w:val="24"/>
                <w:highlight w:val="none"/>
                <w:lang w:val="en-US" w:eastAsia="zh-CN"/>
              </w:rPr>
            </w:pPr>
            <w:r>
              <w:rPr>
                <w:rFonts w:hint="eastAsia" w:cs="Times New Roman"/>
                <w:b/>
                <w:bCs/>
                <w:color w:val="000000" w:themeColor="text1"/>
                <w:sz w:val="24"/>
                <w:highlight w:val="none"/>
                <w:lang w:val="en-US" w:eastAsia="zh-CN"/>
              </w:rPr>
              <w:t>16、与《中华人民共和国固体废物污染环境防治法》相符性分析</w:t>
            </w:r>
          </w:p>
          <w:p w14:paraId="740B2145">
            <w:pPr>
              <w:pStyle w:val="181"/>
              <w:ind w:firstLine="480"/>
              <w:rPr>
                <w:rFonts w:hint="eastAsia" w:cs="Times New Roman"/>
                <w:color w:val="000000" w:themeColor="text1"/>
                <w:lang w:val="en-US" w:eastAsia="zh-CN"/>
              </w:rPr>
            </w:pPr>
            <w:r>
              <w:rPr>
                <w:rFonts w:hint="eastAsia" w:cs="Times New Roman"/>
                <w:color w:val="000000" w:themeColor="text1"/>
                <w:lang w:val="en-US" w:eastAsia="zh-CN"/>
              </w:rPr>
              <w:t>根据《中华人民共和国固体废物污染环境防治法》第二十二条 第一款、第二款及相关规定：转移固体废物出省、自治区、直辖市行政区域贮存、处置的，应当向固体废物移出地的省、自治区、直辖市人民政府生态环境主管部门提出申请。移出地的省、自治区、直辖市人民政府生态环境主管部门应当及时商经接受地的省、自治区、直辖市人民政府生态环境主管部门同意后，在规定期限内批准转移该固体废物出省、自治区、直辖市行政区域。未经批准的，不得转移。</w:t>
            </w:r>
          </w:p>
          <w:p w14:paraId="2555133D">
            <w:pPr>
              <w:pStyle w:val="181"/>
              <w:ind w:firstLine="480"/>
              <w:rPr>
                <w:rFonts w:hint="eastAsia" w:cs="Times New Roman"/>
                <w:color w:val="000000" w:themeColor="text1"/>
                <w:lang w:val="en-US" w:eastAsia="zh-CN"/>
              </w:rPr>
            </w:pPr>
            <w:r>
              <w:rPr>
                <w:rFonts w:hint="eastAsia" w:cs="Times New Roman"/>
                <w:color w:val="000000" w:themeColor="text1"/>
                <w:lang w:val="en-US" w:eastAsia="zh-CN"/>
              </w:rPr>
              <w:t>转移固体废物出省、自治区、直辖市行政区域利用的，应当报固体废物移出地的省、自治区、直辖市人民政府生态环境主管部门备案。移出地的省、自治区、直辖市人民政府生态环境主管部门应当将备案信息通报接受地的省、自治区、直辖市人民政府生态环境主管部门。</w:t>
            </w:r>
          </w:p>
          <w:p w14:paraId="7E823AB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snapToGrid w:val="0"/>
                <w:color w:val="000000" w:themeColor="text1"/>
                <w:kern w:val="0"/>
                <w:sz w:val="24"/>
                <w:szCs w:val="24"/>
                <w:lang w:val="en-US" w:eastAsia="zh-CN" w:bidi="ar-SA"/>
              </w:rPr>
              <w:t>本项目在投产前</w:t>
            </w:r>
            <w:r>
              <w:rPr>
                <w:rFonts w:hint="eastAsia" w:cs="Times New Roman"/>
                <w:snapToGrid w:val="0"/>
                <w:color w:val="000000" w:themeColor="text1"/>
                <w:kern w:val="0"/>
                <w:sz w:val="24"/>
                <w:szCs w:val="24"/>
                <w:lang w:val="en-US" w:eastAsia="zh-CN" w:bidi="ar-SA"/>
              </w:rPr>
              <w:t>双方</w:t>
            </w:r>
            <w:r>
              <w:rPr>
                <w:rFonts w:hint="eastAsia" w:ascii="Times New Roman" w:hAnsi="Times New Roman" w:eastAsia="宋体" w:cs="Times New Roman"/>
                <w:snapToGrid w:val="0"/>
                <w:color w:val="000000" w:themeColor="text1"/>
                <w:kern w:val="0"/>
                <w:sz w:val="24"/>
                <w:szCs w:val="24"/>
                <w:lang w:val="en-US" w:eastAsia="zh-CN" w:bidi="ar-SA"/>
              </w:rPr>
              <w:t>一定做好生态环</w:t>
            </w:r>
            <w:r>
              <w:rPr>
                <w:rFonts w:hint="eastAsia" w:cs="Times New Roman"/>
                <w:color w:val="000000" w:themeColor="text1"/>
                <w:lang w:val="en-US" w:eastAsia="zh-CN"/>
              </w:rPr>
              <w:t>境主管部门备案工作。</w:t>
            </w:r>
          </w:p>
          <w:p w14:paraId="33CBE2F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w:t>
            </w:r>
            <w:r>
              <w:rPr>
                <w:rFonts w:hint="eastAsia" w:cs="Times New Roman"/>
                <w:b/>
                <w:bCs/>
                <w:color w:val="000000" w:themeColor="text1"/>
                <w:sz w:val="24"/>
                <w:highlight w:val="none"/>
                <w:lang w:val="en-US" w:eastAsia="zh-CN"/>
              </w:rPr>
              <w:t>7</w:t>
            </w:r>
            <w:r>
              <w:rPr>
                <w:rFonts w:hint="eastAsia" w:ascii="Times New Roman" w:hAnsi="Times New Roman" w:eastAsia="宋体" w:cs="Times New Roman"/>
                <w:b/>
                <w:bCs/>
                <w:color w:val="000000" w:themeColor="text1"/>
                <w:sz w:val="24"/>
                <w:highlight w:val="none"/>
                <w:lang w:val="en-US" w:eastAsia="zh-CN"/>
              </w:rPr>
              <w:t>、与《江西省生态环境厅关于印发</w:t>
            </w:r>
            <w:r>
              <w:rPr>
                <w:rFonts w:hint="eastAsia" w:cs="Times New Roman"/>
                <w:b/>
                <w:bCs/>
                <w:color w:val="000000" w:themeColor="text1"/>
                <w:sz w:val="24"/>
                <w:highlight w:val="none"/>
                <w:lang w:val="en-US" w:eastAsia="zh-CN"/>
              </w:rPr>
              <w:t>&lt;</w:t>
            </w:r>
            <w:r>
              <w:rPr>
                <w:rFonts w:hint="eastAsia" w:ascii="Times New Roman" w:hAnsi="Times New Roman" w:eastAsia="宋体" w:cs="Times New Roman"/>
                <w:b/>
                <w:bCs/>
                <w:color w:val="000000" w:themeColor="text1"/>
                <w:sz w:val="24"/>
                <w:highlight w:val="none"/>
                <w:lang w:val="en-US" w:eastAsia="zh-CN"/>
              </w:rPr>
              <w:t>固体废物(含危险废物)跨省转移行政审批规程</w:t>
            </w:r>
            <w:r>
              <w:rPr>
                <w:rFonts w:hint="eastAsia" w:cs="Times New Roman"/>
                <w:b/>
                <w:bCs/>
                <w:color w:val="000000" w:themeColor="text1"/>
                <w:sz w:val="24"/>
                <w:highlight w:val="none"/>
                <w:lang w:val="en-US" w:eastAsia="zh-CN"/>
              </w:rPr>
              <w:t>&gt;&lt;</w:t>
            </w:r>
            <w:r>
              <w:rPr>
                <w:rFonts w:hint="eastAsia" w:ascii="Times New Roman" w:hAnsi="Times New Roman" w:eastAsia="宋体" w:cs="Times New Roman"/>
                <w:b/>
                <w:bCs/>
                <w:color w:val="000000" w:themeColor="text1"/>
                <w:sz w:val="24"/>
                <w:highlight w:val="none"/>
                <w:lang w:val="en-US" w:eastAsia="zh-CN"/>
              </w:rPr>
              <w:t>一般固体废物跨省转移利用备案工作规程</w:t>
            </w:r>
            <w:r>
              <w:rPr>
                <w:rFonts w:hint="eastAsia" w:cs="Times New Roman"/>
                <w:b/>
                <w:bCs/>
                <w:color w:val="000000" w:themeColor="text1"/>
                <w:sz w:val="24"/>
                <w:highlight w:val="none"/>
                <w:lang w:val="en-US" w:eastAsia="zh-CN"/>
              </w:rPr>
              <w:t>&gt;</w:t>
            </w:r>
            <w:r>
              <w:rPr>
                <w:rFonts w:hint="eastAsia" w:ascii="Times New Roman" w:hAnsi="Times New Roman" w:eastAsia="宋体" w:cs="Times New Roman"/>
                <w:b/>
                <w:bCs/>
                <w:color w:val="000000" w:themeColor="text1"/>
                <w:sz w:val="24"/>
                <w:highlight w:val="none"/>
                <w:lang w:val="en-US" w:eastAsia="zh-CN"/>
              </w:rPr>
              <w:t>的通知》</w:t>
            </w:r>
            <w:r>
              <w:rPr>
                <w:rFonts w:hint="eastAsia" w:cs="Times New Roman"/>
                <w:b/>
                <w:bCs/>
                <w:color w:val="000000" w:themeColor="text1"/>
                <w:sz w:val="24"/>
                <w:highlight w:val="none"/>
                <w:lang w:val="en-US" w:eastAsia="zh-CN"/>
              </w:rPr>
              <w:t>（</w:t>
            </w:r>
            <w:r>
              <w:rPr>
                <w:rFonts w:hint="eastAsia" w:ascii="Times New Roman" w:hAnsi="Times New Roman" w:eastAsia="宋体" w:cs="Times New Roman"/>
                <w:b/>
                <w:bCs/>
                <w:color w:val="000000" w:themeColor="text1"/>
                <w:sz w:val="24"/>
                <w:highlight w:val="none"/>
                <w:lang w:val="en-US" w:eastAsia="zh-CN"/>
              </w:rPr>
              <w:t>赣环固体〔2022〕48号</w:t>
            </w:r>
            <w:r>
              <w:rPr>
                <w:rFonts w:hint="eastAsia" w:cs="Times New Roman"/>
                <w:b/>
                <w:bCs/>
                <w:color w:val="000000" w:themeColor="text1"/>
                <w:sz w:val="24"/>
                <w:highlight w:val="none"/>
                <w:lang w:val="en-US" w:eastAsia="zh-CN"/>
              </w:rPr>
              <w:t>）相符性分析</w:t>
            </w:r>
          </w:p>
          <w:p w14:paraId="6E6FDF32">
            <w:pPr>
              <w:pStyle w:val="181"/>
              <w:ind w:firstLine="480"/>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根据《中华人民共和国固体废物污染环境防治法》第二十二条第二款及相关规定</w:t>
            </w:r>
            <w:r>
              <w:rPr>
                <w:rFonts w:hint="eastAsia" w:cs="Times New Roman"/>
                <w:color w:val="000000" w:themeColor="text1"/>
                <w:lang w:val="en-US" w:eastAsia="zh-CN"/>
              </w:rPr>
              <w:t>，</w:t>
            </w:r>
            <w:r>
              <w:rPr>
                <w:rFonts w:hint="default" w:ascii="Times New Roman" w:hAnsi="Times New Roman" w:eastAsia="宋体" w:cs="Times New Roman"/>
                <w:color w:val="000000" w:themeColor="text1"/>
                <w:lang w:val="en-US" w:eastAsia="zh-CN"/>
              </w:rPr>
              <w:t>为做好一般固体废物跨省转移利用备案工作,结合</w:t>
            </w:r>
            <w:r>
              <w:rPr>
                <w:rFonts w:hint="eastAsia" w:cs="Times New Roman"/>
                <w:color w:val="000000" w:themeColor="text1"/>
                <w:lang w:val="en-US" w:eastAsia="zh-CN"/>
              </w:rPr>
              <w:t>江西</w:t>
            </w:r>
            <w:r>
              <w:rPr>
                <w:rFonts w:hint="default" w:ascii="Times New Roman" w:hAnsi="Times New Roman" w:eastAsia="宋体" w:cs="Times New Roman"/>
                <w:color w:val="000000" w:themeColor="text1"/>
                <w:lang w:val="en-US" w:eastAsia="zh-CN"/>
              </w:rPr>
              <w:t>省实际情况,制定</w:t>
            </w:r>
            <w:r>
              <w:rPr>
                <w:rFonts w:hint="eastAsia" w:cs="Times New Roman"/>
                <w:color w:val="000000" w:themeColor="text1"/>
                <w:lang w:val="en-US" w:eastAsia="zh-CN"/>
              </w:rPr>
              <w:t>了《</w:t>
            </w:r>
            <w:r>
              <w:rPr>
                <w:rFonts w:hint="eastAsia" w:ascii="Times New Roman" w:hAnsi="Times New Roman" w:eastAsia="宋体" w:cs="Times New Roman"/>
                <w:color w:val="000000" w:themeColor="text1"/>
                <w:lang w:val="en-US" w:eastAsia="zh-CN"/>
              </w:rPr>
              <w:t>一般固体废物跨省转移利用备案工作规程</w:t>
            </w:r>
            <w:r>
              <w:rPr>
                <w:rFonts w:hint="eastAsia" w:cs="Times New Roman"/>
                <w:color w:val="000000" w:themeColor="text1"/>
                <w:lang w:val="en-US" w:eastAsia="zh-CN"/>
              </w:rPr>
              <w:t>》</w:t>
            </w:r>
            <w:r>
              <w:rPr>
                <w:rFonts w:hint="default" w:ascii="Times New Roman" w:hAnsi="Times New Roman" w:eastAsia="宋体" w:cs="Times New Roman"/>
                <w:color w:val="000000" w:themeColor="text1"/>
                <w:lang w:val="en-US" w:eastAsia="zh-CN"/>
              </w:rPr>
              <w:t>。</w:t>
            </w:r>
          </w:p>
          <w:p w14:paraId="5E66B273">
            <w:pPr>
              <w:pStyle w:val="181"/>
              <w:ind w:firstLine="480"/>
              <w:rPr>
                <w:rFonts w:hint="default" w:cs="Times New Roman"/>
                <w:color w:val="000000" w:themeColor="text1"/>
                <w:lang w:val="en-US" w:eastAsia="zh-CN"/>
              </w:rPr>
            </w:pPr>
            <w:r>
              <w:rPr>
                <w:rFonts w:hint="eastAsia" w:cs="Times New Roman"/>
                <w:color w:val="000000" w:themeColor="text1"/>
                <w:lang w:val="en-US" w:eastAsia="zh-CN"/>
              </w:rPr>
              <w:t>根据该流程，移出人应当向江西省生态环境厅提出备案申请；移出人、承运人和接受人之间签订的书面合同，合同中应当约定污染防治要求；一般固体废物实际利用数量、方式、去向等与备案情况要一致的。本项目投产前一定向江西省生态环境厅提出备案申请，并签订移出人、承运人和接受人之间签订的书面合同，做好一般固体废物实际利用数量、方式、去向的台账，保证与备案一致。</w:t>
            </w:r>
          </w:p>
          <w:p w14:paraId="4F81212D">
            <w:pPr>
              <w:pStyle w:val="181"/>
              <w:ind w:firstLine="48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综上所述，</w:t>
            </w:r>
            <w:r>
              <w:rPr>
                <w:rFonts w:hint="default" w:ascii="Times New Roman" w:hAnsi="Times New Roman" w:eastAsia="宋体" w:cs="Times New Roman"/>
                <w:color w:val="000000" w:themeColor="text1"/>
                <w:lang w:val="en-US" w:eastAsia="zh-CN"/>
              </w:rPr>
              <w:t>项目符合</w:t>
            </w:r>
            <w:r>
              <w:rPr>
                <w:rFonts w:hint="eastAsia" w:ascii="Times New Roman" w:hAnsi="Times New Roman" w:eastAsia="宋体" w:cs="Times New Roman"/>
                <w:color w:val="000000" w:themeColor="text1"/>
                <w:lang w:val="en-US" w:eastAsia="zh-CN"/>
              </w:rPr>
              <w:t>《江西省生态环境厅关于印发&lt;固体废物(含危险废物)跨省转移行政审批规程&gt;&lt;一般固体废物跨省转移利用备案工作规程&gt;的通知》（赣环固体〔2022〕48号）</w:t>
            </w:r>
            <w:r>
              <w:rPr>
                <w:rFonts w:hint="default" w:ascii="Times New Roman" w:hAnsi="Times New Roman" w:eastAsia="宋体" w:cs="Times New Roman"/>
                <w:color w:val="000000" w:themeColor="text1"/>
                <w:lang w:val="en-US" w:eastAsia="zh-CN"/>
              </w:rPr>
              <w:t>的相关要求。</w:t>
            </w:r>
          </w:p>
          <w:p w14:paraId="58E6856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000000" w:themeColor="text1"/>
                <w:sz w:val="24"/>
                <w:highlight w:val="none"/>
                <w:lang w:val="en-US" w:eastAsia="zh-CN"/>
              </w:rPr>
            </w:pPr>
            <w:r>
              <w:rPr>
                <w:rFonts w:hint="eastAsia" w:ascii="Times New Roman" w:hAnsi="Times New Roman" w:eastAsia="宋体" w:cs="Times New Roman"/>
                <w:b/>
                <w:bCs/>
                <w:color w:val="000000" w:themeColor="text1"/>
                <w:sz w:val="24"/>
                <w:highlight w:val="none"/>
                <w:lang w:val="en-US" w:eastAsia="zh-CN"/>
              </w:rPr>
              <w:t>1</w:t>
            </w:r>
            <w:r>
              <w:rPr>
                <w:rFonts w:hint="eastAsia" w:cs="Times New Roman"/>
                <w:b/>
                <w:bCs/>
                <w:color w:val="000000" w:themeColor="text1"/>
                <w:sz w:val="24"/>
                <w:highlight w:val="none"/>
                <w:lang w:val="en-US" w:eastAsia="zh-CN"/>
              </w:rPr>
              <w:t>8</w:t>
            </w:r>
            <w:r>
              <w:rPr>
                <w:rFonts w:hint="eastAsia" w:ascii="Times New Roman" w:hAnsi="Times New Roman" w:eastAsia="宋体" w:cs="Times New Roman"/>
                <w:b/>
                <w:bCs/>
                <w:color w:val="000000" w:themeColor="text1"/>
                <w:sz w:val="24"/>
                <w:highlight w:val="none"/>
                <w:lang w:val="en-US" w:eastAsia="zh-CN"/>
              </w:rPr>
              <w:t>、平面布局合理性</w:t>
            </w:r>
          </w:p>
          <w:p w14:paraId="0C3816C1">
            <w:pPr>
              <w:pStyle w:val="181"/>
              <w:ind w:firstLine="480"/>
              <w:rPr>
                <w:rFonts w:hint="eastAsia"/>
                <w:color w:val="000000" w:themeColor="text1"/>
                <w:sz w:val="24"/>
                <w:szCs w:val="24"/>
              </w:rPr>
            </w:pPr>
            <w:r>
              <w:rPr>
                <w:rFonts w:hint="default" w:ascii="Times New Roman" w:hAnsi="Times New Roman" w:eastAsia="宋体" w:cs="Times New Roman"/>
                <w:color w:val="000000" w:themeColor="text1"/>
                <w:lang w:val="en-US" w:eastAsia="zh-CN"/>
              </w:rPr>
              <w:t>本项目不新增用地，</w:t>
            </w:r>
            <w:r>
              <w:rPr>
                <w:rFonts w:hint="eastAsia" w:ascii="Times New Roman" w:hAnsi="Times New Roman" w:eastAsia="宋体" w:cs="Times New Roman"/>
                <w:color w:val="000000" w:themeColor="text1"/>
                <w:lang w:val="en-US" w:eastAsia="zh-CN"/>
              </w:rPr>
              <w:t>在现有厂区内建设生产车间</w:t>
            </w:r>
            <w:r>
              <w:rPr>
                <w:rFonts w:hint="default" w:ascii="Times New Roman" w:hAnsi="Times New Roman" w:eastAsia="宋体" w:cs="Times New Roman"/>
                <w:color w:val="000000" w:themeColor="text1"/>
                <w:lang w:val="en-US" w:eastAsia="zh-CN"/>
              </w:rPr>
              <w:t>。</w:t>
            </w:r>
            <w:r>
              <w:rPr>
                <w:rFonts w:hint="eastAsia" w:ascii="Times New Roman" w:hAnsi="Times New Roman" w:eastAsia="宋体" w:cs="Times New Roman"/>
                <w:color w:val="000000" w:themeColor="text1"/>
                <w:lang w:val="en-US" w:eastAsia="zh-CN"/>
              </w:rPr>
              <w:t>在</w:t>
            </w:r>
            <w:r>
              <w:rPr>
                <w:rFonts w:hint="default" w:ascii="Times New Roman" w:hAnsi="Times New Roman" w:eastAsia="宋体" w:cs="Times New Roman"/>
                <w:color w:val="000000" w:themeColor="text1"/>
                <w:lang w:val="en-US" w:eastAsia="zh-CN"/>
              </w:rPr>
              <w:t>现有厂区北侧</w:t>
            </w:r>
            <w:r>
              <w:rPr>
                <w:rFonts w:hint="eastAsia" w:ascii="Times New Roman" w:hAnsi="Times New Roman" w:eastAsia="宋体" w:cs="Times New Roman"/>
                <w:color w:val="000000" w:themeColor="text1"/>
                <w:lang w:val="en-US" w:eastAsia="zh-CN"/>
              </w:rPr>
              <w:t>有物流</w:t>
            </w:r>
            <w:r>
              <w:rPr>
                <w:rFonts w:hint="default" w:ascii="Times New Roman" w:hAnsi="Times New Roman" w:eastAsia="宋体" w:cs="Times New Roman"/>
                <w:color w:val="000000" w:themeColor="text1"/>
                <w:lang w:val="en-US" w:eastAsia="zh-CN"/>
              </w:rPr>
              <w:t>出入口的布置，人流出入口均布置在厂区</w:t>
            </w:r>
            <w:r>
              <w:rPr>
                <w:rFonts w:hint="eastAsia" w:ascii="Times New Roman" w:hAnsi="Times New Roman" w:eastAsia="宋体" w:cs="Times New Roman"/>
                <w:color w:val="000000" w:themeColor="text1"/>
                <w:lang w:val="en-US" w:eastAsia="zh-CN"/>
              </w:rPr>
              <w:t>南</w:t>
            </w:r>
            <w:r>
              <w:rPr>
                <w:rFonts w:hint="default" w:ascii="Times New Roman" w:hAnsi="Times New Roman" w:eastAsia="宋体" w:cs="Times New Roman"/>
                <w:color w:val="000000" w:themeColor="text1"/>
                <w:lang w:val="en-US" w:eastAsia="zh-CN"/>
              </w:rPr>
              <w:t>面。</w:t>
            </w:r>
            <w:r>
              <w:rPr>
                <w:rFonts w:hint="eastAsia"/>
                <w:color w:val="000000" w:themeColor="text1"/>
                <w:sz w:val="24"/>
                <w:szCs w:val="24"/>
              </w:rPr>
              <w:t>域面积满足工艺布置要求，能源介质供应条件完善，具备气体燃料的供应条件。该位置靠近产品使用终端，成品运输便利，可保证成品品质的稳定性和供应的时效性。 整个区域为南北竖向布置。</w:t>
            </w:r>
            <w:r>
              <w:rPr>
                <w:rFonts w:hint="eastAsia"/>
                <w:color w:val="000000" w:themeColor="text1"/>
                <w:sz w:val="24"/>
                <w:szCs w:val="24"/>
                <w:lang w:val="en-US" w:eastAsia="zh-CN"/>
              </w:rPr>
              <w:t>生产区</w:t>
            </w:r>
            <w:r>
              <w:rPr>
                <w:rFonts w:hint="eastAsia"/>
                <w:color w:val="000000" w:themeColor="text1"/>
                <w:sz w:val="24"/>
                <w:szCs w:val="24"/>
              </w:rPr>
              <w:t>在项目用地的</w:t>
            </w:r>
            <w:r>
              <w:rPr>
                <w:rFonts w:hint="eastAsia"/>
                <w:color w:val="000000" w:themeColor="text1"/>
                <w:sz w:val="24"/>
                <w:szCs w:val="24"/>
                <w:lang w:val="en-US" w:eastAsia="zh-CN"/>
              </w:rPr>
              <w:t>南</w:t>
            </w:r>
            <w:r>
              <w:rPr>
                <w:rFonts w:hint="eastAsia"/>
                <w:color w:val="000000" w:themeColor="text1"/>
                <w:sz w:val="24"/>
                <w:szCs w:val="24"/>
              </w:rPr>
              <w:t>面，</w:t>
            </w:r>
            <w:r>
              <w:rPr>
                <w:rFonts w:hint="eastAsia"/>
                <w:color w:val="000000" w:themeColor="text1"/>
                <w:sz w:val="24"/>
                <w:szCs w:val="24"/>
                <w:lang w:val="en-US" w:eastAsia="zh-CN"/>
              </w:rPr>
              <w:t>北面为办公区</w:t>
            </w:r>
            <w:r>
              <w:rPr>
                <w:rFonts w:hint="eastAsia"/>
                <w:color w:val="000000" w:themeColor="text1"/>
                <w:sz w:val="24"/>
                <w:szCs w:val="24"/>
              </w:rPr>
              <w:t>，其他设施</w:t>
            </w:r>
            <w:r>
              <w:rPr>
                <w:rFonts w:hint="eastAsia"/>
                <w:color w:val="000000" w:themeColor="text1"/>
                <w:sz w:val="24"/>
                <w:szCs w:val="24"/>
                <w:lang w:val="en-US" w:eastAsia="zh-CN"/>
              </w:rPr>
              <w:t>均</w:t>
            </w:r>
            <w:r>
              <w:rPr>
                <w:rFonts w:hint="eastAsia"/>
                <w:color w:val="000000" w:themeColor="text1"/>
                <w:sz w:val="24"/>
                <w:szCs w:val="24"/>
              </w:rPr>
              <w:t>靠近服务对象布置。</w:t>
            </w:r>
          </w:p>
          <w:p w14:paraId="670DB914">
            <w:pPr>
              <w:adjustRightInd w:val="0"/>
              <w:snapToGrid w:val="0"/>
              <w:spacing w:line="360" w:lineRule="auto"/>
              <w:ind w:firstLine="480" w:firstLineChars="200"/>
              <w:jc w:val="left"/>
              <w:rPr>
                <w:color w:val="000000" w:themeColor="text1"/>
              </w:rPr>
            </w:pPr>
            <w:r>
              <w:rPr>
                <w:rFonts w:hint="eastAsia"/>
                <w:color w:val="000000" w:themeColor="text1"/>
                <w:sz w:val="24"/>
                <w:szCs w:val="24"/>
              </w:rPr>
              <w:t>工程总图布置依据各功能区的特性，依据有利于厂内运输及生产管理，避免可能存在的二次污染，且在严格执行相关规</w:t>
            </w:r>
            <w:r>
              <w:rPr>
                <w:rFonts w:hint="eastAsia"/>
                <w:color w:val="000000" w:themeColor="text1"/>
                <w:sz w:val="24"/>
                <w:szCs w:val="24"/>
                <w:lang w:eastAsia="zh-CN"/>
              </w:rPr>
              <w:t>范和</w:t>
            </w:r>
            <w:r>
              <w:rPr>
                <w:rFonts w:hint="eastAsia"/>
                <w:color w:val="000000" w:themeColor="text1"/>
                <w:sz w:val="24"/>
                <w:szCs w:val="24"/>
              </w:rPr>
              <w:t>安全规定的同时紧凑布置各建、构筑物，减少了相互之间运距。同时，考虑了当地常年主导风向的因素，有效地减轻废气对厂内的影响。</w:t>
            </w:r>
            <w:r>
              <w:rPr>
                <w:rFonts w:hint="eastAsia"/>
                <w:color w:val="000000" w:themeColor="text1"/>
                <w:sz w:val="24"/>
                <w:szCs w:val="24"/>
                <w:lang w:val="en-US" w:eastAsia="zh-CN"/>
              </w:rPr>
              <w:t>总之</w:t>
            </w:r>
            <w:r>
              <w:rPr>
                <w:color w:val="000000" w:themeColor="text1"/>
                <w:sz w:val="24"/>
                <w:szCs w:val="24"/>
              </w:rPr>
              <w:t>项目总平面布置在总体规划设计基础上，根据生产工艺、运输、消防、安全、卫生</w:t>
            </w:r>
            <w:r>
              <w:rPr>
                <w:rFonts w:hint="eastAsia"/>
                <w:color w:val="000000" w:themeColor="text1"/>
                <w:sz w:val="24"/>
                <w:szCs w:val="24"/>
                <w:lang w:eastAsia="zh-CN"/>
              </w:rPr>
              <w:t>、</w:t>
            </w:r>
            <w:r>
              <w:rPr>
                <w:rFonts w:hint="eastAsia"/>
                <w:color w:val="000000" w:themeColor="text1"/>
                <w:sz w:val="24"/>
                <w:szCs w:val="24"/>
                <w:lang w:val="en-US" w:eastAsia="zh-CN"/>
              </w:rPr>
              <w:t>环保</w:t>
            </w:r>
            <w:r>
              <w:rPr>
                <w:color w:val="000000" w:themeColor="text1"/>
                <w:sz w:val="24"/>
                <w:szCs w:val="24"/>
              </w:rPr>
              <w:t>等要求，结合工程用地的地形、工程地质、气象等自然条件，全面地、因地制宜地对厂区建构筑物、运输线路、管线等进</w:t>
            </w:r>
            <w:r>
              <w:rPr>
                <w:color w:val="000000" w:themeColor="text1"/>
              </w:rPr>
              <w:t>行总体布置，力求工艺路线紧凑合理，节约和合理用地，节省投资，有</w:t>
            </w:r>
            <w:r>
              <w:rPr>
                <w:rFonts w:hint="eastAsia"/>
                <w:color w:val="000000" w:themeColor="text1"/>
                <w:lang w:eastAsia="zh-CN"/>
              </w:rPr>
              <w:t>利于</w:t>
            </w:r>
            <w:r>
              <w:rPr>
                <w:color w:val="000000" w:themeColor="text1"/>
              </w:rPr>
              <w:t>生产，方便管理。</w:t>
            </w:r>
          </w:p>
          <w:p w14:paraId="746C43C3">
            <w:pPr>
              <w:pStyle w:val="181"/>
              <w:ind w:firstLine="480"/>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综上所述，整个厂区的总平面布置是合理的。</w:t>
            </w:r>
          </w:p>
          <w:p w14:paraId="0A6CA325">
            <w:pPr>
              <w:pStyle w:val="49"/>
              <w:pageBreakBefore w:val="0"/>
              <w:kinsoku/>
              <w:overflowPunct/>
              <w:topLinePunct w:val="0"/>
              <w:bidi w:val="0"/>
              <w:spacing w:line="240" w:lineRule="auto"/>
              <w:ind w:left="0" w:firstLine="0" w:firstLineChars="0"/>
              <w:rPr>
                <w:rFonts w:hint="default" w:eastAsia="宋体"/>
                <w:color w:val="000000" w:themeColor="text1"/>
                <w:highlight w:val="none"/>
                <w:lang w:val="en-US" w:eastAsia="zh-CN"/>
              </w:rPr>
            </w:pPr>
          </w:p>
        </w:tc>
      </w:tr>
    </w:tbl>
    <w:p w14:paraId="219B06E8">
      <w:pPr>
        <w:pStyle w:val="21"/>
        <w:numPr>
          <w:ilvl w:val="0"/>
          <w:numId w:val="0"/>
        </w:numPr>
        <w:rPr>
          <w:rFonts w:hint="default"/>
          <w:color w:val="000000" w:themeColor="text1"/>
        </w:rPr>
      </w:pPr>
    </w:p>
    <w:p w14:paraId="09133EC4">
      <w:pPr>
        <w:ind w:firstLine="600"/>
        <w:outlineLvl w:val="9"/>
        <w:rPr>
          <w:rFonts w:hint="default" w:ascii="Times New Roman" w:hAnsi="Times New Roman" w:eastAsia="宋体" w:cs="Times New Roman"/>
          <w:color w:val="000000" w:themeColor="text1"/>
          <w:sz w:val="30"/>
        </w:rPr>
        <w:sectPr>
          <w:footerReference r:id="rId11" w:type="default"/>
          <w:pgSz w:w="11906" w:h="16838"/>
          <w:pgMar w:top="1440" w:right="1803" w:bottom="1440" w:left="1803" w:header="851" w:footer="1077" w:gutter="0"/>
          <w:pgBorders>
            <w:top w:val="none" w:sz="0" w:space="0"/>
            <w:left w:val="none" w:sz="0" w:space="0"/>
            <w:bottom w:val="none" w:sz="0" w:space="0"/>
            <w:right w:val="none" w:sz="0" w:space="0"/>
          </w:pgBorders>
          <w:pgNumType w:start="1"/>
          <w:cols w:space="720" w:num="1"/>
          <w:docGrid w:linePitch="312" w:charSpace="0"/>
        </w:sectPr>
      </w:pPr>
    </w:p>
    <w:p w14:paraId="7799F6FE">
      <w:pPr>
        <w:pStyle w:val="20"/>
        <w:spacing w:before="0" w:beforeAutospacing="0" w:after="0" w:afterAutospacing="0" w:line="240" w:lineRule="auto"/>
        <w:ind w:firstLine="602"/>
        <w:jc w:val="center"/>
        <w:outlineLvl w:val="0"/>
        <w:rPr>
          <w:rFonts w:hint="default" w:ascii="Times New Roman" w:hAnsi="Times New Roman" w:eastAsia="宋体" w:cs="Times New Roman"/>
          <w:b/>
          <w:snapToGrid w:val="0"/>
          <w:color w:val="000000" w:themeColor="text1"/>
          <w:sz w:val="30"/>
          <w:szCs w:val="30"/>
        </w:rPr>
      </w:pPr>
      <w:r>
        <w:rPr>
          <w:rFonts w:hint="default" w:ascii="Times New Roman" w:hAnsi="Times New Roman" w:eastAsia="宋体" w:cs="Times New Roman"/>
          <w:b/>
          <w:snapToGrid w:val="0"/>
          <w:color w:val="000000" w:themeColor="text1"/>
          <w:sz w:val="30"/>
          <w:szCs w:val="30"/>
        </w:rPr>
        <w:t>二、建设项目工程分析</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5"/>
        <w:gridCol w:w="8189"/>
      </w:tblGrid>
      <w:tr w14:paraId="6FFAB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242" w:hRule="atLeast"/>
          <w:jc w:val="center"/>
        </w:trPr>
        <w:tc>
          <w:tcPr>
            <w:tcW w:w="795" w:type="dxa"/>
            <w:vAlign w:val="center"/>
          </w:tcPr>
          <w:p w14:paraId="120F1DE1">
            <w:pPr>
              <w:pStyle w:val="20"/>
              <w:adjustRightInd w:val="0"/>
              <w:snapToGrid w:val="0"/>
              <w:spacing w:before="0" w:beforeAutospacing="0" w:after="0" w:afterAutospacing="0"/>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30"/>
                <w:szCs w:val="30"/>
              </w:rPr>
              <w:t>建设内容</w:t>
            </w:r>
          </w:p>
        </w:tc>
        <w:tc>
          <w:tcPr>
            <w:tcW w:w="8189" w:type="dxa"/>
          </w:tcPr>
          <w:p w14:paraId="500718C0">
            <w:pPr>
              <w:numPr>
                <w:ilvl w:val="0"/>
                <w:numId w:val="4"/>
              </w:numPr>
              <w:autoSpaceDE w:val="0"/>
              <w:autoSpaceDN w:val="0"/>
              <w:adjustRightInd w:val="0"/>
              <w:snapToGrid w:val="0"/>
              <w:spacing w:before="120" w:beforeLines="50" w:line="360" w:lineRule="auto"/>
              <w:ind w:firstLine="482"/>
              <w:rPr>
                <w:rFonts w:hint="eastAsia"/>
                <w:b/>
                <w:bCs/>
                <w:color w:val="000000" w:themeColor="text1"/>
                <w:sz w:val="24"/>
                <w:highlight w:val="none"/>
              </w:rPr>
            </w:pPr>
            <w:r>
              <w:rPr>
                <w:rFonts w:hint="eastAsia"/>
                <w:b/>
                <w:bCs/>
                <w:color w:val="000000" w:themeColor="text1"/>
                <w:sz w:val="24"/>
                <w:highlight w:val="none"/>
              </w:rPr>
              <w:t>项目由来</w:t>
            </w:r>
          </w:p>
          <w:p w14:paraId="49FC6726">
            <w:pPr>
              <w:widowControl/>
              <w:spacing w:line="360" w:lineRule="auto"/>
              <w:ind w:firstLine="480" w:firstLineChars="200"/>
              <w:jc w:val="both"/>
              <w:rPr>
                <w:rFonts w:hint="eastAsia" w:ascii="Times New Roman" w:hAnsi="Times New Roman" w:eastAsia="宋体" w:cs="Times New Roman"/>
                <w:color w:val="000000" w:themeColor="text1"/>
                <w:sz w:val="24"/>
                <w:highlight w:val="none"/>
                <w:lang w:eastAsia="zh-CN"/>
              </w:rPr>
            </w:pPr>
            <w:r>
              <w:rPr>
                <w:rFonts w:hint="eastAsia" w:ascii="Times New Roman" w:hAnsi="Times New Roman" w:eastAsia="宋体" w:cs="Times New Roman"/>
                <w:color w:val="000000" w:themeColor="text1"/>
                <w:sz w:val="24"/>
                <w:highlight w:val="none"/>
                <w:lang w:eastAsia="zh-CN"/>
              </w:rPr>
              <w:t>江西雷亚特导电碳黑有限公司成立于2014年10月14日，注册地位于江西省九江市柴桑区赤湖工业园。经营范围包括一般项目：专用化学产品、炭黑、白油（非食品添加剂）制造（不含危险化学品），橡胶制品制造，塑料制品制造，化工产品生产（不含许可类化工产品），润滑油加工、制造（不含危险化学品），新型建筑材料制造（不含危险化学品），专用化学产品、炭黑、白油（非食品添加剂）销售（不含危险化学品），橡胶制品销售，塑料制品销售，化工产品销售（不含许可类化工产品），润滑油销售，建筑材料销售，固体废物治理，一般工业固体废物的贮存与处置，货物进出口，技术进出口，进出口代理（除许可业务外，可自主依法经营法律法规非禁止或限制的项目）。</w:t>
            </w:r>
          </w:p>
          <w:p w14:paraId="0CCCABE1">
            <w:pPr>
              <w:widowControl/>
              <w:spacing w:line="360" w:lineRule="auto"/>
              <w:ind w:firstLine="480" w:firstLineChars="200"/>
              <w:jc w:val="both"/>
              <w:rPr>
                <w:rFonts w:hint="default" w:cs="Times New Roman"/>
                <w:color w:val="000000" w:themeColor="text1"/>
                <w:sz w:val="24"/>
                <w:highlight w:val="none"/>
                <w:lang w:val="en-US" w:eastAsia="zh-CN"/>
              </w:rPr>
            </w:pPr>
            <w:r>
              <w:rPr>
                <w:rFonts w:hint="eastAsia" w:cs="Times New Roman"/>
                <w:color w:val="000000" w:themeColor="text1"/>
                <w:sz w:val="24"/>
                <w:highlight w:val="none"/>
                <w:lang w:eastAsia="zh-CN"/>
              </w:rPr>
              <w:t>江西雷亚特导电碳黑有限公司</w:t>
            </w:r>
            <w:r>
              <w:rPr>
                <w:rFonts w:hint="eastAsia" w:cs="Times New Roman"/>
                <w:color w:val="000000" w:themeColor="text1"/>
                <w:sz w:val="24"/>
                <w:highlight w:val="none"/>
                <w:lang w:val="en-US" w:eastAsia="zh-CN"/>
              </w:rPr>
              <w:t>10</w:t>
            </w:r>
            <w:r>
              <w:rPr>
                <w:rFonts w:hint="eastAsia" w:ascii="Times New Roman" w:hAnsi="Times New Roman" w:eastAsia="宋体" w:cs="Times New Roman"/>
                <w:color w:val="000000" w:themeColor="text1"/>
                <w:sz w:val="24"/>
                <w:highlight w:val="none"/>
                <w:lang w:val="en-US" w:eastAsia="zh-CN"/>
              </w:rPr>
              <w:t>000万元在</w:t>
            </w:r>
            <w:r>
              <w:rPr>
                <w:rFonts w:hint="eastAsia" w:ascii="Times New Roman" w:hAnsi="Times New Roman" w:eastAsia="宋体" w:cs="Times New Roman"/>
                <w:color w:val="000000" w:themeColor="text1"/>
                <w:sz w:val="24"/>
                <w:highlight w:val="none"/>
              </w:rPr>
              <w:t>江西省九江市柴桑区</w:t>
            </w:r>
            <w:r>
              <w:rPr>
                <w:rFonts w:hint="eastAsia" w:cs="Times New Roman"/>
                <w:color w:val="000000" w:themeColor="text1"/>
                <w:sz w:val="24"/>
                <w:highlight w:val="none"/>
                <w:lang w:val="en-US" w:eastAsia="zh-CN"/>
              </w:rPr>
              <w:t>赤湖</w:t>
            </w:r>
            <w:r>
              <w:rPr>
                <w:rFonts w:hint="eastAsia" w:ascii="Times New Roman" w:hAnsi="Times New Roman" w:eastAsia="宋体" w:cs="Times New Roman"/>
                <w:color w:val="000000" w:themeColor="text1"/>
                <w:sz w:val="24"/>
                <w:highlight w:val="none"/>
              </w:rPr>
              <w:t>工业园</w:t>
            </w:r>
            <w:r>
              <w:rPr>
                <w:rFonts w:hint="eastAsia" w:cs="Times New Roman"/>
                <w:color w:val="000000" w:themeColor="text1"/>
                <w:sz w:val="24"/>
                <w:highlight w:val="none"/>
                <w:lang w:val="en-US" w:eastAsia="zh-CN"/>
              </w:rPr>
              <w:t>兴业大道以南、通江东路以东，中心地理位置</w:t>
            </w:r>
            <w:r>
              <w:rPr>
                <w:rFonts w:hint="eastAsia" w:ascii="Times New Roman" w:hAnsi="Times New Roman" w:eastAsia="宋体" w:cs="Times New Roman"/>
                <w:color w:val="000000" w:themeColor="text1"/>
                <w:sz w:val="24"/>
                <w:highlight w:val="none"/>
                <w:lang w:val="en-US" w:eastAsia="zh-CN"/>
              </w:rPr>
              <w:t>为E115°44'55.135"N29°46'36.516"</w:t>
            </w:r>
            <w:r>
              <w:rPr>
                <w:rFonts w:hint="eastAsia" w:ascii="Times New Roman" w:hAnsi="Times New Roman" w:eastAsia="宋体" w:cs="Times New Roman"/>
                <w:color w:val="000000" w:themeColor="text1"/>
                <w:sz w:val="24"/>
                <w:highlight w:val="none"/>
                <w:lang w:val="zh-CN" w:eastAsia="zh-CN"/>
              </w:rPr>
              <w:t>，</w:t>
            </w:r>
            <w:r>
              <w:rPr>
                <w:rFonts w:hint="eastAsia" w:ascii="Times New Roman" w:hAnsi="Times New Roman" w:eastAsia="宋体" w:cs="Times New Roman"/>
                <w:color w:val="000000" w:themeColor="text1"/>
                <w:sz w:val="24"/>
                <w:highlight w:val="none"/>
                <w:lang w:val="en-US" w:eastAsia="zh-CN"/>
              </w:rPr>
              <w:t>建设</w:t>
            </w:r>
            <w:r>
              <w:rPr>
                <w:rFonts w:hint="eastAsia"/>
                <w:color w:val="000000" w:themeColor="text1"/>
                <w:sz w:val="24"/>
                <w:highlight w:val="none"/>
                <w:lang w:val="en-US" w:eastAsia="zh-CN"/>
              </w:rPr>
              <w:t>年产5000吨导电炭黑项目</w:t>
            </w:r>
            <w:r>
              <w:rPr>
                <w:rFonts w:hint="eastAsia" w:ascii="Times New Roman" w:hAnsi="Times New Roman" w:eastAsia="宋体" w:cs="Times New Roman"/>
                <w:color w:val="000000" w:themeColor="text1"/>
                <w:sz w:val="24"/>
                <w:highlight w:val="none"/>
                <w:lang w:val="en-US" w:eastAsia="zh-CN"/>
              </w:rPr>
              <w:t>。2014年9月编制完成《江西雷亚特导电碳黑有限公司年产5000吨导电炭黑项目环境影响报告表》，于20015年1月13日获得原九江县环境保护局批复（九县环批字</w:t>
            </w:r>
            <w:r>
              <w:rPr>
                <w:rFonts w:hint="eastAsia" w:cs="Times New Roman"/>
                <w:color w:val="000000" w:themeColor="text1"/>
                <w:sz w:val="24"/>
                <w:highlight w:val="none"/>
                <w:lang w:val="en-US" w:eastAsia="zh-CN"/>
              </w:rPr>
              <w:t>〔2015〕2号</w:t>
            </w:r>
            <w:r>
              <w:rPr>
                <w:rFonts w:hint="eastAsia" w:ascii="Times New Roman" w:hAnsi="Times New Roman" w:eastAsia="宋体" w:cs="Times New Roman"/>
                <w:color w:val="000000" w:themeColor="text1"/>
                <w:sz w:val="24"/>
                <w:highlight w:val="none"/>
                <w:lang w:val="en-US" w:eastAsia="zh-CN"/>
              </w:rPr>
              <w:t>）；并于2017年6月19日获得原九江县环境保护局关于验收的批复（九县环验字</w:t>
            </w:r>
            <w:r>
              <w:rPr>
                <w:rFonts w:hint="default" w:ascii="Times New Roman" w:hAnsi="Times New Roman" w:eastAsia="宋体" w:cs="Times New Roman"/>
                <w:color w:val="000000" w:themeColor="text1"/>
                <w:sz w:val="24"/>
                <w:highlight w:val="none"/>
                <w:lang w:val="en-US" w:eastAsia="zh-CN"/>
              </w:rPr>
              <w:t>〔2017〕</w:t>
            </w:r>
            <w:r>
              <w:rPr>
                <w:rFonts w:hint="eastAsia" w:ascii="Times New Roman" w:hAnsi="Times New Roman" w:eastAsia="宋体" w:cs="Times New Roman"/>
                <w:color w:val="000000" w:themeColor="text1"/>
                <w:sz w:val="24"/>
                <w:highlight w:val="none"/>
                <w:lang w:val="en-US" w:eastAsia="zh-CN"/>
              </w:rPr>
              <w:t>17号）。江西雷亚特导电碳黑有限公</w:t>
            </w:r>
            <w:r>
              <w:rPr>
                <w:rFonts w:hint="eastAsia" w:cs="Times New Roman"/>
                <w:color w:val="000000" w:themeColor="text1"/>
                <w:sz w:val="24"/>
                <w:highlight w:val="none"/>
                <w:lang w:eastAsia="zh-CN"/>
              </w:rPr>
              <w:t>司</w:t>
            </w:r>
            <w:r>
              <w:rPr>
                <w:rFonts w:hint="eastAsia" w:ascii="Times New Roman" w:hAnsi="Times New Roman" w:eastAsia="宋体" w:cs="Times New Roman"/>
                <w:color w:val="000000" w:themeColor="text1"/>
                <w:sz w:val="24"/>
                <w:highlight w:val="none"/>
                <w:lang w:val="en-US" w:eastAsia="zh-CN"/>
              </w:rPr>
              <w:t>已于</w:t>
            </w:r>
            <w:r>
              <w:rPr>
                <w:rFonts w:hint="eastAsia" w:cs="Times New Roman"/>
                <w:color w:val="000000" w:themeColor="text1"/>
                <w:sz w:val="24"/>
                <w:highlight w:val="none"/>
                <w:lang w:val="en-US" w:eastAsia="zh-CN"/>
              </w:rPr>
              <w:t>2025年4月14日进行了</w:t>
            </w:r>
            <w:r>
              <w:rPr>
                <w:rFonts w:hint="eastAsia" w:ascii="Times New Roman" w:hAnsi="Times New Roman" w:eastAsia="宋体" w:cs="Times New Roman"/>
                <w:color w:val="000000" w:themeColor="text1"/>
                <w:sz w:val="24"/>
                <w:highlight w:val="none"/>
                <w:lang w:val="en-US" w:eastAsia="zh-CN"/>
              </w:rPr>
              <w:t>排污许可登记，登记编码为：91360421</w:t>
            </w:r>
            <w:r>
              <w:rPr>
                <w:rFonts w:hint="eastAsia" w:cs="Times New Roman"/>
                <w:color w:val="000000" w:themeColor="text1"/>
                <w:sz w:val="24"/>
                <w:highlight w:val="none"/>
                <w:lang w:val="en-US" w:eastAsia="zh-CN"/>
              </w:rPr>
              <w:t>3091847178001Q</w:t>
            </w:r>
            <w:r>
              <w:rPr>
                <w:rFonts w:hint="eastAsia" w:ascii="Times New Roman" w:hAnsi="Times New Roman" w:eastAsia="宋体" w:cs="Times New Roman"/>
                <w:color w:val="000000" w:themeColor="text1"/>
                <w:sz w:val="24"/>
                <w:highlight w:val="none"/>
                <w:lang w:val="en-US" w:eastAsia="zh-CN"/>
              </w:rPr>
              <w:t>。</w:t>
            </w:r>
            <w:r>
              <w:rPr>
                <w:rFonts w:hint="eastAsia" w:cs="Times New Roman"/>
                <w:color w:val="000000" w:themeColor="text1"/>
                <w:sz w:val="24"/>
                <w:highlight w:val="none"/>
                <w:lang w:val="en-US" w:eastAsia="zh-CN"/>
              </w:rPr>
              <w:t>江西雷亚特导电碳黑有限公司部分厂房已建好，部分设备已安装。</w:t>
            </w:r>
            <w:bookmarkStart w:id="4" w:name="_GoBack"/>
            <w:bookmarkEnd w:id="4"/>
          </w:p>
          <w:p w14:paraId="271C4174">
            <w:pPr>
              <w:widowControl/>
              <w:spacing w:line="360" w:lineRule="auto"/>
              <w:ind w:firstLine="480" w:firstLineChars="200"/>
              <w:jc w:val="both"/>
              <w:rPr>
                <w:rFonts w:hint="eastAsia" w:ascii="Times New Roman" w:hAnsi="Times New Roman" w:eastAsia="宋体" w:cs="Times New Roman"/>
                <w:color w:val="000000" w:themeColor="text1"/>
                <w:sz w:val="24"/>
                <w:highlight w:val="none"/>
                <w:lang w:val="en-US" w:eastAsia="zh-CN"/>
              </w:rPr>
            </w:pPr>
            <w:r>
              <w:rPr>
                <w:rFonts w:hint="eastAsia" w:ascii="Times New Roman" w:hAnsi="Times New Roman" w:eastAsia="宋体" w:cs="Times New Roman"/>
                <w:color w:val="000000" w:themeColor="text1"/>
                <w:sz w:val="24"/>
                <w:highlight w:val="none"/>
                <w:lang w:val="zh-CN" w:eastAsia="zh-CN"/>
              </w:rPr>
              <w:t>根据《中华人民共和国环境影响评价法》和《</w:t>
            </w:r>
            <w:r>
              <w:rPr>
                <w:rFonts w:hint="eastAsia" w:cs="Times New Roman"/>
                <w:color w:val="000000" w:themeColor="text1"/>
                <w:sz w:val="24"/>
                <w:highlight w:val="none"/>
                <w:lang w:val="zh-CN" w:eastAsia="zh-CN"/>
              </w:rPr>
              <w:t>建设项目环境保护管理条例》等</w:t>
            </w:r>
            <w:r>
              <w:rPr>
                <w:rFonts w:hint="eastAsia" w:ascii="Times New Roman" w:hAnsi="Times New Roman" w:eastAsia="宋体" w:cs="Times New Roman"/>
                <w:color w:val="000000" w:themeColor="text1"/>
                <w:sz w:val="24"/>
                <w:highlight w:val="none"/>
                <w:lang w:val="zh-CN" w:eastAsia="zh-CN"/>
              </w:rPr>
              <w:t>有关规定，建设项目必须实行环境影响评价制度。按照《建设项目环境影响评价分类管理名录》</w:t>
            </w:r>
            <w:r>
              <w:rPr>
                <w:rFonts w:hint="eastAsia" w:ascii="Times New Roman" w:hAnsi="Times New Roman" w:eastAsia="宋体" w:cs="Times New Roman"/>
                <w:color w:val="000000" w:themeColor="text1"/>
                <w:sz w:val="24"/>
                <w:highlight w:val="none"/>
                <w:lang w:val="en-US" w:eastAsia="zh-CN"/>
              </w:rPr>
              <w:t xml:space="preserve">（2021版），本项目属于“二十六、橡胶和塑料制品业 29 </w:t>
            </w:r>
            <w:r>
              <w:rPr>
                <w:rFonts w:hint="default" w:ascii="Times New Roman" w:hAnsi="Times New Roman" w:eastAsia="宋体" w:cs="Times New Roman"/>
                <w:color w:val="000000" w:themeColor="text1"/>
                <w:sz w:val="24"/>
                <w:highlight w:val="none"/>
                <w:lang w:val="en-US" w:eastAsia="zh-CN"/>
              </w:rPr>
              <w:t xml:space="preserve"> 塑料制品业292</w:t>
            </w:r>
            <w:r>
              <w:rPr>
                <w:rFonts w:hint="eastAsia" w:ascii="Times New Roman" w:hAnsi="Times New Roman" w:eastAsia="宋体" w:cs="Times New Roman"/>
                <w:color w:val="000000" w:themeColor="text1"/>
                <w:sz w:val="24"/>
                <w:highlight w:val="none"/>
                <w:lang w:val="en-US" w:eastAsia="zh-CN"/>
              </w:rPr>
              <w:t>；三十九、废弃资源综合利用业 42  非金属废料和碎屑加工处理 422</w:t>
            </w:r>
            <w:r>
              <w:rPr>
                <w:rFonts w:hint="default" w:ascii="Times New Roman" w:hAnsi="Times New Roman" w:eastAsia="宋体" w:cs="Times New Roman"/>
                <w:color w:val="000000" w:themeColor="text1"/>
                <w:sz w:val="24"/>
                <w:highlight w:val="none"/>
                <w:lang w:val="en-US" w:eastAsia="zh-CN"/>
              </w:rPr>
              <w:t>”的编制环境影响报告表</w:t>
            </w:r>
            <w:r>
              <w:rPr>
                <w:rFonts w:hint="eastAsia" w:ascii="Times New Roman" w:hAnsi="Times New Roman" w:eastAsia="宋体" w:cs="Times New Roman"/>
                <w:color w:val="000000" w:themeColor="text1"/>
                <w:sz w:val="24"/>
                <w:highlight w:val="none"/>
                <w:lang w:val="en-US" w:eastAsia="zh-CN"/>
              </w:rPr>
              <w:t>项目。</w:t>
            </w:r>
          </w:p>
          <w:p w14:paraId="63BB70C6">
            <w:pPr>
              <w:widowControl/>
              <w:spacing w:line="360" w:lineRule="auto"/>
              <w:ind w:firstLine="480" w:firstLineChars="200"/>
              <w:jc w:val="both"/>
              <w:rPr>
                <w:color w:val="000000" w:themeColor="text1"/>
                <w:sz w:val="24"/>
                <w:highlight w:val="none"/>
              </w:rPr>
            </w:pPr>
            <w:r>
              <w:rPr>
                <w:rFonts w:hint="eastAsia" w:ascii="Times New Roman" w:hAnsi="Times New Roman" w:eastAsia="宋体" w:cs="Times New Roman"/>
                <w:color w:val="000000" w:themeColor="text1"/>
                <w:sz w:val="24"/>
                <w:highlight w:val="none"/>
                <w:lang w:val="en-US" w:eastAsia="zh-CN"/>
              </w:rPr>
              <w:t>因此，</w:t>
            </w:r>
            <w:r>
              <w:rPr>
                <w:rFonts w:hint="eastAsia" w:cs="Times New Roman"/>
                <w:color w:val="000000" w:themeColor="text1"/>
                <w:sz w:val="24"/>
                <w:highlight w:val="none"/>
                <w:lang w:val="en-US" w:eastAsia="zh-CN"/>
              </w:rPr>
              <w:t>江西雷亚特导电碳黑有限公司</w:t>
            </w:r>
            <w:r>
              <w:rPr>
                <w:rFonts w:hint="eastAsia" w:ascii="Times New Roman" w:hAnsi="Times New Roman" w:eastAsia="宋体" w:cs="Times New Roman"/>
                <w:color w:val="000000" w:themeColor="text1"/>
                <w:sz w:val="24"/>
                <w:highlight w:val="none"/>
                <w:lang w:val="en-US" w:eastAsia="zh-CN"/>
              </w:rPr>
              <w:t>特委托江西和</w:t>
            </w:r>
            <w:r>
              <w:rPr>
                <w:rFonts w:hint="eastAsia"/>
                <w:color w:val="000000" w:themeColor="text1"/>
                <w:sz w:val="24"/>
                <w:highlight w:val="none"/>
              </w:rPr>
              <w:t>正环保科技有限公司承担该项目环境影响报告表的编制工作。</w:t>
            </w:r>
            <w:r>
              <w:rPr>
                <w:color w:val="000000" w:themeColor="text1"/>
                <w:sz w:val="24"/>
                <w:highlight w:val="none"/>
              </w:rPr>
              <w:t>我公司接受委托后，立即组织技术人员到项目所在地及周围进行了实地调查与踏勘，详细了解与收集本项目的有关资料，并对本项目的环境现状和可能造成的环境影响进行分析后，依据</w:t>
            </w:r>
            <w:r>
              <w:rPr>
                <w:rFonts w:hint="eastAsia"/>
                <w:color w:val="000000" w:themeColor="text1"/>
                <w:sz w:val="24"/>
                <w:highlight w:val="none"/>
              </w:rPr>
              <w:t>《建设项目环境影响报告表编制技术指南（污染影响类）（试行）》</w:t>
            </w:r>
            <w:r>
              <w:rPr>
                <w:color w:val="000000" w:themeColor="text1"/>
                <w:sz w:val="24"/>
                <w:highlight w:val="none"/>
              </w:rPr>
              <w:t>及有关规范要求，编制了本项目环境影响报告表，以供管理部门决策参考。</w:t>
            </w:r>
          </w:p>
          <w:p w14:paraId="33B05B3D">
            <w:pPr>
              <w:keepNext w:val="0"/>
              <w:keepLines w:val="0"/>
              <w:pageBreakBefore w:val="0"/>
              <w:widowControl w:val="0"/>
              <w:numPr>
                <w:ilvl w:val="0"/>
                <w:numId w:val="4"/>
              </w:numPr>
              <w:kinsoku/>
              <w:wordWrap/>
              <w:overflowPunct/>
              <w:topLinePunct w:val="0"/>
              <w:autoSpaceDE w:val="0"/>
              <w:autoSpaceDN w:val="0"/>
              <w:bidi w:val="0"/>
              <w:adjustRightInd w:val="0"/>
              <w:snapToGrid w:val="0"/>
              <w:spacing w:line="360" w:lineRule="auto"/>
              <w:ind w:firstLine="482"/>
              <w:textAlignment w:val="auto"/>
              <w:rPr>
                <w:rFonts w:hint="eastAsia"/>
                <w:b/>
                <w:bCs/>
                <w:color w:val="000000" w:themeColor="text1"/>
                <w:sz w:val="24"/>
                <w:highlight w:val="none"/>
              </w:rPr>
            </w:pPr>
            <w:r>
              <w:rPr>
                <w:rFonts w:hint="eastAsia"/>
                <w:b/>
                <w:bCs/>
                <w:color w:val="000000" w:themeColor="text1"/>
                <w:sz w:val="24"/>
                <w:highlight w:val="none"/>
              </w:rPr>
              <w:t>建设地点及周围概况</w:t>
            </w:r>
          </w:p>
          <w:p w14:paraId="6482BCEF">
            <w:pPr>
              <w:adjustRightInd w:val="0"/>
              <w:snapToGrid w:val="0"/>
              <w:spacing w:line="360" w:lineRule="auto"/>
              <w:ind w:firstLine="480" w:firstLineChars="200"/>
              <w:jc w:val="left"/>
              <w:rPr>
                <w:color w:val="000000" w:themeColor="text1"/>
                <w:sz w:val="24"/>
                <w:highlight w:val="none"/>
              </w:rPr>
            </w:pPr>
            <w:r>
              <w:rPr>
                <w:color w:val="000000" w:themeColor="text1"/>
                <w:sz w:val="24"/>
                <w:highlight w:val="none"/>
              </w:rPr>
              <w:t>项目建设地点位于</w:t>
            </w:r>
            <w:r>
              <w:rPr>
                <w:rFonts w:hint="eastAsia" w:ascii="Times New Roman" w:hAnsi="Times New Roman" w:eastAsia="宋体" w:cs="Times New Roman"/>
                <w:color w:val="000000" w:themeColor="text1"/>
                <w:sz w:val="24"/>
                <w:highlight w:val="none"/>
              </w:rPr>
              <w:t>江西省九江市柴桑区</w:t>
            </w:r>
            <w:r>
              <w:rPr>
                <w:rFonts w:hint="eastAsia" w:cs="Times New Roman"/>
                <w:color w:val="000000" w:themeColor="text1"/>
                <w:sz w:val="24"/>
                <w:highlight w:val="none"/>
                <w:lang w:val="en-US" w:eastAsia="zh-CN"/>
              </w:rPr>
              <w:t>赤湖</w:t>
            </w:r>
            <w:r>
              <w:rPr>
                <w:rFonts w:hint="eastAsia" w:ascii="Times New Roman" w:hAnsi="Times New Roman" w:eastAsia="宋体" w:cs="Times New Roman"/>
                <w:color w:val="000000" w:themeColor="text1"/>
                <w:sz w:val="24"/>
                <w:highlight w:val="none"/>
              </w:rPr>
              <w:t>工业园</w:t>
            </w:r>
            <w:r>
              <w:rPr>
                <w:rFonts w:hint="eastAsia" w:cs="Times New Roman"/>
                <w:color w:val="000000" w:themeColor="text1"/>
                <w:sz w:val="24"/>
                <w:highlight w:val="none"/>
                <w:lang w:val="en-US" w:eastAsia="zh-CN"/>
              </w:rPr>
              <w:t>兴业大道以南、通江东路以东</w:t>
            </w:r>
            <w:r>
              <w:rPr>
                <w:rFonts w:hint="eastAsia"/>
                <w:color w:val="000000" w:themeColor="text1"/>
                <w:sz w:val="24"/>
                <w:highlight w:val="none"/>
              </w:rPr>
              <w:t>，</w:t>
            </w:r>
            <w:r>
              <w:rPr>
                <w:color w:val="000000" w:themeColor="text1"/>
                <w:sz w:val="24"/>
                <w:highlight w:val="none"/>
              </w:rPr>
              <w:t>中心地理坐标为</w:t>
            </w:r>
            <w:r>
              <w:rPr>
                <w:rFonts w:hint="eastAsia" w:cs="Times New Roman"/>
                <w:color w:val="000000" w:themeColor="text1"/>
                <w:sz w:val="24"/>
                <w:szCs w:val="24"/>
                <w:lang w:eastAsia="zh-CN"/>
              </w:rPr>
              <w:t>E115°44'55.135"N29°46'36.516"</w:t>
            </w:r>
            <w:r>
              <w:rPr>
                <w:color w:val="000000" w:themeColor="text1"/>
                <w:sz w:val="24"/>
                <w:highlight w:val="none"/>
              </w:rPr>
              <w:t>。厂区东面为</w:t>
            </w:r>
            <w:r>
              <w:rPr>
                <w:rFonts w:hint="eastAsia"/>
                <w:color w:val="000000" w:themeColor="text1"/>
                <w:sz w:val="24"/>
                <w:highlight w:val="none"/>
                <w:lang w:val="en-US" w:eastAsia="zh-CN"/>
              </w:rPr>
              <w:t>江西国孚润滑油工业有限公司生产区</w:t>
            </w:r>
            <w:r>
              <w:rPr>
                <w:color w:val="000000" w:themeColor="text1"/>
                <w:sz w:val="24"/>
                <w:highlight w:val="none"/>
              </w:rPr>
              <w:t>，南面为</w:t>
            </w:r>
            <w:r>
              <w:rPr>
                <w:rFonts w:hint="eastAsia"/>
                <w:color w:val="000000" w:themeColor="text1"/>
                <w:sz w:val="24"/>
                <w:highlight w:val="none"/>
                <w:lang w:val="en-US" w:eastAsia="zh-CN"/>
              </w:rPr>
              <w:t>江西国孚润滑油工业有限公司办公区</w:t>
            </w:r>
            <w:r>
              <w:rPr>
                <w:color w:val="000000" w:themeColor="text1"/>
                <w:sz w:val="24"/>
                <w:highlight w:val="none"/>
              </w:rPr>
              <w:t>，西面</w:t>
            </w:r>
            <w:r>
              <w:rPr>
                <w:rFonts w:ascii="Times New Roman" w:hAnsi="Times New Roman" w:eastAsia="宋体" w:cs="Times New Roman"/>
                <w:color w:val="000000" w:themeColor="text1"/>
                <w:sz w:val="24"/>
                <w:highlight w:val="none"/>
              </w:rPr>
              <w:t>为</w:t>
            </w:r>
            <w:r>
              <w:rPr>
                <w:rFonts w:hint="default" w:ascii="Times New Roman" w:hAnsi="Times New Roman" w:eastAsia="宋体" w:cs="Times New Roman"/>
                <w:color w:val="000000" w:themeColor="text1"/>
                <w:sz w:val="24"/>
                <w:highlight w:val="none"/>
              </w:rPr>
              <w:t>江西浙商皮革有限公司</w:t>
            </w:r>
            <w:r>
              <w:rPr>
                <w:rFonts w:hint="eastAsia" w:ascii="Times New Roman" w:hAnsi="Times New Roman" w:eastAsia="宋体" w:cs="Times New Roman"/>
                <w:color w:val="000000" w:themeColor="text1"/>
                <w:sz w:val="24"/>
                <w:highlight w:val="none"/>
                <w:lang w:eastAsia="zh-CN"/>
              </w:rPr>
              <w:t>（</w:t>
            </w:r>
            <w:r>
              <w:rPr>
                <w:rFonts w:hint="eastAsia" w:ascii="Times New Roman" w:hAnsi="Times New Roman" w:eastAsia="宋体" w:cs="Times New Roman"/>
                <w:color w:val="000000" w:themeColor="text1"/>
                <w:sz w:val="24"/>
                <w:highlight w:val="none"/>
                <w:lang w:val="en-US" w:eastAsia="zh-CN"/>
              </w:rPr>
              <w:t>已停产</w:t>
            </w:r>
            <w:r>
              <w:rPr>
                <w:rFonts w:hint="eastAsia" w:ascii="Times New Roman" w:hAnsi="Times New Roman" w:eastAsia="宋体" w:cs="Times New Roman"/>
                <w:color w:val="000000" w:themeColor="text1"/>
                <w:sz w:val="24"/>
                <w:highlight w:val="none"/>
                <w:lang w:eastAsia="zh-CN"/>
              </w:rPr>
              <w:t>）</w:t>
            </w:r>
            <w:r>
              <w:rPr>
                <w:color w:val="000000" w:themeColor="text1"/>
                <w:sz w:val="24"/>
                <w:highlight w:val="none"/>
              </w:rPr>
              <w:t>，北面为</w:t>
            </w:r>
            <w:r>
              <w:rPr>
                <w:rFonts w:hint="eastAsia" w:hAnsi="宋体"/>
                <w:snapToGrid w:val="0"/>
                <w:color w:val="000000" w:themeColor="text1"/>
                <w:sz w:val="24"/>
                <w:lang w:val="en-US" w:eastAsia="zh-CN"/>
              </w:rPr>
              <w:t>空地</w:t>
            </w:r>
            <w:r>
              <w:rPr>
                <w:color w:val="000000" w:themeColor="text1"/>
                <w:sz w:val="24"/>
                <w:highlight w:val="none"/>
              </w:rPr>
              <w:t>。</w:t>
            </w:r>
          </w:p>
          <w:p w14:paraId="2C12366C">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3、项目建设内容及规模</w:t>
            </w:r>
          </w:p>
          <w:p w14:paraId="7328954C">
            <w:pPr>
              <w:adjustRightInd w:val="0"/>
              <w:snapToGrid w:val="0"/>
              <w:ind w:firstLine="480"/>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w:t>
            </w:r>
            <w:r>
              <w:rPr>
                <w:rFonts w:hint="eastAsia" w:cs="Times New Roman"/>
                <w:color w:val="000000" w:themeColor="text1"/>
                <w:lang w:val="en-US" w:eastAsia="zh-CN"/>
              </w:rPr>
              <w:t>扩建</w:t>
            </w:r>
            <w:r>
              <w:rPr>
                <w:rFonts w:hint="default" w:ascii="Times New Roman" w:hAnsi="Times New Roman" w:eastAsia="宋体" w:cs="Times New Roman"/>
                <w:color w:val="000000" w:themeColor="text1"/>
              </w:rPr>
              <w:t>后全厂总占地面积</w:t>
            </w:r>
            <w:r>
              <w:rPr>
                <w:rFonts w:hint="eastAsia" w:cs="Times New Roman"/>
                <w:color w:val="000000" w:themeColor="text1"/>
                <w:lang w:val="en-US" w:eastAsia="zh-CN"/>
              </w:rPr>
              <w:t>不变</w:t>
            </w:r>
            <w:r>
              <w:rPr>
                <w:rFonts w:hint="default" w:ascii="Times New Roman" w:hAnsi="Times New Roman" w:eastAsia="宋体" w:cs="Times New Roman"/>
                <w:color w:val="000000" w:themeColor="text1"/>
              </w:rPr>
              <w:t>。</w:t>
            </w:r>
          </w:p>
          <w:p w14:paraId="1B09C3DE">
            <w:pPr>
              <w:adjustRightInd w:val="0"/>
              <w:snapToGrid w:val="0"/>
              <w:ind w:firstLine="480"/>
              <w:jc w:val="left"/>
              <w:rPr>
                <w:rFonts w:ascii="Times New Roman" w:hAnsi="Times New Roman" w:eastAsia="宋体" w:cs="Times New Roman"/>
                <w:color w:val="000000" w:themeColor="text1"/>
                <w:highlight w:val="none"/>
              </w:rPr>
            </w:pPr>
            <w:r>
              <w:rPr>
                <w:rFonts w:hint="default" w:ascii="Times New Roman" w:hAnsi="Times New Roman" w:eastAsia="宋体" w:cs="Times New Roman"/>
                <w:color w:val="000000" w:themeColor="text1"/>
              </w:rPr>
              <w:t>①项目</w:t>
            </w:r>
            <w:r>
              <w:rPr>
                <w:rFonts w:hint="eastAsia" w:cs="Times New Roman"/>
                <w:color w:val="000000" w:themeColor="text1"/>
                <w:lang w:val="en-US" w:eastAsia="zh-CN"/>
              </w:rPr>
              <w:t>扩建</w:t>
            </w:r>
            <w:r>
              <w:rPr>
                <w:rFonts w:hint="default" w:ascii="Times New Roman" w:hAnsi="Times New Roman" w:eastAsia="宋体" w:cs="Times New Roman"/>
                <w:color w:val="000000" w:themeColor="text1"/>
              </w:rPr>
              <w:t>前后主要产品产能等具体情况</w:t>
            </w:r>
            <w:r>
              <w:rPr>
                <w:rFonts w:hint="eastAsia" w:cs="Times New Roman"/>
                <w:color w:val="000000" w:themeColor="text1"/>
                <w:lang w:val="en-US" w:eastAsia="zh-CN"/>
              </w:rPr>
              <w:t>如下</w:t>
            </w:r>
            <w:r>
              <w:rPr>
                <w:rFonts w:hint="default" w:ascii="Times New Roman" w:hAnsi="Times New Roman" w:eastAsia="宋体" w:cs="Times New Roman"/>
                <w:color w:val="000000" w:themeColor="text1"/>
              </w:rPr>
              <w:t>：</w:t>
            </w:r>
          </w:p>
          <w:p w14:paraId="202A6A3C">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1</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扩建</w:t>
            </w:r>
            <w:r>
              <w:rPr>
                <w:rFonts w:hint="default" w:ascii="Times New Roman" w:hAnsi="Times New Roman" w:eastAsia="宋体" w:cs="Times New Roman"/>
                <w:b/>
                <w:bCs/>
                <w:color w:val="000000" w:themeColor="text1"/>
                <w:sz w:val="21"/>
                <w:szCs w:val="21"/>
              </w:rPr>
              <w:t>项目主要产品产能一览表</w:t>
            </w:r>
          </w:p>
          <w:tbl>
            <w:tblPr>
              <w:tblStyle w:val="33"/>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338"/>
              <w:gridCol w:w="3511"/>
              <w:gridCol w:w="1282"/>
            </w:tblGrid>
            <w:tr w14:paraId="141B0C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21" w:type="pct"/>
                  <w:noWrap w:val="0"/>
                  <w:vAlign w:val="center"/>
                </w:tcPr>
                <w:p w14:paraId="6AD3A4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产品名称</w:t>
                  </w:r>
                </w:p>
              </w:tc>
              <w:tc>
                <w:tcPr>
                  <w:tcW w:w="846" w:type="pct"/>
                  <w:noWrap w:val="0"/>
                  <w:vAlign w:val="center"/>
                </w:tcPr>
                <w:p w14:paraId="3E1E43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lang w:val="en-US" w:eastAsia="zh-CN"/>
                    </w:rPr>
                    <w:t>产能</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2220" w:type="pct"/>
                  <w:noWrap w:val="0"/>
                  <w:vAlign w:val="center"/>
                </w:tcPr>
                <w:p w14:paraId="488CF8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质量标准</w:t>
                  </w:r>
                </w:p>
              </w:tc>
              <w:tc>
                <w:tcPr>
                  <w:tcW w:w="811" w:type="pct"/>
                  <w:noWrap w:val="0"/>
                  <w:vAlign w:val="center"/>
                </w:tcPr>
                <w:p w14:paraId="39FC19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523AE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121" w:type="pct"/>
                  <w:noWrap w:val="0"/>
                  <w:vAlign w:val="center"/>
                </w:tcPr>
                <w:p w14:paraId="4FD32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塑料母粒</w:t>
                  </w:r>
                </w:p>
              </w:tc>
              <w:tc>
                <w:tcPr>
                  <w:tcW w:w="846" w:type="pct"/>
                  <w:noWrap w:val="0"/>
                  <w:vAlign w:val="center"/>
                </w:tcPr>
                <w:p w14:paraId="525A7E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1500</w:t>
                  </w:r>
                </w:p>
              </w:tc>
              <w:tc>
                <w:tcPr>
                  <w:tcW w:w="2220" w:type="pct"/>
                  <w:noWrap w:val="0"/>
                  <w:vAlign w:val="center"/>
                </w:tcPr>
                <w:p w14:paraId="28C02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《塑料色母粒通用技术条件》（GB/T 22296-2020）</w:t>
                  </w:r>
                </w:p>
              </w:tc>
              <w:tc>
                <w:tcPr>
                  <w:tcW w:w="811" w:type="pct"/>
                  <w:noWrap w:val="0"/>
                  <w:vAlign w:val="center"/>
                </w:tcPr>
                <w:p w14:paraId="62BE7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外售</w:t>
                  </w:r>
                </w:p>
              </w:tc>
            </w:tr>
          </w:tbl>
          <w:p w14:paraId="182F7579">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rPr>
            </w:pPr>
          </w:p>
          <w:p w14:paraId="3C82DF03">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 xml:space="preserve"> 项目</w:t>
            </w:r>
            <w:r>
              <w:rPr>
                <w:rFonts w:hint="eastAsia" w:cs="Times New Roman"/>
                <w:b/>
                <w:bCs/>
                <w:color w:val="000000" w:themeColor="text1"/>
                <w:sz w:val="21"/>
                <w:szCs w:val="21"/>
                <w:lang w:val="en-US" w:eastAsia="zh-CN"/>
              </w:rPr>
              <w:t>扩建前后</w:t>
            </w:r>
            <w:r>
              <w:rPr>
                <w:rFonts w:hint="default" w:ascii="Times New Roman" w:hAnsi="Times New Roman" w:eastAsia="宋体" w:cs="Times New Roman"/>
                <w:b/>
                <w:bCs/>
                <w:color w:val="000000" w:themeColor="text1"/>
                <w:sz w:val="21"/>
                <w:szCs w:val="21"/>
              </w:rPr>
              <w:t>主要产品产能变化一览表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611"/>
              <w:gridCol w:w="1120"/>
              <w:gridCol w:w="1550"/>
              <w:gridCol w:w="933"/>
              <w:gridCol w:w="1432"/>
            </w:tblGrid>
            <w:tr w14:paraId="222F0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830" w:type="pct"/>
                  <w:noWrap w:val="0"/>
                  <w:vAlign w:val="center"/>
                </w:tcPr>
                <w:p w14:paraId="2788E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产品名称</w:t>
                  </w:r>
                </w:p>
              </w:tc>
              <w:tc>
                <w:tcPr>
                  <w:tcW w:w="1010" w:type="pct"/>
                  <w:noWrap w:val="0"/>
                  <w:vAlign w:val="center"/>
                </w:tcPr>
                <w:p w14:paraId="3A98B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lang w:val="en-US" w:eastAsia="zh-CN"/>
                    </w:rPr>
                    <w:t>扩建</w:t>
                  </w:r>
                  <w:r>
                    <w:rPr>
                      <w:rFonts w:hint="eastAsia"/>
                      <w:b/>
                      <w:bCs/>
                      <w:color w:val="000000" w:themeColor="text1"/>
                      <w:sz w:val="21"/>
                      <w:szCs w:val="21"/>
                      <w:highlight w:val="none"/>
                    </w:rPr>
                    <w:t>前</w:t>
                  </w:r>
                </w:p>
                <w:p w14:paraId="0CD177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产量</w:t>
                  </w:r>
                </w:p>
                <w:p w14:paraId="797789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000000" w:themeColor="text1"/>
                      <w:sz w:val="21"/>
                      <w:szCs w:val="21"/>
                      <w:highlight w:val="none"/>
                      <w:lang w:val="en-US" w:eastAsia="zh-CN"/>
                    </w:rPr>
                  </w:pP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p>
              </w:tc>
              <w:tc>
                <w:tcPr>
                  <w:tcW w:w="702" w:type="pct"/>
                  <w:noWrap w:val="0"/>
                  <w:vAlign w:val="center"/>
                </w:tcPr>
                <w:p w14:paraId="384174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扩建项目</w:t>
                  </w:r>
                </w:p>
                <w:p w14:paraId="10EE5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lang w:val="en-US" w:eastAsia="zh-CN"/>
                    </w:rPr>
                    <w:t>目</w:t>
                  </w:r>
                  <w:r>
                    <w:rPr>
                      <w:rFonts w:hint="eastAsia"/>
                      <w:b/>
                      <w:bCs/>
                      <w:color w:val="000000" w:themeColor="text1"/>
                      <w:sz w:val="21"/>
                      <w:szCs w:val="21"/>
                      <w:highlight w:val="none"/>
                    </w:rPr>
                    <w:t>产量</w:t>
                  </w:r>
                </w:p>
                <w:p w14:paraId="4EA7A3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p>
              </w:tc>
              <w:tc>
                <w:tcPr>
                  <w:tcW w:w="972" w:type="pct"/>
                  <w:noWrap w:val="0"/>
                  <w:vAlign w:val="center"/>
                </w:tcPr>
                <w:p w14:paraId="7D6F7D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lang w:val="en-US" w:eastAsia="zh-CN"/>
                    </w:rPr>
                    <w:t>扩建</w:t>
                  </w:r>
                  <w:r>
                    <w:rPr>
                      <w:rFonts w:hint="eastAsia"/>
                      <w:b/>
                      <w:bCs/>
                      <w:color w:val="000000" w:themeColor="text1"/>
                      <w:sz w:val="21"/>
                      <w:szCs w:val="21"/>
                      <w:highlight w:val="none"/>
                    </w:rPr>
                    <w:t>后</w:t>
                  </w:r>
                </w:p>
                <w:p w14:paraId="17F144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总产量</w:t>
                  </w:r>
                </w:p>
                <w:p w14:paraId="05898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p>
              </w:tc>
              <w:tc>
                <w:tcPr>
                  <w:tcW w:w="585" w:type="pct"/>
                  <w:noWrap w:val="0"/>
                  <w:vAlign w:val="center"/>
                </w:tcPr>
                <w:p w14:paraId="2AD17D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增减量（t/a）</w:t>
                  </w:r>
                </w:p>
              </w:tc>
              <w:tc>
                <w:tcPr>
                  <w:tcW w:w="898" w:type="pct"/>
                  <w:noWrap w:val="0"/>
                  <w:vAlign w:val="center"/>
                </w:tcPr>
                <w:p w14:paraId="33DDA6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2D720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30" w:type="pct"/>
                  <w:noWrap w:val="0"/>
                  <w:vAlign w:val="center"/>
                </w:tcPr>
                <w:p w14:paraId="4F90F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导电炭黑</w:t>
                  </w:r>
                </w:p>
              </w:tc>
              <w:tc>
                <w:tcPr>
                  <w:tcW w:w="1010" w:type="pct"/>
                  <w:noWrap w:val="0"/>
                  <w:vAlign w:val="center"/>
                </w:tcPr>
                <w:p w14:paraId="5C3243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5000</w:t>
                  </w:r>
                </w:p>
              </w:tc>
              <w:tc>
                <w:tcPr>
                  <w:tcW w:w="702" w:type="pct"/>
                  <w:noWrap w:val="0"/>
                  <w:vAlign w:val="center"/>
                </w:tcPr>
                <w:p w14:paraId="0CEB9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972" w:type="pct"/>
                  <w:noWrap w:val="0"/>
                  <w:vAlign w:val="center"/>
                </w:tcPr>
                <w:p w14:paraId="24B63C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5000</w:t>
                  </w:r>
                </w:p>
              </w:tc>
              <w:tc>
                <w:tcPr>
                  <w:tcW w:w="585" w:type="pct"/>
                  <w:noWrap w:val="0"/>
                  <w:vAlign w:val="center"/>
                </w:tcPr>
                <w:p w14:paraId="7CF58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898" w:type="pct"/>
                  <w:noWrap w:val="0"/>
                  <w:vAlign w:val="center"/>
                </w:tcPr>
                <w:p w14:paraId="6A5FDF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外售</w:t>
                  </w:r>
                </w:p>
              </w:tc>
            </w:tr>
            <w:tr w14:paraId="5B7EB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30" w:type="pct"/>
                  <w:noWrap w:val="0"/>
                  <w:vAlign w:val="center"/>
                </w:tcPr>
                <w:p w14:paraId="48276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塑料母粒</w:t>
                  </w:r>
                </w:p>
              </w:tc>
              <w:tc>
                <w:tcPr>
                  <w:tcW w:w="1010" w:type="pct"/>
                  <w:noWrap w:val="0"/>
                  <w:vAlign w:val="center"/>
                </w:tcPr>
                <w:p w14:paraId="27237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702" w:type="pct"/>
                  <w:noWrap w:val="0"/>
                  <w:vAlign w:val="center"/>
                </w:tcPr>
                <w:p w14:paraId="22D187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1500</w:t>
                  </w:r>
                </w:p>
              </w:tc>
              <w:tc>
                <w:tcPr>
                  <w:tcW w:w="972" w:type="pct"/>
                  <w:noWrap w:val="0"/>
                  <w:vAlign w:val="center"/>
                </w:tcPr>
                <w:p w14:paraId="5CF958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1500</w:t>
                  </w:r>
                </w:p>
              </w:tc>
              <w:tc>
                <w:tcPr>
                  <w:tcW w:w="585" w:type="pct"/>
                  <w:noWrap w:val="0"/>
                  <w:vAlign w:val="center"/>
                </w:tcPr>
                <w:p w14:paraId="6BEE5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+1500</w:t>
                  </w:r>
                </w:p>
              </w:tc>
              <w:tc>
                <w:tcPr>
                  <w:tcW w:w="898" w:type="pct"/>
                  <w:noWrap w:val="0"/>
                  <w:vAlign w:val="center"/>
                </w:tcPr>
                <w:p w14:paraId="1EDE56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外售</w:t>
                  </w:r>
                </w:p>
              </w:tc>
            </w:tr>
          </w:tbl>
          <w:p w14:paraId="0183B037">
            <w:pPr>
              <w:ind w:firstLine="480"/>
              <w:rPr>
                <w:rFonts w:hint="default" w:ascii="Times New Roman" w:hAnsi="Times New Roman" w:cs="Times New Roman"/>
                <w:color w:val="000000" w:themeColor="text1"/>
                <w:sz w:val="24"/>
                <w:szCs w:val="24"/>
                <w:lang w:val="en-US" w:eastAsia="zh-CN"/>
              </w:rPr>
            </w:pPr>
            <w:r>
              <w:rPr>
                <w:rFonts w:hint="eastAsia" w:cs="Times New Roman"/>
                <w:color w:val="000000" w:themeColor="text1"/>
                <w:sz w:val="24"/>
                <w:szCs w:val="24"/>
                <w:lang w:val="en-US" w:eastAsia="zh-CN"/>
              </w:rPr>
              <w:t>本次扩建项目处理的炭黑为本项目的原料全部自用，不作为产品外售，不执行现有炭黑生产线炭黑产品的质量标准</w:t>
            </w:r>
            <w:r>
              <w:rPr>
                <w:rFonts w:hint="eastAsia" w:ascii="Times New Roman" w:hAnsi="Times New Roman" w:cs="Times New Roman"/>
                <w:color w:val="000000" w:themeColor="text1"/>
                <w:sz w:val="24"/>
                <w:szCs w:val="24"/>
                <w:lang w:val="en-US" w:eastAsia="zh-CN"/>
              </w:rPr>
              <w:t>《炭黑标准》（GB/T 3782-2016）。且本次扩建项目的原料炭黑不依托企业现有炭黑生产线，外购于</w:t>
            </w:r>
            <w:r>
              <w:rPr>
                <w:rFonts w:hint="eastAsia" w:ascii="Times New Roman" w:hAnsi="Times New Roman" w:cs="Times New Roman"/>
                <w:color w:val="000000" w:themeColor="text1"/>
                <w:sz w:val="24"/>
                <w:szCs w:val="24"/>
                <w:lang w:val="en-US" w:eastAsia="zh-CN"/>
              </w:rPr>
              <w:fldChar w:fldCharType="begin"/>
            </w:r>
            <w:r>
              <w:rPr>
                <w:rFonts w:hint="eastAsia" w:ascii="Times New Roman" w:hAnsi="Times New Roman" w:cs="Times New Roman"/>
                <w:color w:val="000000" w:themeColor="text1"/>
                <w:sz w:val="24"/>
                <w:szCs w:val="24"/>
                <w:lang w:val="en-US" w:eastAsia="zh-CN"/>
              </w:rPr>
              <w:instrText xml:space="preserve"> HYPERLINK "https://jukunchem.ypshop.net/" \o "吉林市吉化北方炬醌工贸有限责任公司" </w:instrText>
            </w:r>
            <w:r>
              <w:rPr>
                <w:rFonts w:hint="eastAsia" w:ascii="Times New Roman" w:hAnsi="Times New Roman" w:cs="Times New Roman"/>
                <w:color w:val="000000" w:themeColor="text1"/>
                <w:sz w:val="24"/>
                <w:szCs w:val="24"/>
                <w:lang w:val="en-US" w:eastAsia="zh-CN"/>
              </w:rPr>
              <w:fldChar w:fldCharType="separate"/>
            </w:r>
            <w:r>
              <w:rPr>
                <w:rFonts w:hint="eastAsia" w:cs="Times New Roman"/>
                <w:color w:val="000000" w:themeColor="text1"/>
                <w:sz w:val="24"/>
                <w:szCs w:val="24"/>
                <w:lang w:val="en-US" w:eastAsia="zh-CN"/>
              </w:rPr>
              <w:t>福建炼油化工有限公司</w:t>
            </w:r>
            <w:r>
              <w:rPr>
                <w:rFonts w:hint="eastAsia" w:ascii="Times New Roman" w:hAnsi="Times New Roman" w:cs="Times New Roman"/>
                <w:color w:val="000000" w:themeColor="text1"/>
                <w:sz w:val="24"/>
                <w:szCs w:val="24"/>
                <w:lang w:val="en-US" w:eastAsia="zh-CN"/>
              </w:rPr>
              <w:fldChar w:fldCharType="end"/>
            </w:r>
            <w:r>
              <w:rPr>
                <w:rFonts w:hint="eastAsia" w:ascii="Times New Roman" w:hAnsi="Times New Roman" w:cs="Times New Roman"/>
                <w:color w:val="000000" w:themeColor="text1"/>
                <w:sz w:val="24"/>
                <w:szCs w:val="24"/>
                <w:lang w:val="en-US" w:eastAsia="zh-CN"/>
              </w:rPr>
              <w:t>的一般固废（炭黑，含水率50%），自行处理后使用。</w:t>
            </w:r>
          </w:p>
          <w:p w14:paraId="5A670BD0">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②项目</w:t>
            </w:r>
            <w:r>
              <w:rPr>
                <w:rFonts w:hint="eastAsia" w:cs="Times New Roman"/>
                <w:color w:val="000000" w:themeColor="text1"/>
                <w:lang w:val="en-US" w:eastAsia="zh-CN"/>
              </w:rPr>
              <w:t>扩建前后</w:t>
            </w:r>
            <w:r>
              <w:rPr>
                <w:rFonts w:hint="default" w:ascii="Times New Roman" w:hAnsi="Times New Roman" w:eastAsia="宋体" w:cs="Times New Roman"/>
                <w:color w:val="000000" w:themeColor="text1"/>
              </w:rPr>
              <w:t>工程组成详见下表：</w:t>
            </w:r>
          </w:p>
          <w:p w14:paraId="03946B8A">
            <w:pPr>
              <w:tabs>
                <w:tab w:val="left" w:pos="0"/>
              </w:tabs>
              <w:spacing w:line="240" w:lineRule="auto"/>
              <w:ind w:left="482" w:leftChars="201" w:firstLine="2106" w:firstLineChars="999"/>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 xml:space="preserve"> 项目</w:t>
            </w:r>
            <w:r>
              <w:rPr>
                <w:rFonts w:hint="eastAsia" w:cs="Times New Roman"/>
                <w:b/>
                <w:bCs/>
                <w:color w:val="000000" w:themeColor="text1"/>
                <w:sz w:val="21"/>
                <w:szCs w:val="21"/>
                <w:lang w:val="en-US" w:eastAsia="zh-CN"/>
              </w:rPr>
              <w:t>扩建前后</w:t>
            </w:r>
            <w:r>
              <w:rPr>
                <w:rFonts w:hint="default" w:ascii="Times New Roman" w:hAnsi="Times New Roman" w:eastAsia="宋体" w:cs="Times New Roman"/>
                <w:b/>
                <w:bCs/>
                <w:color w:val="000000" w:themeColor="text1"/>
                <w:sz w:val="21"/>
                <w:szCs w:val="21"/>
              </w:rPr>
              <w:t>工程组成</w:t>
            </w:r>
          </w:p>
          <w:tbl>
            <w:tblPr>
              <w:tblStyle w:val="33"/>
              <w:tblW w:w="498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663"/>
              <w:gridCol w:w="1947"/>
              <w:gridCol w:w="2002"/>
              <w:gridCol w:w="1116"/>
              <w:gridCol w:w="1418"/>
            </w:tblGrid>
            <w:tr w14:paraId="26C6B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503" w:type="pct"/>
                  <w:vMerge w:val="restart"/>
                  <w:noWrap w:val="0"/>
                  <w:vAlign w:val="center"/>
                </w:tcPr>
                <w:p w14:paraId="265193C3">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工程类别</w:t>
                  </w:r>
                </w:p>
              </w:tc>
              <w:tc>
                <w:tcPr>
                  <w:tcW w:w="417" w:type="pct"/>
                  <w:vMerge w:val="restart"/>
                  <w:noWrap w:val="0"/>
                  <w:vAlign w:val="center"/>
                </w:tcPr>
                <w:p w14:paraId="35BA2C3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工程名称</w:t>
                  </w:r>
                </w:p>
              </w:tc>
              <w:tc>
                <w:tcPr>
                  <w:tcW w:w="2484" w:type="pct"/>
                  <w:gridSpan w:val="2"/>
                  <w:noWrap w:val="0"/>
                  <w:vAlign w:val="center"/>
                </w:tcPr>
                <w:p w14:paraId="75E9802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建设内容</w:t>
                  </w:r>
                </w:p>
              </w:tc>
              <w:tc>
                <w:tcPr>
                  <w:tcW w:w="702" w:type="pct"/>
                  <w:vMerge w:val="restart"/>
                  <w:noWrap w:val="0"/>
                  <w:vAlign w:val="center"/>
                </w:tcPr>
                <w:p w14:paraId="40D59C5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扩建后</w:t>
                  </w:r>
                </w:p>
                <w:p w14:paraId="4672A72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b/>
                      <w:bCs/>
                      <w:color w:val="000000" w:themeColor="text1"/>
                      <w:sz w:val="21"/>
                      <w:szCs w:val="21"/>
                      <w:highlight w:val="none"/>
                    </w:rPr>
                  </w:pPr>
                  <w:r>
                    <w:rPr>
                      <w:rFonts w:hint="eastAsia"/>
                      <w:b/>
                      <w:bCs/>
                      <w:color w:val="000000" w:themeColor="text1"/>
                      <w:sz w:val="21"/>
                      <w:szCs w:val="21"/>
                      <w:highlight w:val="none"/>
                    </w:rPr>
                    <w:t>规模</w:t>
                  </w:r>
                </w:p>
              </w:tc>
              <w:tc>
                <w:tcPr>
                  <w:tcW w:w="892" w:type="pct"/>
                  <w:vMerge w:val="restart"/>
                  <w:noWrap w:val="0"/>
                  <w:vAlign w:val="center"/>
                </w:tcPr>
                <w:p w14:paraId="07DBD09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备注</w:t>
                  </w:r>
                </w:p>
              </w:tc>
            </w:tr>
            <w:tr w14:paraId="0A0587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continue"/>
                  <w:noWrap w:val="0"/>
                  <w:vAlign w:val="center"/>
                </w:tcPr>
                <w:p w14:paraId="0A4E50A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p>
              </w:tc>
              <w:tc>
                <w:tcPr>
                  <w:tcW w:w="417" w:type="pct"/>
                  <w:vMerge w:val="continue"/>
                  <w:noWrap w:val="0"/>
                  <w:vAlign w:val="center"/>
                </w:tcPr>
                <w:p w14:paraId="1040404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p>
              </w:tc>
              <w:tc>
                <w:tcPr>
                  <w:tcW w:w="1225" w:type="pct"/>
                  <w:noWrap w:val="0"/>
                  <w:vAlign w:val="center"/>
                </w:tcPr>
                <w:p w14:paraId="77CEE10E">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b/>
                      <w:bCs/>
                      <w:color w:val="000000" w:themeColor="text1"/>
                      <w:sz w:val="21"/>
                      <w:szCs w:val="21"/>
                      <w:highlight w:val="none"/>
                      <w:lang w:val="en-US"/>
                    </w:rPr>
                  </w:pPr>
                  <w:r>
                    <w:rPr>
                      <w:rFonts w:hint="eastAsia"/>
                      <w:b/>
                      <w:bCs/>
                      <w:color w:val="000000" w:themeColor="text1"/>
                      <w:sz w:val="21"/>
                      <w:szCs w:val="21"/>
                      <w:highlight w:val="none"/>
                      <w:lang w:val="en-US" w:eastAsia="zh-CN"/>
                    </w:rPr>
                    <w:t>现有项目</w:t>
                  </w:r>
                </w:p>
              </w:tc>
              <w:tc>
                <w:tcPr>
                  <w:tcW w:w="1259" w:type="pct"/>
                  <w:noWrap w:val="0"/>
                  <w:vAlign w:val="center"/>
                </w:tcPr>
                <w:p w14:paraId="41A9EAE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扩建项目</w:t>
                  </w:r>
                </w:p>
              </w:tc>
              <w:tc>
                <w:tcPr>
                  <w:tcW w:w="702" w:type="pct"/>
                  <w:vMerge w:val="continue"/>
                  <w:noWrap w:val="0"/>
                  <w:vAlign w:val="center"/>
                </w:tcPr>
                <w:p w14:paraId="33E72D87">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b/>
                      <w:bCs/>
                      <w:color w:val="000000" w:themeColor="text1"/>
                      <w:sz w:val="21"/>
                      <w:szCs w:val="21"/>
                      <w:highlight w:val="none"/>
                    </w:rPr>
                  </w:pPr>
                </w:p>
              </w:tc>
              <w:tc>
                <w:tcPr>
                  <w:tcW w:w="892" w:type="pct"/>
                  <w:vMerge w:val="continue"/>
                  <w:noWrap w:val="0"/>
                  <w:vAlign w:val="center"/>
                </w:tcPr>
                <w:p w14:paraId="206F56B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b/>
                      <w:bCs/>
                      <w:color w:val="000000" w:themeColor="text1"/>
                      <w:sz w:val="21"/>
                      <w:szCs w:val="21"/>
                      <w:highlight w:val="none"/>
                    </w:rPr>
                  </w:pPr>
                </w:p>
              </w:tc>
            </w:tr>
            <w:tr w14:paraId="43B3D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pct"/>
                  <w:vMerge w:val="restart"/>
                  <w:noWrap w:val="0"/>
                  <w:vAlign w:val="center"/>
                </w:tcPr>
                <w:p w14:paraId="0CC5C12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主体工程</w:t>
                  </w:r>
                </w:p>
              </w:tc>
              <w:tc>
                <w:tcPr>
                  <w:tcW w:w="417" w:type="pct"/>
                  <w:noWrap w:val="0"/>
                  <w:vAlign w:val="center"/>
                </w:tcPr>
                <w:p w14:paraId="68A1EDA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1#厂房</w:t>
                  </w:r>
                </w:p>
              </w:tc>
              <w:tc>
                <w:tcPr>
                  <w:tcW w:w="1225" w:type="pct"/>
                  <w:noWrap w:val="0"/>
                  <w:vAlign w:val="center"/>
                </w:tcPr>
                <w:p w14:paraId="115E408F">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1F，15m，1836</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用于生产导电炭黑，年产5000t导电炭黑</w:t>
                  </w:r>
                </w:p>
              </w:tc>
              <w:tc>
                <w:tcPr>
                  <w:tcW w:w="1259" w:type="pct"/>
                  <w:noWrap w:val="0"/>
                  <w:vAlign w:val="center"/>
                </w:tcPr>
                <w:p w14:paraId="1A6C14F8">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不在此厂房扩建</w:t>
                  </w:r>
                </w:p>
              </w:tc>
              <w:tc>
                <w:tcPr>
                  <w:tcW w:w="702" w:type="pct"/>
                  <w:noWrap w:val="0"/>
                  <w:vAlign w:val="center"/>
                </w:tcPr>
                <w:p w14:paraId="2E60E9A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规模不变，年产</w:t>
                  </w:r>
                  <w:r>
                    <w:rPr>
                      <w:rFonts w:hint="eastAsia"/>
                      <w:color w:val="000000" w:themeColor="text1"/>
                      <w:sz w:val="21"/>
                      <w:szCs w:val="21"/>
                      <w:highlight w:val="none"/>
                      <w:vertAlign w:val="baseline"/>
                      <w:lang w:val="en-US" w:eastAsia="zh-CN"/>
                    </w:rPr>
                    <w:t>5000t导电炭黑</w:t>
                  </w:r>
                </w:p>
              </w:tc>
              <w:tc>
                <w:tcPr>
                  <w:tcW w:w="892" w:type="pct"/>
                  <w:noWrap w:val="0"/>
                  <w:vAlign w:val="center"/>
                </w:tcPr>
                <w:p w14:paraId="143ABCB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已建</w:t>
                  </w:r>
                </w:p>
              </w:tc>
            </w:tr>
            <w:tr w14:paraId="7CC67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3" w:type="pct"/>
                  <w:vMerge w:val="continue"/>
                  <w:noWrap w:val="0"/>
                  <w:vAlign w:val="center"/>
                </w:tcPr>
                <w:p w14:paraId="1AB52BE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417" w:type="pct"/>
                  <w:noWrap w:val="0"/>
                  <w:vAlign w:val="center"/>
                </w:tcPr>
                <w:p w14:paraId="7596FBD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4#厂房</w:t>
                  </w:r>
                </w:p>
              </w:tc>
              <w:tc>
                <w:tcPr>
                  <w:tcW w:w="1225" w:type="pct"/>
                  <w:noWrap w:val="0"/>
                  <w:vAlign w:val="center"/>
                </w:tcPr>
                <w:p w14:paraId="636072A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259" w:type="pct"/>
                  <w:noWrap w:val="0"/>
                  <w:vAlign w:val="center"/>
                </w:tcPr>
                <w:p w14:paraId="410D43E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1F，15m，980</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用于生产塑料母粒</w:t>
                  </w:r>
                </w:p>
              </w:tc>
              <w:tc>
                <w:tcPr>
                  <w:tcW w:w="702" w:type="pct"/>
                  <w:noWrap w:val="0"/>
                  <w:vAlign w:val="center"/>
                </w:tcPr>
                <w:p w14:paraId="25CE3C0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年产1500t塑料母粒</w:t>
                  </w:r>
                </w:p>
              </w:tc>
              <w:tc>
                <w:tcPr>
                  <w:tcW w:w="892" w:type="pct"/>
                  <w:noWrap w:val="0"/>
                  <w:vAlign w:val="center"/>
                </w:tcPr>
                <w:p w14:paraId="53D819C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新建</w:t>
                  </w:r>
                </w:p>
              </w:tc>
            </w:tr>
            <w:tr w14:paraId="154E6A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03" w:type="pct"/>
                  <w:vMerge w:val="continue"/>
                  <w:noWrap w:val="0"/>
                  <w:vAlign w:val="center"/>
                </w:tcPr>
                <w:p w14:paraId="319F71C7">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417" w:type="pct"/>
                  <w:noWrap w:val="0"/>
                  <w:vAlign w:val="center"/>
                </w:tcPr>
                <w:p w14:paraId="3812E4C5">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5</w:t>
                  </w:r>
                  <w:r>
                    <w:rPr>
                      <w:rFonts w:hint="eastAsia"/>
                      <w:color w:val="000000" w:themeColor="text1"/>
                      <w:sz w:val="21"/>
                      <w:szCs w:val="21"/>
                      <w:highlight w:val="none"/>
                    </w:rPr>
                    <w:t>#</w:t>
                  </w:r>
                  <w:r>
                    <w:rPr>
                      <w:rFonts w:hint="eastAsia"/>
                      <w:color w:val="000000" w:themeColor="text1"/>
                      <w:sz w:val="21"/>
                      <w:szCs w:val="21"/>
                      <w:highlight w:val="none"/>
                      <w:lang w:val="en-US" w:eastAsia="zh-CN"/>
                    </w:rPr>
                    <w:t>厂房</w:t>
                  </w:r>
                </w:p>
              </w:tc>
              <w:tc>
                <w:tcPr>
                  <w:tcW w:w="1225" w:type="pct"/>
                  <w:noWrap w:val="0"/>
                  <w:vAlign w:val="center"/>
                </w:tcPr>
                <w:p w14:paraId="7CC1ADA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lang w:val="en-US" w:eastAsia="zh-CN"/>
                    </w:rPr>
                    <w:t>/</w:t>
                  </w:r>
                </w:p>
              </w:tc>
              <w:tc>
                <w:tcPr>
                  <w:tcW w:w="1259" w:type="pct"/>
                  <w:noWrap w:val="0"/>
                  <w:vAlign w:val="center"/>
                </w:tcPr>
                <w:p w14:paraId="14727297">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lang w:val="en-US" w:eastAsia="zh-CN"/>
                    </w:rPr>
                    <w:t>1F，15m，1558</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用于处理塑料母粒原料炭黑</w:t>
                  </w:r>
                </w:p>
              </w:tc>
              <w:tc>
                <w:tcPr>
                  <w:tcW w:w="702" w:type="pct"/>
                  <w:noWrap w:val="0"/>
                  <w:vAlign w:val="center"/>
                </w:tcPr>
                <w:p w14:paraId="0BE4067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年处理1350t（含水）炭黑</w:t>
                  </w:r>
                </w:p>
              </w:tc>
              <w:tc>
                <w:tcPr>
                  <w:tcW w:w="892" w:type="pct"/>
                  <w:noWrap w:val="0"/>
                  <w:vAlign w:val="center"/>
                </w:tcPr>
                <w:p w14:paraId="145E2B6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新建</w:t>
                  </w:r>
                </w:p>
              </w:tc>
            </w:tr>
            <w:tr w14:paraId="4DCA8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restart"/>
                  <w:noWrap w:val="0"/>
                  <w:vAlign w:val="center"/>
                </w:tcPr>
                <w:p w14:paraId="7D2E4BD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存储工程</w:t>
                  </w:r>
                </w:p>
              </w:tc>
              <w:tc>
                <w:tcPr>
                  <w:tcW w:w="417" w:type="pct"/>
                  <w:noWrap w:val="0"/>
                  <w:vAlign w:val="center"/>
                </w:tcPr>
                <w:p w14:paraId="3D458C04">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2#厂房</w:t>
                  </w:r>
                </w:p>
              </w:tc>
              <w:tc>
                <w:tcPr>
                  <w:tcW w:w="1225" w:type="pct"/>
                  <w:noWrap w:val="0"/>
                  <w:vAlign w:val="center"/>
                </w:tcPr>
                <w:p w14:paraId="49F1E2B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1F，13m，1506</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用于导电炭黑存储</w:t>
                  </w:r>
                </w:p>
              </w:tc>
              <w:tc>
                <w:tcPr>
                  <w:tcW w:w="1259" w:type="pct"/>
                  <w:noWrap w:val="0"/>
                  <w:vAlign w:val="center"/>
                </w:tcPr>
                <w:p w14:paraId="6554A57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本项目不在此厂房存储</w:t>
                  </w:r>
                </w:p>
              </w:tc>
              <w:tc>
                <w:tcPr>
                  <w:tcW w:w="702" w:type="pct"/>
                  <w:noWrap w:val="0"/>
                  <w:vAlign w:val="center"/>
                </w:tcPr>
                <w:p w14:paraId="4DB3B9A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功能不变</w:t>
                  </w:r>
                </w:p>
              </w:tc>
              <w:tc>
                <w:tcPr>
                  <w:tcW w:w="892" w:type="pct"/>
                  <w:noWrap w:val="0"/>
                  <w:vAlign w:val="center"/>
                </w:tcPr>
                <w:p w14:paraId="4BE0430D">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已建</w:t>
                  </w:r>
                </w:p>
              </w:tc>
            </w:tr>
            <w:tr w14:paraId="6F5457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continue"/>
                  <w:noWrap w:val="0"/>
                  <w:vAlign w:val="center"/>
                </w:tcPr>
                <w:p w14:paraId="34338DF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p>
              </w:tc>
              <w:tc>
                <w:tcPr>
                  <w:tcW w:w="417" w:type="pct"/>
                  <w:noWrap w:val="0"/>
                  <w:vAlign w:val="center"/>
                </w:tcPr>
                <w:p w14:paraId="78D4BE7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3#厂房</w:t>
                  </w:r>
                </w:p>
              </w:tc>
              <w:tc>
                <w:tcPr>
                  <w:tcW w:w="1225" w:type="pct"/>
                  <w:noWrap w:val="0"/>
                  <w:vAlign w:val="center"/>
                </w:tcPr>
                <w:p w14:paraId="0D23A40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1F，13m，3901</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用于导电炭黑的原料存储</w:t>
                  </w:r>
                </w:p>
              </w:tc>
              <w:tc>
                <w:tcPr>
                  <w:tcW w:w="1259" w:type="pct"/>
                  <w:noWrap w:val="0"/>
                  <w:vAlign w:val="center"/>
                </w:tcPr>
                <w:p w14:paraId="418BD5C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本项目不在此厂房存储</w:t>
                  </w:r>
                </w:p>
              </w:tc>
              <w:tc>
                <w:tcPr>
                  <w:tcW w:w="702" w:type="pct"/>
                  <w:noWrap w:val="0"/>
                  <w:vAlign w:val="center"/>
                </w:tcPr>
                <w:p w14:paraId="366E530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功能不变</w:t>
                  </w:r>
                </w:p>
              </w:tc>
              <w:tc>
                <w:tcPr>
                  <w:tcW w:w="892" w:type="pct"/>
                  <w:noWrap w:val="0"/>
                  <w:vAlign w:val="center"/>
                </w:tcPr>
                <w:p w14:paraId="51EA53B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已建</w:t>
                  </w:r>
                </w:p>
              </w:tc>
            </w:tr>
            <w:tr w14:paraId="18408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continue"/>
                  <w:noWrap w:val="0"/>
                  <w:vAlign w:val="center"/>
                </w:tcPr>
                <w:p w14:paraId="2DEE74A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p>
              </w:tc>
              <w:tc>
                <w:tcPr>
                  <w:tcW w:w="417" w:type="pct"/>
                  <w:noWrap w:val="0"/>
                  <w:vAlign w:val="center"/>
                </w:tcPr>
                <w:p w14:paraId="32A52203">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6#厂房</w:t>
                  </w:r>
                </w:p>
              </w:tc>
              <w:tc>
                <w:tcPr>
                  <w:tcW w:w="1225" w:type="pct"/>
                  <w:noWrap w:val="0"/>
                  <w:vAlign w:val="center"/>
                </w:tcPr>
                <w:p w14:paraId="6BA843C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259" w:type="pct"/>
                  <w:noWrap w:val="0"/>
                  <w:vAlign w:val="center"/>
                </w:tcPr>
                <w:p w14:paraId="2DB23FD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1F，15m，2695</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用于生产塑料母粒的产品和原料存储</w:t>
                  </w:r>
                </w:p>
              </w:tc>
              <w:tc>
                <w:tcPr>
                  <w:tcW w:w="702" w:type="pct"/>
                  <w:noWrap w:val="0"/>
                  <w:vAlign w:val="center"/>
                </w:tcPr>
                <w:p w14:paraId="54C5573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892" w:type="pct"/>
                  <w:noWrap w:val="0"/>
                  <w:vAlign w:val="center"/>
                </w:tcPr>
                <w:p w14:paraId="3FDE801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新建</w:t>
                  </w:r>
                </w:p>
              </w:tc>
            </w:tr>
            <w:tr w14:paraId="21DEA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restart"/>
                  <w:noWrap w:val="0"/>
                  <w:vAlign w:val="center"/>
                </w:tcPr>
                <w:p w14:paraId="04E6D69F">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公辅工程</w:t>
                  </w:r>
                </w:p>
              </w:tc>
              <w:tc>
                <w:tcPr>
                  <w:tcW w:w="417" w:type="pct"/>
                  <w:noWrap w:val="0"/>
                  <w:vAlign w:val="center"/>
                </w:tcPr>
                <w:p w14:paraId="39181CF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办公楼</w:t>
                  </w:r>
                </w:p>
              </w:tc>
              <w:tc>
                <w:tcPr>
                  <w:tcW w:w="3187" w:type="pct"/>
                  <w:gridSpan w:val="3"/>
                  <w:noWrap w:val="0"/>
                  <w:vAlign w:val="center"/>
                </w:tcPr>
                <w:p w14:paraId="0C1EA27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vertAlign w:val="superscript"/>
                      <w:lang w:val="en-US" w:eastAsia="zh-CN"/>
                    </w:rPr>
                  </w:pPr>
                  <w:r>
                    <w:rPr>
                      <w:rFonts w:hint="eastAsia"/>
                      <w:color w:val="000000" w:themeColor="text1"/>
                      <w:sz w:val="21"/>
                      <w:szCs w:val="21"/>
                      <w:highlight w:val="none"/>
                      <w:lang w:val="en-US" w:eastAsia="zh-CN"/>
                    </w:rPr>
                    <w:t>3F，13m，11267</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rPr>
                    <w:t>用于员工</w:t>
                  </w:r>
                  <w:r>
                    <w:rPr>
                      <w:rFonts w:hint="eastAsia"/>
                      <w:color w:val="000000" w:themeColor="text1"/>
                      <w:sz w:val="21"/>
                      <w:szCs w:val="21"/>
                      <w:highlight w:val="none"/>
                      <w:lang w:val="en-US" w:eastAsia="zh-CN"/>
                    </w:rPr>
                    <w:t>日常办公生活</w:t>
                  </w:r>
                </w:p>
              </w:tc>
              <w:tc>
                <w:tcPr>
                  <w:tcW w:w="892" w:type="pct"/>
                  <w:noWrap w:val="0"/>
                  <w:vAlign w:val="center"/>
                </w:tcPr>
                <w:p w14:paraId="0C2A023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新建</w:t>
                  </w:r>
                </w:p>
              </w:tc>
            </w:tr>
            <w:tr w14:paraId="356AE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continue"/>
                  <w:noWrap w:val="0"/>
                  <w:vAlign w:val="center"/>
                </w:tcPr>
                <w:p w14:paraId="58ED187E">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417" w:type="pct"/>
                  <w:noWrap w:val="0"/>
                  <w:vAlign w:val="center"/>
                </w:tcPr>
                <w:p w14:paraId="14D26808">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供水</w:t>
                  </w:r>
                </w:p>
              </w:tc>
              <w:tc>
                <w:tcPr>
                  <w:tcW w:w="1225" w:type="pct"/>
                  <w:noWrap w:val="0"/>
                  <w:vAlign w:val="center"/>
                </w:tcPr>
                <w:p w14:paraId="57FA332F">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园区供水</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年用水量4500</w:t>
                  </w:r>
                  <w:r>
                    <w:rPr>
                      <w:color w:val="000000" w:themeColor="text1"/>
                      <w:sz w:val="21"/>
                      <w:szCs w:val="21"/>
                      <w:highlight w:val="none"/>
                    </w:rPr>
                    <w:t>m</w:t>
                  </w:r>
                  <w:r>
                    <w:rPr>
                      <w:color w:val="000000" w:themeColor="text1"/>
                      <w:sz w:val="21"/>
                      <w:szCs w:val="21"/>
                      <w:highlight w:val="none"/>
                      <w:vertAlign w:val="superscript"/>
                    </w:rPr>
                    <w:t>3</w:t>
                  </w:r>
                  <w:r>
                    <w:rPr>
                      <w:color w:val="000000" w:themeColor="text1"/>
                      <w:sz w:val="21"/>
                      <w:szCs w:val="21"/>
                      <w:highlight w:val="none"/>
                    </w:rPr>
                    <w:t>/a</w:t>
                  </w:r>
                </w:p>
              </w:tc>
              <w:tc>
                <w:tcPr>
                  <w:tcW w:w="1259" w:type="pct"/>
                  <w:noWrap w:val="0"/>
                  <w:vAlign w:val="center"/>
                </w:tcPr>
                <w:p w14:paraId="6618715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园区供水</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年用水量1110</w:t>
                  </w:r>
                  <w:r>
                    <w:rPr>
                      <w:color w:val="000000" w:themeColor="text1"/>
                      <w:sz w:val="21"/>
                      <w:szCs w:val="21"/>
                      <w:highlight w:val="none"/>
                    </w:rPr>
                    <w:t>m</w:t>
                  </w:r>
                  <w:r>
                    <w:rPr>
                      <w:color w:val="000000" w:themeColor="text1"/>
                      <w:sz w:val="21"/>
                      <w:szCs w:val="21"/>
                      <w:highlight w:val="none"/>
                      <w:vertAlign w:val="superscript"/>
                    </w:rPr>
                    <w:t>3</w:t>
                  </w:r>
                  <w:r>
                    <w:rPr>
                      <w:color w:val="000000" w:themeColor="text1"/>
                      <w:sz w:val="21"/>
                      <w:szCs w:val="21"/>
                      <w:highlight w:val="none"/>
                    </w:rPr>
                    <w:t>/a</w:t>
                  </w:r>
                </w:p>
              </w:tc>
              <w:tc>
                <w:tcPr>
                  <w:tcW w:w="702" w:type="pct"/>
                  <w:noWrap w:val="0"/>
                  <w:vAlign w:val="center"/>
                </w:tcPr>
                <w:p w14:paraId="0433F2A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lang w:val="en-US" w:eastAsia="zh-CN"/>
                    </w:rPr>
                    <w:t>年用水量5610</w:t>
                  </w:r>
                  <w:r>
                    <w:rPr>
                      <w:color w:val="000000" w:themeColor="text1"/>
                      <w:sz w:val="21"/>
                      <w:szCs w:val="21"/>
                      <w:highlight w:val="none"/>
                    </w:rPr>
                    <w:t>m</w:t>
                  </w:r>
                  <w:r>
                    <w:rPr>
                      <w:color w:val="000000" w:themeColor="text1"/>
                      <w:sz w:val="21"/>
                      <w:szCs w:val="21"/>
                      <w:highlight w:val="none"/>
                      <w:vertAlign w:val="superscript"/>
                    </w:rPr>
                    <w:t>3</w:t>
                  </w:r>
                  <w:r>
                    <w:rPr>
                      <w:color w:val="000000" w:themeColor="text1"/>
                      <w:sz w:val="21"/>
                      <w:szCs w:val="21"/>
                      <w:highlight w:val="none"/>
                    </w:rPr>
                    <w:t>/a</w:t>
                  </w:r>
                </w:p>
              </w:tc>
              <w:tc>
                <w:tcPr>
                  <w:tcW w:w="892" w:type="pct"/>
                  <w:noWrap w:val="0"/>
                  <w:vAlign w:val="center"/>
                </w:tcPr>
                <w:p w14:paraId="6078A5A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依托现有</w:t>
                  </w:r>
                </w:p>
              </w:tc>
            </w:tr>
            <w:tr w14:paraId="6BD18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503" w:type="pct"/>
                  <w:vMerge w:val="continue"/>
                  <w:noWrap w:val="0"/>
                  <w:vAlign w:val="center"/>
                </w:tcPr>
                <w:p w14:paraId="6DE14C9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417" w:type="pct"/>
                  <w:noWrap w:val="0"/>
                  <w:vAlign w:val="center"/>
                </w:tcPr>
                <w:p w14:paraId="08508B9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供电</w:t>
                  </w:r>
                </w:p>
              </w:tc>
              <w:tc>
                <w:tcPr>
                  <w:tcW w:w="1225" w:type="pct"/>
                  <w:noWrap w:val="0"/>
                  <w:vAlign w:val="center"/>
                </w:tcPr>
                <w:p w14:paraId="42FFE763">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园区供电</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年用电量155万度</w:t>
                  </w:r>
                </w:p>
              </w:tc>
              <w:tc>
                <w:tcPr>
                  <w:tcW w:w="1259" w:type="pct"/>
                  <w:noWrap w:val="0"/>
                  <w:vAlign w:val="center"/>
                </w:tcPr>
                <w:p w14:paraId="732D2E4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园区供电</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年用电量50万度</w:t>
                  </w:r>
                </w:p>
              </w:tc>
              <w:tc>
                <w:tcPr>
                  <w:tcW w:w="702" w:type="pct"/>
                  <w:noWrap w:val="0"/>
                  <w:vAlign w:val="center"/>
                </w:tcPr>
                <w:p w14:paraId="2288C05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年用电量205</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892" w:type="pct"/>
                  <w:noWrap w:val="0"/>
                  <w:vAlign w:val="center"/>
                </w:tcPr>
                <w:p w14:paraId="0185DCA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依托现有</w:t>
                  </w:r>
                </w:p>
              </w:tc>
            </w:tr>
            <w:tr w14:paraId="26520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3" w:type="pct"/>
                  <w:vMerge w:val="restart"/>
                  <w:noWrap w:val="0"/>
                  <w:vAlign w:val="center"/>
                </w:tcPr>
                <w:p w14:paraId="1DDC291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环保工程</w:t>
                  </w:r>
                </w:p>
              </w:tc>
              <w:tc>
                <w:tcPr>
                  <w:tcW w:w="417" w:type="pct"/>
                  <w:vMerge w:val="restart"/>
                  <w:noWrap w:val="0"/>
                  <w:vAlign w:val="center"/>
                </w:tcPr>
                <w:p w14:paraId="66CF735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废气</w:t>
                  </w:r>
                </w:p>
              </w:tc>
              <w:tc>
                <w:tcPr>
                  <w:tcW w:w="1225" w:type="pct"/>
                  <w:noWrap w:val="0"/>
                  <w:vAlign w:val="center"/>
                </w:tcPr>
                <w:p w14:paraId="6AC5ADBE">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布袋除尘+20m排气筒（DA001）</w:t>
                  </w:r>
                </w:p>
              </w:tc>
              <w:tc>
                <w:tcPr>
                  <w:tcW w:w="1259" w:type="pct"/>
                  <w:noWrap w:val="0"/>
                  <w:vAlign w:val="center"/>
                </w:tcPr>
                <w:p w14:paraId="11B16BE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本次扩建炭黑处理废气经新建布袋除尘器处理后接通至现有排气筒排放</w:t>
                  </w:r>
                </w:p>
              </w:tc>
              <w:tc>
                <w:tcPr>
                  <w:tcW w:w="702" w:type="pct"/>
                  <w:noWrap w:val="0"/>
                  <w:vAlign w:val="center"/>
                </w:tcPr>
                <w:p w14:paraId="27261B7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不变</w:t>
                  </w:r>
                </w:p>
              </w:tc>
              <w:tc>
                <w:tcPr>
                  <w:tcW w:w="892" w:type="pct"/>
                  <w:noWrap w:val="0"/>
                  <w:vAlign w:val="center"/>
                </w:tcPr>
                <w:p w14:paraId="619F09A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依托现有</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新增布袋除尘器</w:t>
                  </w:r>
                </w:p>
              </w:tc>
            </w:tr>
            <w:tr w14:paraId="604EB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3" w:type="pct"/>
                  <w:vMerge w:val="continue"/>
                  <w:noWrap w:val="0"/>
                  <w:vAlign w:val="center"/>
                </w:tcPr>
                <w:p w14:paraId="1DBA8D5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417" w:type="pct"/>
                  <w:vMerge w:val="continue"/>
                  <w:noWrap w:val="0"/>
                  <w:vAlign w:val="center"/>
                </w:tcPr>
                <w:p w14:paraId="0F3B546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1225" w:type="pct"/>
                  <w:noWrap w:val="0"/>
                  <w:vAlign w:val="center"/>
                </w:tcPr>
                <w:p w14:paraId="48D79744">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1259" w:type="pct"/>
                  <w:noWrap w:val="0"/>
                  <w:vAlign w:val="center"/>
                </w:tcPr>
                <w:p w14:paraId="0C3E40D5">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本次新建一套一级冷凝+二级活性炭吸附处理+20m排气筒（DA002）高空排放</w:t>
                  </w:r>
                </w:p>
              </w:tc>
              <w:tc>
                <w:tcPr>
                  <w:tcW w:w="702" w:type="pct"/>
                  <w:noWrap w:val="0"/>
                  <w:vAlign w:val="center"/>
                </w:tcPr>
                <w:p w14:paraId="36E29BA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新增有机废气处理</w:t>
                  </w:r>
                </w:p>
              </w:tc>
              <w:tc>
                <w:tcPr>
                  <w:tcW w:w="892" w:type="pct"/>
                  <w:noWrap w:val="0"/>
                  <w:vAlign w:val="center"/>
                </w:tcPr>
                <w:p w14:paraId="3B8A41A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新建废气处理装置</w:t>
                  </w:r>
                </w:p>
              </w:tc>
            </w:tr>
            <w:tr w14:paraId="4AF059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503" w:type="pct"/>
                  <w:vMerge w:val="continue"/>
                  <w:noWrap w:val="0"/>
                  <w:vAlign w:val="center"/>
                </w:tcPr>
                <w:p w14:paraId="638AF48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417" w:type="pct"/>
                  <w:noWrap w:val="0"/>
                  <w:vAlign w:val="center"/>
                </w:tcPr>
                <w:p w14:paraId="65ADE984">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废水</w:t>
                  </w:r>
                </w:p>
              </w:tc>
              <w:tc>
                <w:tcPr>
                  <w:tcW w:w="1225" w:type="pct"/>
                  <w:noWrap w:val="0"/>
                  <w:vAlign w:val="center"/>
                </w:tcPr>
                <w:p w14:paraId="58F51E1D">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生活污水经厂内化粪池预处理后接入园区污水管网，最终排入</w:t>
                  </w:r>
                  <w:r>
                    <w:rPr>
                      <w:rFonts w:hint="eastAsia"/>
                      <w:color w:val="000000" w:themeColor="text1"/>
                      <w:sz w:val="21"/>
                      <w:szCs w:val="21"/>
                      <w:highlight w:val="none"/>
                      <w:lang w:val="en-US" w:eastAsia="zh-CN"/>
                    </w:rPr>
                    <w:t>赤湖工业园</w:t>
                  </w:r>
                  <w:r>
                    <w:rPr>
                      <w:rFonts w:hint="eastAsia"/>
                      <w:color w:val="000000" w:themeColor="text1"/>
                      <w:sz w:val="21"/>
                      <w:szCs w:val="21"/>
                      <w:highlight w:val="none"/>
                    </w:rPr>
                    <w:t>污水处理厂深度处理</w:t>
                  </w:r>
                </w:p>
              </w:tc>
              <w:tc>
                <w:tcPr>
                  <w:tcW w:w="1259" w:type="pct"/>
                  <w:noWrap w:val="0"/>
                  <w:vAlign w:val="center"/>
                </w:tcPr>
                <w:p w14:paraId="6B8E7DDE">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不新增人员，无新增生活污水。新增地面清洗水。</w:t>
                  </w:r>
                </w:p>
              </w:tc>
              <w:tc>
                <w:tcPr>
                  <w:tcW w:w="702" w:type="pct"/>
                  <w:noWrap w:val="0"/>
                  <w:vAlign w:val="center"/>
                </w:tcPr>
                <w:p w14:paraId="0EF8A0BD">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新增地面清洗水</w:t>
                  </w:r>
                </w:p>
              </w:tc>
              <w:tc>
                <w:tcPr>
                  <w:tcW w:w="892" w:type="pct"/>
                  <w:noWrap w:val="0"/>
                  <w:vAlign w:val="center"/>
                </w:tcPr>
                <w:p w14:paraId="72E46E4F">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r>
                    <w:rPr>
                      <w:rFonts w:hint="eastAsia"/>
                      <w:color w:val="000000" w:themeColor="text1"/>
                      <w:sz w:val="21"/>
                      <w:szCs w:val="21"/>
                      <w:highlight w:val="none"/>
                    </w:rPr>
                    <w:t>依托现有</w:t>
                  </w:r>
                </w:p>
              </w:tc>
            </w:tr>
            <w:tr w14:paraId="07A33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03" w:type="pct"/>
                  <w:vMerge w:val="continue"/>
                  <w:noWrap w:val="0"/>
                  <w:vAlign w:val="center"/>
                </w:tcPr>
                <w:p w14:paraId="3071C4D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417" w:type="pct"/>
                  <w:tcBorders>
                    <w:right w:val="single" w:color="000000" w:sz="4" w:space="0"/>
                  </w:tcBorders>
                  <w:noWrap w:val="0"/>
                  <w:vAlign w:val="center"/>
                </w:tcPr>
                <w:p w14:paraId="43914BC8">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噪声</w:t>
                  </w:r>
                </w:p>
              </w:tc>
              <w:tc>
                <w:tcPr>
                  <w:tcW w:w="1225" w:type="pct"/>
                  <w:tcBorders>
                    <w:left w:val="single" w:color="000000" w:sz="4" w:space="0"/>
                  </w:tcBorders>
                  <w:noWrap w:val="0"/>
                  <w:vAlign w:val="center"/>
                </w:tcPr>
                <w:p w14:paraId="028E1EF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隔声、减振</w:t>
                  </w:r>
                </w:p>
              </w:tc>
              <w:tc>
                <w:tcPr>
                  <w:tcW w:w="1259" w:type="pct"/>
                  <w:tcBorders>
                    <w:left w:val="single" w:color="000000" w:sz="4" w:space="0"/>
                  </w:tcBorders>
                  <w:noWrap w:val="0"/>
                  <w:vAlign w:val="center"/>
                </w:tcPr>
                <w:p w14:paraId="0881A31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隔声、减振</w:t>
                  </w:r>
                </w:p>
              </w:tc>
              <w:tc>
                <w:tcPr>
                  <w:tcW w:w="702" w:type="pct"/>
                  <w:tcBorders>
                    <w:left w:val="single" w:color="000000" w:sz="4" w:space="0"/>
                  </w:tcBorders>
                  <w:noWrap w:val="0"/>
                  <w:vAlign w:val="center"/>
                </w:tcPr>
                <w:p w14:paraId="1AA126F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892" w:type="pct"/>
                  <w:tcBorders>
                    <w:left w:val="single" w:color="000000" w:sz="4" w:space="0"/>
                  </w:tcBorders>
                  <w:noWrap w:val="0"/>
                  <w:vAlign w:val="center"/>
                </w:tcPr>
                <w:p w14:paraId="58A7935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新建</w:t>
                  </w:r>
                </w:p>
              </w:tc>
            </w:tr>
            <w:tr w14:paraId="70178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03" w:type="pct"/>
                  <w:vMerge w:val="continue"/>
                  <w:noWrap w:val="0"/>
                  <w:vAlign w:val="center"/>
                </w:tcPr>
                <w:p w14:paraId="1EEBD38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417" w:type="pct"/>
                  <w:tcBorders>
                    <w:right w:val="single" w:color="000000" w:sz="4" w:space="0"/>
                  </w:tcBorders>
                  <w:noWrap w:val="0"/>
                  <w:vAlign w:val="center"/>
                </w:tcPr>
                <w:p w14:paraId="528B3395">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固废</w:t>
                  </w:r>
                </w:p>
              </w:tc>
              <w:tc>
                <w:tcPr>
                  <w:tcW w:w="1225" w:type="pct"/>
                  <w:tcBorders>
                    <w:left w:val="single" w:color="000000" w:sz="4" w:space="0"/>
                  </w:tcBorders>
                  <w:noWrap w:val="0"/>
                  <w:vAlign w:val="center"/>
                </w:tcPr>
                <w:p w14:paraId="205A030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rPr>
                    <w:t>分类收集、分类堆放</w:t>
                  </w:r>
                  <w:r>
                    <w:rPr>
                      <w:rFonts w:hint="eastAsia" w:ascii="Times New Roman" w:hAnsi="Times New Roman" w:eastAsia="宋体" w:cs="Times New Roman"/>
                      <w:color w:val="000000" w:themeColor="text1"/>
                      <w:sz w:val="21"/>
                      <w:szCs w:val="21"/>
                      <w:highlight w:val="none"/>
                      <w:lang w:eastAsia="zh-CN"/>
                    </w:rPr>
                    <w:t>，</w:t>
                  </w:r>
                  <w:r>
                    <w:rPr>
                      <w:rFonts w:hint="eastAsia" w:ascii="Times New Roman" w:hAnsi="Times New Roman" w:eastAsia="宋体" w:cs="Times New Roman"/>
                      <w:color w:val="000000" w:themeColor="text1"/>
                      <w:sz w:val="21"/>
                      <w:szCs w:val="21"/>
                      <w:highlight w:val="none"/>
                    </w:rPr>
                    <w:t>一般固废暂存间20m</w:t>
                  </w:r>
                  <w:r>
                    <w:rPr>
                      <w:rFonts w:hint="eastAsia" w:ascii="Times New Roman" w:hAnsi="Times New Roman" w:eastAsia="宋体" w:cs="Times New Roman"/>
                      <w:color w:val="000000" w:themeColor="text1"/>
                      <w:sz w:val="21"/>
                      <w:szCs w:val="21"/>
                      <w:highlight w:val="none"/>
                      <w:vertAlign w:val="superscript"/>
                    </w:rPr>
                    <w:t>2</w:t>
                  </w:r>
                  <w:r>
                    <w:rPr>
                      <w:rFonts w:hint="eastAsia" w:ascii="Times New Roman" w:hAnsi="Times New Roman" w:eastAsia="宋体" w:cs="Times New Roman"/>
                      <w:color w:val="000000" w:themeColor="text1"/>
                      <w:sz w:val="21"/>
                      <w:szCs w:val="21"/>
                      <w:highlight w:val="none"/>
                    </w:rPr>
                    <w:t>，最大储存量20t，位于</w:t>
                  </w:r>
                  <w:r>
                    <w:rPr>
                      <w:rFonts w:hint="eastAsia" w:cs="Times New Roman"/>
                      <w:color w:val="000000" w:themeColor="text1"/>
                      <w:sz w:val="21"/>
                      <w:szCs w:val="21"/>
                      <w:highlight w:val="none"/>
                      <w:lang w:val="en-US" w:eastAsia="zh-CN"/>
                    </w:rPr>
                    <w:t>3#厂房</w:t>
                  </w:r>
                  <w:r>
                    <w:rPr>
                      <w:rFonts w:hint="eastAsia" w:ascii="Times New Roman" w:hAnsi="Times New Roman" w:eastAsia="宋体" w:cs="Times New Roman"/>
                      <w:color w:val="000000" w:themeColor="text1"/>
                      <w:sz w:val="21"/>
                      <w:szCs w:val="21"/>
                      <w:highlight w:val="none"/>
                      <w:lang w:val="en-US" w:eastAsia="zh-CN"/>
                    </w:rPr>
                    <w:t>西面</w:t>
                  </w:r>
                  <w:r>
                    <w:rPr>
                      <w:rFonts w:hint="eastAsia" w:ascii="Times New Roman" w:hAnsi="Times New Roman" w:eastAsia="宋体" w:cs="Times New Roman"/>
                      <w:color w:val="000000" w:themeColor="text1"/>
                      <w:sz w:val="21"/>
                      <w:szCs w:val="21"/>
                      <w:highlight w:val="none"/>
                      <w:lang w:eastAsia="zh-CN"/>
                    </w:rPr>
                    <w:t>；</w:t>
                  </w:r>
                  <w:r>
                    <w:rPr>
                      <w:rFonts w:hint="eastAsia" w:ascii="Times New Roman" w:hAnsi="Times New Roman" w:eastAsia="宋体" w:cs="Times New Roman"/>
                      <w:color w:val="000000" w:themeColor="text1"/>
                      <w:sz w:val="21"/>
                      <w:szCs w:val="21"/>
                      <w:highlight w:val="none"/>
                      <w:lang w:val="en-US" w:eastAsia="zh-CN"/>
                    </w:rPr>
                    <w:t>现有危废为少量废润滑油，暂存于车间危废托盘，将废润滑油交由江西国孚润滑油工业有限公司处理，日产日清</w:t>
                  </w:r>
                </w:p>
              </w:tc>
              <w:tc>
                <w:tcPr>
                  <w:tcW w:w="1259" w:type="pct"/>
                  <w:tcBorders>
                    <w:left w:val="single" w:color="auto" w:sz="4" w:space="0"/>
                  </w:tcBorders>
                  <w:noWrap w:val="0"/>
                  <w:vAlign w:val="center"/>
                </w:tcPr>
                <w:p w14:paraId="1022C493">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本项目扩建后依托</w:t>
                  </w:r>
                  <w:r>
                    <w:rPr>
                      <w:rFonts w:hint="eastAsia"/>
                      <w:color w:val="000000" w:themeColor="text1"/>
                      <w:sz w:val="21"/>
                      <w:szCs w:val="21"/>
                      <w:highlight w:val="none"/>
                    </w:rPr>
                    <w:t>一般固废暂存间20m</w:t>
                  </w:r>
                  <w:r>
                    <w:rPr>
                      <w:rFonts w:hint="eastAsia"/>
                      <w:color w:val="000000" w:themeColor="text1"/>
                      <w:sz w:val="21"/>
                      <w:szCs w:val="21"/>
                      <w:highlight w:val="none"/>
                      <w:vertAlign w:val="superscript"/>
                    </w:rPr>
                    <w:t>2</w:t>
                  </w:r>
                  <w:r>
                    <w:rPr>
                      <w:rFonts w:hint="eastAsia"/>
                      <w:color w:val="000000" w:themeColor="text1"/>
                      <w:sz w:val="21"/>
                      <w:szCs w:val="21"/>
                      <w:highlight w:val="none"/>
                    </w:rPr>
                    <w:t>，最大储存量20t，位于</w:t>
                  </w:r>
                  <w:r>
                    <w:rPr>
                      <w:rFonts w:hint="eastAsia" w:cs="Times New Roman"/>
                      <w:color w:val="000000" w:themeColor="text1"/>
                      <w:sz w:val="21"/>
                      <w:szCs w:val="21"/>
                      <w:highlight w:val="none"/>
                      <w:lang w:val="en-US" w:eastAsia="zh-CN"/>
                    </w:rPr>
                    <w:t>3#厂房</w:t>
                  </w:r>
                  <w:r>
                    <w:rPr>
                      <w:rFonts w:hint="eastAsia"/>
                      <w:color w:val="000000" w:themeColor="text1"/>
                      <w:sz w:val="21"/>
                      <w:szCs w:val="21"/>
                      <w:highlight w:val="none"/>
                      <w:lang w:val="en-US" w:eastAsia="zh-CN"/>
                    </w:rPr>
                    <w:t>西面</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危废新增废活性炭、废冷凝液，新建一间危废暂存间（10m</w:t>
                  </w:r>
                  <w:r>
                    <w:rPr>
                      <w:rFonts w:hint="eastAsia"/>
                      <w:color w:val="000000" w:themeColor="text1"/>
                      <w:sz w:val="21"/>
                      <w:szCs w:val="21"/>
                      <w:highlight w:val="none"/>
                      <w:vertAlign w:val="superscript"/>
                      <w:lang w:val="en-US" w:eastAsia="zh-CN"/>
                    </w:rPr>
                    <w:t>2</w:t>
                  </w:r>
                  <w:r>
                    <w:rPr>
                      <w:rFonts w:hint="eastAsia"/>
                      <w:color w:val="000000" w:themeColor="text1"/>
                      <w:sz w:val="21"/>
                      <w:szCs w:val="21"/>
                      <w:highlight w:val="none"/>
                      <w:lang w:val="en-US" w:eastAsia="zh-CN"/>
                    </w:rPr>
                    <w:t>），位于</w:t>
                  </w:r>
                  <w:r>
                    <w:rPr>
                      <w:rFonts w:hint="eastAsia" w:cs="Times New Roman"/>
                      <w:color w:val="000000" w:themeColor="text1"/>
                      <w:sz w:val="21"/>
                      <w:szCs w:val="21"/>
                      <w:highlight w:val="none"/>
                      <w:lang w:val="en-US" w:eastAsia="zh-CN"/>
                    </w:rPr>
                    <w:t>3#厂房</w:t>
                  </w:r>
                  <w:r>
                    <w:rPr>
                      <w:rFonts w:hint="eastAsia"/>
                      <w:color w:val="000000" w:themeColor="text1"/>
                      <w:sz w:val="21"/>
                      <w:szCs w:val="21"/>
                      <w:highlight w:val="none"/>
                      <w:lang w:val="en-US" w:eastAsia="zh-CN"/>
                    </w:rPr>
                    <w:t>西面</w:t>
                  </w:r>
                </w:p>
              </w:tc>
              <w:tc>
                <w:tcPr>
                  <w:tcW w:w="702" w:type="pct"/>
                  <w:tcBorders>
                    <w:left w:val="single" w:color="000000" w:sz="4" w:space="0"/>
                  </w:tcBorders>
                  <w:noWrap w:val="0"/>
                  <w:vAlign w:val="center"/>
                </w:tcPr>
                <w:p w14:paraId="0454A9E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新增危废暂存间</w:t>
                  </w:r>
                </w:p>
              </w:tc>
              <w:tc>
                <w:tcPr>
                  <w:tcW w:w="892" w:type="pct"/>
                  <w:tcBorders>
                    <w:left w:val="single" w:color="000000" w:sz="4" w:space="0"/>
                  </w:tcBorders>
                  <w:noWrap w:val="0"/>
                  <w:vAlign w:val="center"/>
                </w:tcPr>
                <w:p w14:paraId="6493855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依托现有</w:t>
                  </w:r>
                  <w:r>
                    <w:rPr>
                      <w:rFonts w:hint="eastAsia"/>
                      <w:color w:val="000000" w:themeColor="text1"/>
                      <w:sz w:val="21"/>
                      <w:szCs w:val="21"/>
                      <w:highlight w:val="none"/>
                      <w:lang w:val="en-US" w:eastAsia="zh-CN"/>
                    </w:rPr>
                    <w:t>一般固废暂存间，新建一间危废暂存间。</w:t>
                  </w:r>
                </w:p>
              </w:tc>
            </w:tr>
          </w:tbl>
          <w:p w14:paraId="1C133562">
            <w:pPr>
              <w:pStyle w:val="178"/>
              <w:keepNext/>
              <w:keepLines/>
              <w:pageBreakBefore w:val="0"/>
              <w:widowControl w:val="0"/>
              <w:numPr>
                <w:ilvl w:val="0"/>
                <w:numId w:val="0"/>
              </w:numPr>
              <w:kinsoku/>
              <w:wordWrap/>
              <w:overflowPunct/>
              <w:topLinePunct w:val="0"/>
              <w:autoSpaceDE/>
              <w:autoSpaceDN/>
              <w:bidi w:val="0"/>
              <w:adjustRightInd/>
              <w:snapToGrid/>
              <w:spacing w:line="360" w:lineRule="auto"/>
              <w:ind w:leftChars="0" w:firstLine="504" w:firstLineChars="200"/>
              <w:textAlignment w:val="auto"/>
              <w:rPr>
                <w:rFonts w:hint="eastAsia" w:ascii="Times New Roman" w:hAnsi="Times New Roman" w:eastAsia="宋体" w:cs="Times New Roman"/>
                <w:b w:val="0"/>
                <w:bCs w:val="0"/>
                <w:color w:val="000000" w:themeColor="text1"/>
                <w:lang w:val="en-US" w:eastAsia="zh-CN"/>
              </w:rPr>
            </w:pPr>
            <w:r>
              <w:rPr>
                <w:rFonts w:hint="eastAsia" w:ascii="Times New Roman" w:hAnsi="Times New Roman" w:eastAsia="宋体" w:cs="Times New Roman"/>
                <w:b w:val="0"/>
                <w:bCs w:val="0"/>
                <w:color w:val="000000" w:themeColor="text1"/>
                <w:lang w:val="en-US" w:eastAsia="zh-CN"/>
              </w:rPr>
              <w:t>本项目厂区厂房最高为15m，现有排气筒以及拟建项目排气筒均为20m，满足《</w:t>
            </w:r>
            <w:r>
              <w:rPr>
                <w:rFonts w:hint="eastAsia" w:ascii="Times New Roman" w:hAnsi="Times New Roman" w:eastAsia="宋体" w:cs="Times New Roman"/>
                <w:b w:val="0"/>
                <w:bCs w:val="0"/>
                <w:color w:val="000000" w:themeColor="text1"/>
                <w:lang w:val="en-US" w:eastAsia="zh-CN"/>
              </w:rPr>
              <w:fldChar w:fldCharType="begin"/>
            </w:r>
            <w:r>
              <w:rPr>
                <w:rFonts w:hint="eastAsia" w:ascii="Times New Roman" w:hAnsi="Times New Roman" w:eastAsia="宋体" w:cs="Times New Roman"/>
                <w:b w:val="0"/>
                <w:bCs w:val="0"/>
                <w:color w:val="000000" w:themeColor="text1"/>
                <w:lang w:val="en-US" w:eastAsia="zh-CN"/>
              </w:rPr>
              <w:instrText xml:space="preserve"> HYPERLINK "https://www.mee.gov.cn/ywgz/fgbz/bz/bzwb/dqhjbh/dqgdwrywrwpfbz/199701/W020230315434443757856.pdf" </w:instrText>
            </w:r>
            <w:r>
              <w:rPr>
                <w:rFonts w:hint="eastAsia" w:ascii="Times New Roman" w:hAnsi="Times New Roman" w:eastAsia="宋体" w:cs="Times New Roman"/>
                <w:b w:val="0"/>
                <w:bCs w:val="0"/>
                <w:color w:val="000000" w:themeColor="text1"/>
                <w:lang w:val="en-US" w:eastAsia="zh-CN"/>
              </w:rPr>
              <w:fldChar w:fldCharType="separate"/>
            </w:r>
            <w:r>
              <w:rPr>
                <w:rFonts w:hint="eastAsia" w:ascii="Times New Roman" w:hAnsi="Times New Roman" w:eastAsia="宋体" w:cs="Times New Roman"/>
                <w:b w:val="0"/>
                <w:bCs w:val="0"/>
                <w:color w:val="000000" w:themeColor="text1"/>
                <w:lang w:val="en-US" w:eastAsia="zh-CN"/>
              </w:rPr>
              <w:t>大气污染物综合排放标准</w:t>
            </w:r>
            <w:r>
              <w:rPr>
                <w:rFonts w:hint="eastAsia" w:ascii="Times New Roman" w:hAnsi="Times New Roman" w:eastAsia="宋体" w:cs="Times New Roman"/>
                <w:b w:val="0"/>
                <w:bCs w:val="0"/>
                <w:color w:val="000000" w:themeColor="text1"/>
                <w:lang w:val="en-US" w:eastAsia="zh-CN"/>
              </w:rPr>
              <w:fldChar w:fldCharType="end"/>
            </w:r>
            <w:r>
              <w:rPr>
                <w:rFonts w:hint="eastAsia" w:ascii="Times New Roman" w:hAnsi="Times New Roman" w:eastAsia="宋体" w:cs="Times New Roman"/>
                <w:b w:val="0"/>
                <w:bCs w:val="0"/>
                <w:color w:val="000000" w:themeColor="text1"/>
                <w:lang w:val="en-US" w:eastAsia="zh-CN"/>
              </w:rPr>
              <w:t>》（GB 16297-1996）中相关要求：7.1排气筒高度除须遵守表列排放速率标准值外，还应高出周围200m半径范围的建筑5m以上。</w:t>
            </w:r>
          </w:p>
          <w:p w14:paraId="38CFC587">
            <w:pPr>
              <w:pStyle w:val="178"/>
              <w:keepNext/>
              <w:keepLines/>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ascii="Times New Roman" w:hAnsi="Times New Roman" w:eastAsia="宋体" w:cs="Times New Roman"/>
                <w:b/>
                <w:bCs/>
                <w:color w:val="000000" w:themeColor="text1"/>
                <w:lang w:val="en-US" w:eastAsia="zh-CN"/>
              </w:rPr>
            </w:pPr>
            <w:r>
              <w:rPr>
                <w:rFonts w:hint="eastAsia" w:ascii="Times New Roman" w:hAnsi="Times New Roman" w:eastAsia="宋体" w:cs="Times New Roman"/>
                <w:b/>
                <w:bCs/>
                <w:color w:val="000000" w:themeColor="text1"/>
                <w:lang w:val="en-US" w:eastAsia="zh-CN"/>
              </w:rPr>
              <w:t>废气处理依托可行性分析：</w:t>
            </w:r>
          </w:p>
          <w:p w14:paraId="12B5EA90">
            <w:pPr>
              <w:pStyle w:val="178"/>
              <w:keepNext/>
              <w:keepLines/>
              <w:pageBreakBefore w:val="0"/>
              <w:widowControl w:val="0"/>
              <w:numPr>
                <w:ilvl w:val="2"/>
                <w:numId w:val="0"/>
              </w:numPr>
              <w:kinsoku/>
              <w:wordWrap/>
              <w:overflowPunct/>
              <w:topLinePunct w:val="0"/>
              <w:autoSpaceDE/>
              <w:autoSpaceDN/>
              <w:bidi w:val="0"/>
              <w:adjustRightInd/>
              <w:snapToGrid/>
              <w:spacing w:line="360" w:lineRule="auto"/>
              <w:ind w:leftChars="0" w:firstLine="504" w:firstLineChars="200"/>
              <w:textAlignment w:val="auto"/>
              <w:rPr>
                <w:rFonts w:hint="default" w:ascii="Times New Roman" w:hAnsi="Times New Roman" w:eastAsia="宋体" w:cs="Times New Roman"/>
                <w:b w:val="0"/>
                <w:bCs w:val="0"/>
                <w:color w:val="000000" w:themeColor="text1"/>
                <w:sz w:val="24"/>
                <w:szCs w:val="24"/>
                <w:lang w:val="en-US" w:eastAsia="zh-CN"/>
              </w:rPr>
            </w:pPr>
            <w:r>
              <w:rPr>
                <w:rFonts w:hint="eastAsia" w:ascii="Times New Roman" w:hAnsi="Times New Roman" w:eastAsia="宋体" w:cs="Times New Roman"/>
                <w:b w:val="0"/>
                <w:bCs w:val="0"/>
                <w:color w:val="000000" w:themeColor="text1"/>
                <w:lang w:val="en-US" w:eastAsia="zh-CN"/>
              </w:rPr>
              <w:t>本项目炭黑处理产生的废气经布袋除尘器处理后依托现有排气筒排放。因炭黑处理设备为旋窑烘干机，设备体积较大，布设于5#厂房</w:t>
            </w:r>
            <w:r>
              <w:rPr>
                <w:rFonts w:hint="eastAsia" w:ascii="Times New Roman" w:hAnsi="Times New Roman" w:eastAsia="宋体" w:cs="Times New Roman"/>
                <w:b w:val="0"/>
                <w:bCs w:val="0"/>
                <w:color w:val="000000" w:themeColor="text1"/>
                <w:sz w:val="24"/>
                <w:szCs w:val="24"/>
                <w:lang w:val="en-US" w:eastAsia="zh-CN"/>
              </w:rPr>
              <w:t>（</w:t>
            </w:r>
            <w:r>
              <w:rPr>
                <w:rFonts w:hint="eastAsia"/>
                <w:color w:val="000000" w:themeColor="text1"/>
                <w:sz w:val="24"/>
                <w:szCs w:val="24"/>
                <w:highlight w:val="none"/>
                <w:lang w:val="en-US" w:eastAsia="zh-CN"/>
              </w:rPr>
              <w:t>1558</w:t>
            </w:r>
            <w:r>
              <w:rPr>
                <w:rFonts w:hint="eastAsia"/>
                <w:color w:val="000000" w:themeColor="text1"/>
                <w:sz w:val="24"/>
                <w:szCs w:val="24"/>
                <w:highlight w:val="none"/>
              </w:rPr>
              <w:t>m</w:t>
            </w:r>
            <w:r>
              <w:rPr>
                <w:rFonts w:hint="eastAsia"/>
                <w:color w:val="000000" w:themeColor="text1"/>
                <w:sz w:val="24"/>
                <w:szCs w:val="24"/>
                <w:highlight w:val="none"/>
                <w:vertAlign w:val="superscript"/>
              </w:rPr>
              <w:t>2</w:t>
            </w:r>
            <w:r>
              <w:rPr>
                <w:rFonts w:hint="eastAsia" w:ascii="Times New Roman" w:hAnsi="Times New Roman" w:eastAsia="宋体" w:cs="Times New Roman"/>
                <w:b w:val="0"/>
                <w:bCs w:val="0"/>
                <w:color w:val="000000" w:themeColor="text1"/>
                <w:sz w:val="24"/>
                <w:szCs w:val="24"/>
                <w:lang w:val="en-US" w:eastAsia="zh-CN"/>
              </w:rPr>
              <w:t>）比布设于4#厂房（980</w:t>
            </w:r>
            <w:r>
              <w:rPr>
                <w:rFonts w:hint="eastAsia"/>
                <w:color w:val="000000" w:themeColor="text1"/>
                <w:sz w:val="24"/>
                <w:szCs w:val="24"/>
                <w:highlight w:val="none"/>
              </w:rPr>
              <w:t>m</w:t>
            </w:r>
            <w:r>
              <w:rPr>
                <w:rFonts w:hint="eastAsia"/>
                <w:color w:val="000000" w:themeColor="text1"/>
                <w:sz w:val="24"/>
                <w:szCs w:val="24"/>
                <w:highlight w:val="none"/>
                <w:vertAlign w:val="superscript"/>
              </w:rPr>
              <w:t>2</w:t>
            </w:r>
            <w:r>
              <w:rPr>
                <w:rFonts w:hint="eastAsia" w:ascii="Times New Roman" w:hAnsi="Times New Roman" w:eastAsia="宋体" w:cs="Times New Roman"/>
                <w:b w:val="0"/>
                <w:bCs w:val="0"/>
                <w:color w:val="000000" w:themeColor="text1"/>
                <w:sz w:val="24"/>
                <w:szCs w:val="24"/>
                <w:lang w:val="en-US" w:eastAsia="zh-CN"/>
              </w:rPr>
              <w:t>）更利于生产操作。本项目废气收集处理设备位于5#厂房东南侧，与现有1#排气筒直线距离15m左右，从距离上依托可行（具体详见附图十三）。</w:t>
            </w:r>
          </w:p>
          <w:p w14:paraId="4C074F7F">
            <w:pPr>
              <w:pStyle w:val="178"/>
              <w:keepNext/>
              <w:keepLines/>
              <w:pageBreakBefore w:val="0"/>
              <w:widowControl w:val="0"/>
              <w:numPr>
                <w:ilvl w:val="2"/>
                <w:numId w:val="0"/>
              </w:numPr>
              <w:kinsoku/>
              <w:wordWrap/>
              <w:overflowPunct/>
              <w:topLinePunct w:val="0"/>
              <w:autoSpaceDE/>
              <w:autoSpaceDN/>
              <w:bidi w:val="0"/>
              <w:adjustRightInd/>
              <w:snapToGrid/>
              <w:spacing w:line="360" w:lineRule="auto"/>
              <w:ind w:leftChars="0" w:firstLine="504" w:firstLineChars="200"/>
              <w:textAlignment w:val="auto"/>
              <w:rPr>
                <w:rFonts w:hint="default" w:ascii="Times New Roman" w:hAnsi="Times New Roman" w:eastAsia="宋体" w:cs="Times New Roman"/>
                <w:b w:val="0"/>
                <w:bCs w:val="0"/>
                <w:color w:val="000000" w:themeColor="text1"/>
                <w:lang w:val="en-US" w:eastAsia="zh-CN"/>
              </w:rPr>
            </w:pPr>
            <w:r>
              <w:rPr>
                <w:rFonts w:hint="eastAsia" w:ascii="Times New Roman" w:hAnsi="Times New Roman" w:eastAsia="宋体" w:cs="Times New Roman"/>
                <w:b w:val="0"/>
                <w:bCs w:val="0"/>
                <w:color w:val="000000" w:themeColor="text1"/>
                <w:lang w:val="en-US" w:eastAsia="zh-CN"/>
              </w:rPr>
              <w:t>现有炭黑处理装置（年处理炭黑9980t）废气处理设备的风量为12000m</w:t>
            </w:r>
            <w:r>
              <w:rPr>
                <w:rFonts w:hint="eastAsia" w:ascii="Times New Roman" w:hAnsi="Times New Roman" w:eastAsia="宋体" w:cs="Times New Roman"/>
                <w:b w:val="0"/>
                <w:bCs w:val="0"/>
                <w:color w:val="000000" w:themeColor="text1"/>
                <w:vertAlign w:val="superscript"/>
                <w:lang w:val="en-US" w:eastAsia="zh-CN"/>
              </w:rPr>
              <w:t>3</w:t>
            </w:r>
            <w:r>
              <w:rPr>
                <w:rFonts w:hint="eastAsia" w:ascii="Times New Roman" w:hAnsi="Times New Roman" w:eastAsia="宋体" w:cs="Times New Roman"/>
                <w:b w:val="0"/>
                <w:bCs w:val="0"/>
                <w:color w:val="000000" w:themeColor="text1"/>
                <w:lang w:val="en-US" w:eastAsia="zh-CN"/>
              </w:rPr>
              <w:t>/h，本项目炭黑处理装置（年处理炭黑1350t）废气处理设备的风量为8000m</w:t>
            </w:r>
            <w:r>
              <w:rPr>
                <w:rFonts w:hint="eastAsia" w:ascii="Times New Roman" w:hAnsi="Times New Roman" w:eastAsia="宋体" w:cs="Times New Roman"/>
                <w:b w:val="0"/>
                <w:bCs w:val="0"/>
                <w:color w:val="000000" w:themeColor="text1"/>
                <w:vertAlign w:val="superscript"/>
                <w:lang w:val="en-US" w:eastAsia="zh-CN"/>
              </w:rPr>
              <w:t>3</w:t>
            </w:r>
            <w:r>
              <w:rPr>
                <w:rFonts w:hint="eastAsia" w:ascii="Times New Roman" w:hAnsi="Times New Roman" w:eastAsia="宋体" w:cs="Times New Roman"/>
                <w:b w:val="0"/>
                <w:bCs w:val="0"/>
                <w:color w:val="000000" w:themeColor="text1"/>
                <w:lang w:val="en-US" w:eastAsia="zh-CN"/>
              </w:rPr>
              <w:t>/h，扩建后现有排气筒DA001的风量合计为20000m</w:t>
            </w:r>
            <w:r>
              <w:rPr>
                <w:rFonts w:hint="eastAsia" w:ascii="Times New Roman" w:hAnsi="Times New Roman" w:eastAsia="宋体" w:cs="Times New Roman"/>
                <w:b w:val="0"/>
                <w:bCs w:val="0"/>
                <w:color w:val="000000" w:themeColor="text1"/>
                <w:vertAlign w:val="superscript"/>
                <w:lang w:val="en-US" w:eastAsia="zh-CN"/>
              </w:rPr>
              <w:t>3</w:t>
            </w:r>
            <w:r>
              <w:rPr>
                <w:rFonts w:hint="eastAsia" w:ascii="Times New Roman" w:hAnsi="Times New Roman" w:eastAsia="宋体" w:cs="Times New Roman"/>
                <w:b w:val="0"/>
                <w:bCs w:val="0"/>
                <w:color w:val="000000" w:themeColor="text1"/>
                <w:lang w:val="en-US" w:eastAsia="zh-CN"/>
              </w:rPr>
              <w:t>/h，现有排气筒的直径为0.8m，扩建后</w:t>
            </w:r>
            <w:r>
              <w:rPr>
                <w:rFonts w:hint="eastAsia" w:eastAsia="宋体" w:cs="Times New Roman"/>
                <w:b w:val="0"/>
                <w:bCs w:val="0"/>
                <w:color w:val="000000" w:themeColor="text1"/>
                <w:lang w:val="en-US" w:eastAsia="zh-CN"/>
              </w:rPr>
              <w:t>烟气流量</w:t>
            </w:r>
            <w:r>
              <w:rPr>
                <w:rFonts w:hint="eastAsia" w:ascii="Times New Roman" w:hAnsi="Times New Roman" w:eastAsia="宋体" w:cs="Times New Roman"/>
                <w:b w:val="0"/>
                <w:bCs w:val="0"/>
                <w:color w:val="000000" w:themeColor="text1"/>
                <w:lang w:val="en-US" w:eastAsia="zh-CN"/>
              </w:rPr>
              <w:t>为11.64m/s，满足</w:t>
            </w:r>
            <w:r>
              <w:rPr>
                <w:rFonts w:hint="eastAsia" w:ascii="Times New Roman" w:hAnsi="Times New Roman" w:eastAsia="宋体" w:cs="Times New Roman"/>
                <w:color w:val="000000" w:themeColor="text1"/>
                <w:lang w:val="en-US" w:eastAsia="en-US"/>
              </w:rPr>
              <w:t>《大气污染治理工程技术导则》（HJ 2000-2010）中</w:t>
            </w:r>
            <w:r>
              <w:rPr>
                <w:rFonts w:hint="eastAsia" w:ascii="Times New Roman" w:hAnsi="Times New Roman" w:eastAsia="宋体" w:cs="Times New Roman"/>
                <w:b w:val="0"/>
                <w:bCs w:val="0"/>
                <w:color w:val="000000" w:themeColor="text1"/>
                <w:lang w:val="en-US" w:eastAsia="zh-CN"/>
              </w:rPr>
              <w:t>相关要求，从排气筒风量、排气筒直径上依托可行。</w:t>
            </w:r>
          </w:p>
          <w:p w14:paraId="27C75DA4">
            <w:pPr>
              <w:pStyle w:val="178"/>
              <w:keepNext/>
              <w:keepLines/>
              <w:pageBreakBefore w:val="0"/>
              <w:widowControl w:val="0"/>
              <w:numPr>
                <w:ilvl w:val="2"/>
                <w:numId w:val="0"/>
              </w:numPr>
              <w:kinsoku/>
              <w:wordWrap/>
              <w:overflowPunct/>
              <w:topLinePunct w:val="0"/>
              <w:autoSpaceDE/>
              <w:autoSpaceDN/>
              <w:bidi w:val="0"/>
              <w:adjustRightInd/>
              <w:snapToGrid/>
              <w:spacing w:line="360" w:lineRule="auto"/>
              <w:ind w:leftChars="0" w:firstLine="504" w:firstLineChars="200"/>
              <w:textAlignment w:val="auto"/>
              <w:rPr>
                <w:rFonts w:hint="eastAsia" w:ascii="Times New Roman" w:hAnsi="Times New Roman" w:eastAsia="宋体" w:cs="Times New Roman"/>
                <w:b w:val="0"/>
                <w:bCs w:val="0"/>
                <w:color w:val="000000" w:themeColor="text1"/>
                <w:lang w:val="en-US" w:eastAsia="zh-CN"/>
              </w:rPr>
            </w:pPr>
            <w:r>
              <w:rPr>
                <w:rFonts w:hint="eastAsia" w:ascii="Times New Roman" w:hAnsi="Times New Roman" w:eastAsia="宋体" w:cs="Times New Roman"/>
                <w:b w:val="0"/>
                <w:bCs w:val="0"/>
                <w:color w:val="000000" w:themeColor="text1"/>
                <w:lang w:val="en-US" w:eastAsia="zh-CN"/>
              </w:rPr>
              <w:t>同时本项目炭黑处理废气为水蒸气、炭黑尘，与现有炭黑处理装置为同一因子，经管道收集后经过布袋除尘器处理后通过20m高排气筒（DA001）排放。故本项目炭黑处理废气经布袋除尘器处理后依托现有装置废气处理的排气筒排放可行。</w:t>
            </w:r>
          </w:p>
          <w:p w14:paraId="3705DD5F">
            <w:pPr>
              <w:adjustRightInd w:val="0"/>
              <w:snapToGrid w:val="0"/>
              <w:spacing w:before="120" w:beforeLines="50"/>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4、项目原辅材料消耗</w:t>
            </w:r>
          </w:p>
          <w:p w14:paraId="2AE850DC">
            <w:pPr>
              <w:adjustRightInd w:val="0"/>
              <w:snapToGrid w:val="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根据建设单位提供的资料，主要原辅材料及能源消耗见</w:t>
            </w:r>
            <w:r>
              <w:rPr>
                <w:rFonts w:hint="eastAsia" w:cs="Times New Roman"/>
                <w:color w:val="000000" w:themeColor="text1"/>
                <w:lang w:eastAsia="zh-CN"/>
              </w:rPr>
              <w:t>下</w:t>
            </w:r>
            <w:r>
              <w:rPr>
                <w:rFonts w:hint="default" w:ascii="Times New Roman" w:hAnsi="Times New Roman" w:eastAsia="宋体" w:cs="Times New Roman"/>
                <w:color w:val="000000" w:themeColor="text1"/>
              </w:rPr>
              <w:t>表。</w:t>
            </w:r>
          </w:p>
          <w:p w14:paraId="17E086D9">
            <w:pPr>
              <w:pStyle w:val="46"/>
              <w:keepNext w:val="0"/>
              <w:keepLines w:val="0"/>
              <w:pageBreakBefore w:val="0"/>
              <w:widowControl w:val="0"/>
              <w:kinsoku/>
              <w:wordWrap/>
              <w:overflowPunct/>
              <w:topLinePunct w:val="0"/>
              <w:autoSpaceDE/>
              <w:autoSpaceDN/>
              <w:bidi w:val="0"/>
              <w:spacing w:before="0" w:after="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4</w:t>
            </w:r>
            <w:r>
              <w:rPr>
                <w:rFonts w:hint="default" w:ascii="Times New Roman" w:hAnsi="Times New Roman" w:eastAsia="宋体" w:cs="Times New Roman"/>
                <w:b/>
                <w:color w:val="000000" w:themeColor="text1"/>
                <w:sz w:val="21"/>
                <w:szCs w:val="21"/>
              </w:rPr>
              <w:t xml:space="preserve"> </w:t>
            </w:r>
            <w:r>
              <w:rPr>
                <w:rFonts w:hint="eastAsia" w:ascii="Times New Roman" w:hAnsi="Times New Roman" w:eastAsia="宋体" w:cs="Times New Roman"/>
                <w:b/>
                <w:color w:val="000000" w:themeColor="text1"/>
                <w:sz w:val="21"/>
                <w:szCs w:val="21"/>
                <w:lang w:val="en-US" w:eastAsia="zh-CN"/>
              </w:rPr>
              <w:t>项目</w:t>
            </w:r>
            <w:r>
              <w:rPr>
                <w:rFonts w:hint="default" w:ascii="Times New Roman" w:hAnsi="Times New Roman" w:eastAsia="宋体" w:cs="Times New Roman"/>
                <w:b/>
                <w:color w:val="000000" w:themeColor="text1"/>
                <w:sz w:val="21"/>
                <w:szCs w:val="21"/>
              </w:rPr>
              <w:t>原辅材料及能源消耗一览表</w:t>
            </w:r>
          </w:p>
          <w:tbl>
            <w:tblPr>
              <w:tblStyle w:val="33"/>
              <w:tblW w:w="8016" w:type="dxa"/>
              <w:jc w:val="center"/>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743"/>
              <w:gridCol w:w="1006"/>
              <w:gridCol w:w="1047"/>
              <w:gridCol w:w="1155"/>
              <w:gridCol w:w="1020"/>
              <w:gridCol w:w="1245"/>
              <w:gridCol w:w="1800"/>
            </w:tblGrid>
            <w:tr w14:paraId="1AAB94FA">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98" w:hRule="atLeast"/>
                <w:jc w:val="center"/>
              </w:trPr>
              <w:tc>
                <w:tcPr>
                  <w:tcW w:w="463" w:type="pct"/>
                  <w:tcBorders>
                    <w:top w:val="single" w:color="000000" w:sz="12" w:space="0"/>
                  </w:tcBorders>
                  <w:shd w:val="clear" w:color="auto" w:fill="FFFFFF"/>
                  <w:noWrap w:val="0"/>
                  <w:vAlign w:val="center"/>
                </w:tcPr>
                <w:p w14:paraId="70411287">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序号</w:t>
                  </w:r>
                </w:p>
              </w:tc>
              <w:tc>
                <w:tcPr>
                  <w:tcW w:w="627" w:type="pct"/>
                  <w:tcBorders>
                    <w:top w:val="single" w:color="000000" w:sz="12" w:space="0"/>
                  </w:tcBorders>
                  <w:shd w:val="clear" w:color="auto" w:fill="FFFFFF"/>
                  <w:noWrap w:val="0"/>
                  <w:vAlign w:val="center"/>
                </w:tcPr>
                <w:p w14:paraId="719527C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名称</w:t>
                  </w:r>
                </w:p>
              </w:tc>
              <w:tc>
                <w:tcPr>
                  <w:tcW w:w="653" w:type="pct"/>
                  <w:tcBorders>
                    <w:top w:val="single" w:color="000000" w:sz="12" w:space="0"/>
                  </w:tcBorders>
                  <w:shd w:val="clear" w:color="auto" w:fill="FFFFFF"/>
                  <w:noWrap w:val="0"/>
                  <w:vAlign w:val="center"/>
                </w:tcPr>
                <w:p w14:paraId="48A39DBC">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主要成分及规格</w:t>
                  </w:r>
                </w:p>
              </w:tc>
              <w:tc>
                <w:tcPr>
                  <w:tcW w:w="720" w:type="pct"/>
                  <w:tcBorders>
                    <w:top w:val="single" w:color="000000" w:sz="12" w:space="0"/>
                  </w:tcBorders>
                  <w:shd w:val="clear" w:color="auto" w:fill="FFFFFF"/>
                  <w:noWrap w:val="0"/>
                  <w:vAlign w:val="center"/>
                </w:tcPr>
                <w:p w14:paraId="597D3385">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项目</w:t>
                  </w:r>
                  <w:r>
                    <w:rPr>
                      <w:rFonts w:hint="eastAsia"/>
                      <w:b/>
                      <w:bCs/>
                      <w:color w:val="000000" w:themeColor="text1"/>
                      <w:sz w:val="21"/>
                      <w:szCs w:val="21"/>
                      <w:highlight w:val="none"/>
                    </w:rPr>
                    <w:t>年</w:t>
                  </w:r>
                  <w:r>
                    <w:rPr>
                      <w:b/>
                      <w:bCs/>
                      <w:color w:val="000000" w:themeColor="text1"/>
                      <w:sz w:val="21"/>
                      <w:szCs w:val="21"/>
                      <w:highlight w:val="none"/>
                    </w:rPr>
                    <w:t>耗量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636" w:type="pct"/>
                  <w:tcBorders>
                    <w:top w:val="single" w:color="000000" w:sz="12" w:space="0"/>
                  </w:tcBorders>
                  <w:shd w:val="clear" w:color="auto" w:fill="FFFFFF"/>
                  <w:noWrap w:val="0"/>
                  <w:vAlign w:val="center"/>
                </w:tcPr>
                <w:p w14:paraId="2FD386E9">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rPr>
                    <w:t>最大储存量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w:t>
                  </w:r>
                  <w:r>
                    <w:rPr>
                      <w:rFonts w:hint="eastAsia"/>
                      <w:b/>
                      <w:bCs/>
                      <w:color w:val="000000" w:themeColor="text1"/>
                      <w:sz w:val="21"/>
                      <w:szCs w:val="21"/>
                      <w:highlight w:val="none"/>
                      <w:lang w:eastAsia="zh-CN"/>
                    </w:rPr>
                    <w:t>）</w:t>
                  </w:r>
                </w:p>
              </w:tc>
              <w:tc>
                <w:tcPr>
                  <w:tcW w:w="776" w:type="pct"/>
                  <w:tcBorders>
                    <w:top w:val="single" w:color="000000" w:sz="12" w:space="0"/>
                  </w:tcBorders>
                  <w:shd w:val="clear" w:color="auto" w:fill="FFFFFF"/>
                  <w:noWrap w:val="0"/>
                  <w:vAlign w:val="center"/>
                </w:tcPr>
                <w:p w14:paraId="05665DC6">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rPr>
                    <w:t>贮存</w:t>
                  </w:r>
                  <w:r>
                    <w:rPr>
                      <w:rFonts w:hint="eastAsia"/>
                      <w:b/>
                      <w:bCs/>
                      <w:color w:val="000000" w:themeColor="text1"/>
                      <w:sz w:val="21"/>
                      <w:szCs w:val="21"/>
                      <w:highlight w:val="none"/>
                      <w:lang w:val="en-US" w:eastAsia="zh-CN"/>
                    </w:rPr>
                    <w:t>及</w:t>
                  </w:r>
                  <w:r>
                    <w:rPr>
                      <w:rFonts w:hint="eastAsia"/>
                      <w:b/>
                      <w:bCs/>
                      <w:color w:val="000000" w:themeColor="text1"/>
                      <w:sz w:val="21"/>
                      <w:szCs w:val="21"/>
                      <w:highlight w:val="none"/>
                    </w:rPr>
                    <w:t>包装方式</w:t>
                  </w:r>
                </w:p>
              </w:tc>
              <w:tc>
                <w:tcPr>
                  <w:tcW w:w="1122" w:type="pct"/>
                  <w:tcBorders>
                    <w:top w:val="single" w:color="000000" w:sz="12" w:space="0"/>
                  </w:tcBorders>
                  <w:noWrap w:val="0"/>
                  <w:vAlign w:val="center"/>
                </w:tcPr>
                <w:p w14:paraId="77C44C93">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5FD26178">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556" w:hRule="atLeast"/>
                <w:jc w:val="center"/>
              </w:trPr>
              <w:tc>
                <w:tcPr>
                  <w:tcW w:w="463" w:type="pct"/>
                  <w:noWrap w:val="0"/>
                  <w:vAlign w:val="center"/>
                </w:tcPr>
                <w:p w14:paraId="26A0D06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w:t>
                  </w:r>
                </w:p>
              </w:tc>
              <w:tc>
                <w:tcPr>
                  <w:tcW w:w="627" w:type="pct"/>
                  <w:noWrap w:val="0"/>
                  <w:vAlign w:val="center"/>
                </w:tcPr>
                <w:p w14:paraId="12ECEA3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炭黑</w:t>
                  </w:r>
                </w:p>
              </w:tc>
              <w:tc>
                <w:tcPr>
                  <w:tcW w:w="653" w:type="pct"/>
                  <w:noWrap w:val="0"/>
                  <w:vAlign w:val="center"/>
                </w:tcPr>
                <w:p w14:paraId="4AAA6E4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含水率50%</w:t>
                  </w:r>
                </w:p>
              </w:tc>
              <w:tc>
                <w:tcPr>
                  <w:tcW w:w="720" w:type="pct"/>
                  <w:noWrap w:val="0"/>
                  <w:vAlign w:val="center"/>
                </w:tcPr>
                <w:p w14:paraId="2FD837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1350</w:t>
                  </w:r>
                </w:p>
              </w:tc>
              <w:tc>
                <w:tcPr>
                  <w:tcW w:w="636" w:type="pct"/>
                  <w:noWrap w:val="0"/>
                  <w:vAlign w:val="center"/>
                </w:tcPr>
                <w:p w14:paraId="19647F8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50</w:t>
                  </w:r>
                </w:p>
              </w:tc>
              <w:tc>
                <w:tcPr>
                  <w:tcW w:w="776" w:type="pct"/>
                  <w:noWrap w:val="0"/>
                  <w:vAlign w:val="center"/>
                </w:tcPr>
                <w:p w14:paraId="6A17B77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原料仓库（6#厂房），吨袋，1000kg/袋</w:t>
                  </w:r>
                </w:p>
              </w:tc>
              <w:tc>
                <w:tcPr>
                  <w:tcW w:w="1122" w:type="pct"/>
                  <w:noWrap w:val="0"/>
                  <w:vAlign w:val="center"/>
                </w:tcPr>
                <w:p w14:paraId="2F81EBB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外购一般固废，固废代码为：900-099-S59（《固体废物分类与代码名录（2024年版）》）。来源于</w:t>
                  </w:r>
                  <w:r>
                    <w:rPr>
                      <w:rFonts w:hint="eastAsia"/>
                      <w:color w:val="000000" w:themeColor="text1"/>
                      <w:sz w:val="21"/>
                      <w:szCs w:val="21"/>
                      <w:highlight w:val="none"/>
                      <w:lang w:val="en-US" w:eastAsia="zh-CN"/>
                    </w:rPr>
                    <w:fldChar w:fldCharType="begin"/>
                  </w:r>
                  <w:r>
                    <w:rPr>
                      <w:rFonts w:hint="eastAsia"/>
                      <w:color w:val="000000" w:themeColor="text1"/>
                      <w:sz w:val="21"/>
                      <w:szCs w:val="21"/>
                      <w:highlight w:val="none"/>
                      <w:lang w:val="en-US" w:eastAsia="zh-CN"/>
                    </w:rPr>
                    <w:instrText xml:space="preserve"> HYPERLINK "https://jukunchem.ypshop.net/" \o "吉林市吉化北方炬醌工贸有限责任公司" </w:instrText>
                  </w:r>
                  <w:r>
                    <w:rPr>
                      <w:rFonts w:hint="eastAsia"/>
                      <w:color w:val="000000" w:themeColor="text1"/>
                      <w:sz w:val="21"/>
                      <w:szCs w:val="21"/>
                      <w:highlight w:val="none"/>
                      <w:lang w:val="en-US" w:eastAsia="zh-CN"/>
                    </w:rPr>
                    <w:fldChar w:fldCharType="separate"/>
                  </w:r>
                  <w:r>
                    <w:rPr>
                      <w:rFonts w:hint="eastAsia"/>
                      <w:color w:val="000000" w:themeColor="text1"/>
                      <w:sz w:val="21"/>
                      <w:szCs w:val="21"/>
                      <w:highlight w:val="none"/>
                      <w:lang w:val="en-US" w:eastAsia="zh-CN"/>
                    </w:rPr>
                    <w:t>福建炼油化工有限公司</w:t>
                  </w:r>
                  <w:r>
                    <w:rPr>
                      <w:rFonts w:hint="eastAsia"/>
                      <w:color w:val="000000" w:themeColor="text1"/>
                      <w:sz w:val="21"/>
                      <w:szCs w:val="21"/>
                      <w:highlight w:val="none"/>
                      <w:lang w:val="en-US" w:eastAsia="zh-CN"/>
                    </w:rPr>
                    <w:fldChar w:fldCharType="end"/>
                  </w:r>
                  <w:r>
                    <w:rPr>
                      <w:rFonts w:hint="eastAsia"/>
                      <w:color w:val="000000" w:themeColor="text1"/>
                      <w:sz w:val="21"/>
                      <w:szCs w:val="21"/>
                      <w:highlight w:val="none"/>
                      <w:lang w:val="en-US" w:eastAsia="zh-CN"/>
                    </w:rPr>
                    <w:t>，汽运。</w:t>
                  </w:r>
                  <w:r>
                    <w:rPr>
                      <w:rFonts w:hint="eastAsia" w:cs="Times New Roman"/>
                      <w:b w:val="0"/>
                      <w:bCs/>
                      <w:color w:val="000000" w:themeColor="text1"/>
                      <w:sz w:val="21"/>
                      <w:szCs w:val="21"/>
                      <w:lang w:val="en-US" w:eastAsia="zh-CN"/>
                    </w:rPr>
                    <w:t>主要为烃裂解形成的炭黑。</w:t>
                  </w:r>
                </w:p>
              </w:tc>
            </w:tr>
            <w:tr w14:paraId="18B8B0CB">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43" w:hRule="atLeast"/>
                <w:jc w:val="center"/>
              </w:trPr>
              <w:tc>
                <w:tcPr>
                  <w:tcW w:w="463" w:type="pct"/>
                  <w:noWrap w:val="0"/>
                  <w:vAlign w:val="center"/>
                </w:tcPr>
                <w:p w14:paraId="0A26B6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2</w:t>
                  </w:r>
                </w:p>
              </w:tc>
              <w:tc>
                <w:tcPr>
                  <w:tcW w:w="627" w:type="pct"/>
                  <w:noWrap w:val="0"/>
                  <w:vAlign w:val="center"/>
                </w:tcPr>
                <w:p w14:paraId="77D567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PE粒子</w:t>
                  </w:r>
                </w:p>
              </w:tc>
              <w:tc>
                <w:tcPr>
                  <w:tcW w:w="653" w:type="pct"/>
                  <w:noWrap w:val="0"/>
                  <w:vAlign w:val="center"/>
                </w:tcPr>
                <w:p w14:paraId="2E3E284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b w:val="0"/>
                      <w:bCs/>
                      <w:i w:val="0"/>
                      <w:caps w:val="0"/>
                      <w:color w:val="000000" w:themeColor="text1"/>
                      <w:spacing w:val="0"/>
                      <w:w w:val="100"/>
                      <w:sz w:val="21"/>
                      <w:szCs w:val="21"/>
                    </w:rPr>
                    <w:t>聚乙烯</w:t>
                  </w:r>
                </w:p>
              </w:tc>
              <w:tc>
                <w:tcPr>
                  <w:tcW w:w="720" w:type="pct"/>
                  <w:noWrap w:val="0"/>
                  <w:vAlign w:val="center"/>
                </w:tcPr>
                <w:p w14:paraId="3F1E8C2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530.1</w:t>
                  </w:r>
                </w:p>
              </w:tc>
              <w:tc>
                <w:tcPr>
                  <w:tcW w:w="636" w:type="pct"/>
                  <w:noWrap w:val="0"/>
                  <w:vAlign w:val="center"/>
                </w:tcPr>
                <w:p w14:paraId="1366203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15</w:t>
                  </w:r>
                </w:p>
              </w:tc>
              <w:tc>
                <w:tcPr>
                  <w:tcW w:w="776" w:type="pct"/>
                  <w:noWrap w:val="0"/>
                  <w:vAlign w:val="center"/>
                </w:tcPr>
                <w:p w14:paraId="7196BF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s="Times New Roman"/>
                      <w:color w:val="000000" w:themeColor="text1"/>
                      <w:sz w:val="21"/>
                      <w:szCs w:val="21"/>
                      <w:highlight w:val="none"/>
                      <w:lang w:val="en-US" w:eastAsia="zh-CN"/>
                    </w:rPr>
                    <w:t>袋装，25kg/袋</w:t>
                  </w:r>
                </w:p>
              </w:tc>
              <w:tc>
                <w:tcPr>
                  <w:tcW w:w="1122" w:type="pct"/>
                  <w:noWrap w:val="0"/>
                  <w:vAlign w:val="center"/>
                </w:tcPr>
                <w:p w14:paraId="0325F00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外购产品，汽运</w:t>
                  </w:r>
                </w:p>
              </w:tc>
            </w:tr>
            <w:tr w14:paraId="4FFAC628">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43" w:hRule="atLeast"/>
                <w:jc w:val="center"/>
              </w:trPr>
              <w:tc>
                <w:tcPr>
                  <w:tcW w:w="463" w:type="pct"/>
                  <w:noWrap w:val="0"/>
                  <w:vAlign w:val="center"/>
                </w:tcPr>
                <w:p w14:paraId="61A9AEA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w:t>
                  </w:r>
                </w:p>
              </w:tc>
              <w:tc>
                <w:tcPr>
                  <w:tcW w:w="627" w:type="pct"/>
                  <w:noWrap w:val="0"/>
                  <w:vAlign w:val="center"/>
                </w:tcPr>
                <w:p w14:paraId="1A7F9F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EVA粒子</w:t>
                  </w:r>
                </w:p>
              </w:tc>
              <w:tc>
                <w:tcPr>
                  <w:tcW w:w="653" w:type="pct"/>
                  <w:noWrap w:val="0"/>
                  <w:vAlign w:val="center"/>
                </w:tcPr>
                <w:p w14:paraId="143C68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 w:val="0"/>
                      <w:bCs/>
                      <w:i w:val="0"/>
                      <w:caps w:val="0"/>
                      <w:color w:val="000000" w:themeColor="text1"/>
                      <w:spacing w:val="0"/>
                      <w:w w:val="100"/>
                      <w:sz w:val="21"/>
                      <w:szCs w:val="21"/>
                    </w:rPr>
                  </w:pPr>
                  <w:r>
                    <w:rPr>
                      <w:rFonts w:ascii="Helvetica" w:hAnsi="Helvetica" w:eastAsia="Helvetica" w:cs="Helvetica"/>
                      <w:i w:val="0"/>
                      <w:iCs w:val="0"/>
                      <w:caps w:val="0"/>
                      <w:color w:val="000000" w:themeColor="text1"/>
                      <w:spacing w:val="0"/>
                      <w:sz w:val="21"/>
                      <w:szCs w:val="21"/>
                      <w:shd w:val="clear" w:fill="FFFFFF"/>
                    </w:rPr>
                    <w:t>乙烯-醋酸乙烯共聚物</w:t>
                  </w:r>
                </w:p>
              </w:tc>
              <w:tc>
                <w:tcPr>
                  <w:tcW w:w="720" w:type="pct"/>
                  <w:noWrap w:val="0"/>
                  <w:vAlign w:val="center"/>
                </w:tcPr>
                <w:p w14:paraId="4292021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300.035</w:t>
                  </w:r>
                </w:p>
              </w:tc>
              <w:tc>
                <w:tcPr>
                  <w:tcW w:w="636" w:type="pct"/>
                  <w:noWrap w:val="0"/>
                  <w:vAlign w:val="center"/>
                </w:tcPr>
                <w:p w14:paraId="27036B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5</w:t>
                  </w:r>
                </w:p>
              </w:tc>
              <w:tc>
                <w:tcPr>
                  <w:tcW w:w="776" w:type="pct"/>
                  <w:noWrap w:val="0"/>
                  <w:vAlign w:val="center"/>
                </w:tcPr>
                <w:p w14:paraId="7D950B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s="Times New Roman"/>
                      <w:color w:val="000000" w:themeColor="text1"/>
                      <w:sz w:val="21"/>
                      <w:szCs w:val="21"/>
                      <w:highlight w:val="none"/>
                      <w:lang w:val="en-US" w:eastAsia="zh-CN"/>
                    </w:rPr>
                  </w:pPr>
                  <w:r>
                    <w:rPr>
                      <w:rFonts w:hint="eastAsia" w:cs="Times New Roman"/>
                      <w:color w:val="000000" w:themeColor="text1"/>
                      <w:sz w:val="21"/>
                      <w:szCs w:val="21"/>
                      <w:highlight w:val="none"/>
                      <w:lang w:val="en-US" w:eastAsia="zh-CN"/>
                    </w:rPr>
                    <w:t>袋装，25kg/袋</w:t>
                  </w:r>
                </w:p>
              </w:tc>
              <w:tc>
                <w:tcPr>
                  <w:tcW w:w="1122" w:type="pct"/>
                  <w:noWrap w:val="0"/>
                  <w:vAlign w:val="center"/>
                </w:tcPr>
                <w:p w14:paraId="61439A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外购产品，汽运</w:t>
                  </w:r>
                </w:p>
              </w:tc>
            </w:tr>
            <w:tr w14:paraId="44B46B57">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25" w:hRule="atLeast"/>
                <w:jc w:val="center"/>
              </w:trPr>
              <w:tc>
                <w:tcPr>
                  <w:tcW w:w="463" w:type="pct"/>
                  <w:noWrap w:val="0"/>
                  <w:vAlign w:val="center"/>
                </w:tcPr>
                <w:p w14:paraId="703AC6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w:t>
                  </w:r>
                </w:p>
              </w:tc>
              <w:tc>
                <w:tcPr>
                  <w:tcW w:w="627" w:type="pct"/>
                  <w:noWrap w:val="0"/>
                  <w:vAlign w:val="center"/>
                </w:tcPr>
                <w:p w14:paraId="443FA5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水</w:t>
                  </w:r>
                </w:p>
              </w:tc>
              <w:tc>
                <w:tcPr>
                  <w:tcW w:w="653" w:type="pct"/>
                  <w:noWrap w:val="0"/>
                  <w:vAlign w:val="center"/>
                </w:tcPr>
                <w:p w14:paraId="043A55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720" w:type="pct"/>
                  <w:noWrap w:val="0"/>
                  <w:vAlign w:val="center"/>
                </w:tcPr>
                <w:p w14:paraId="0A24A0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1110</w:t>
                  </w:r>
                </w:p>
              </w:tc>
              <w:tc>
                <w:tcPr>
                  <w:tcW w:w="2535" w:type="pct"/>
                  <w:gridSpan w:val="3"/>
                  <w:noWrap w:val="0"/>
                  <w:vAlign w:val="center"/>
                </w:tcPr>
                <w:p w14:paraId="6945CA1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园区水网供水</w:t>
                  </w:r>
                </w:p>
              </w:tc>
            </w:tr>
            <w:tr w14:paraId="2FC63022">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88" w:hRule="atLeast"/>
                <w:jc w:val="center"/>
              </w:trPr>
              <w:tc>
                <w:tcPr>
                  <w:tcW w:w="463" w:type="pct"/>
                  <w:noWrap w:val="0"/>
                  <w:vAlign w:val="center"/>
                </w:tcPr>
                <w:p w14:paraId="5D007EB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w:t>
                  </w:r>
                </w:p>
              </w:tc>
              <w:tc>
                <w:tcPr>
                  <w:tcW w:w="627" w:type="pct"/>
                  <w:noWrap w:val="0"/>
                  <w:vAlign w:val="center"/>
                </w:tcPr>
                <w:p w14:paraId="1503652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电</w:t>
                  </w:r>
                </w:p>
              </w:tc>
              <w:tc>
                <w:tcPr>
                  <w:tcW w:w="653" w:type="pct"/>
                  <w:noWrap w:val="0"/>
                  <w:vAlign w:val="center"/>
                </w:tcPr>
                <w:p w14:paraId="474DE4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720" w:type="pct"/>
                  <w:noWrap w:val="0"/>
                  <w:vAlign w:val="center"/>
                </w:tcPr>
                <w:p w14:paraId="3D3BBA8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50</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2535" w:type="pct"/>
                  <w:gridSpan w:val="3"/>
                  <w:noWrap w:val="0"/>
                  <w:vAlign w:val="center"/>
                </w:tcPr>
                <w:p w14:paraId="25E6B19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园区电网供电</w:t>
                  </w:r>
                </w:p>
              </w:tc>
            </w:tr>
            <w:tr w14:paraId="08CF345A">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88" w:hRule="atLeast"/>
                <w:jc w:val="center"/>
              </w:trPr>
              <w:tc>
                <w:tcPr>
                  <w:tcW w:w="463" w:type="pct"/>
                  <w:tcBorders>
                    <w:bottom w:val="single" w:color="000000" w:sz="12" w:space="0"/>
                  </w:tcBorders>
                  <w:noWrap w:val="0"/>
                  <w:vAlign w:val="center"/>
                </w:tcPr>
                <w:p w14:paraId="368676F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6</w:t>
                  </w:r>
                </w:p>
              </w:tc>
              <w:tc>
                <w:tcPr>
                  <w:tcW w:w="627" w:type="pct"/>
                  <w:tcBorders>
                    <w:bottom w:val="single" w:color="000000" w:sz="12" w:space="0"/>
                  </w:tcBorders>
                  <w:noWrap w:val="0"/>
                  <w:vAlign w:val="center"/>
                </w:tcPr>
                <w:p w14:paraId="50B63B1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天然气</w:t>
                  </w:r>
                </w:p>
              </w:tc>
              <w:tc>
                <w:tcPr>
                  <w:tcW w:w="653" w:type="pct"/>
                  <w:tcBorders>
                    <w:bottom w:val="single" w:color="000000" w:sz="12" w:space="0"/>
                  </w:tcBorders>
                  <w:noWrap w:val="0"/>
                  <w:vAlign w:val="center"/>
                </w:tcPr>
                <w:p w14:paraId="2AEA15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720" w:type="pct"/>
                  <w:tcBorders>
                    <w:bottom w:val="single" w:color="000000" w:sz="12" w:space="0"/>
                  </w:tcBorders>
                  <w:noWrap w:val="0"/>
                  <w:vAlign w:val="center"/>
                </w:tcPr>
                <w:p w14:paraId="4973723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8万m</w:t>
                  </w:r>
                  <w:r>
                    <w:rPr>
                      <w:rFonts w:hint="eastAsia"/>
                      <w:color w:val="000000" w:themeColor="text1"/>
                      <w:sz w:val="21"/>
                      <w:szCs w:val="21"/>
                      <w:highlight w:val="none"/>
                      <w:vertAlign w:val="superscript"/>
                      <w:lang w:val="en-US" w:eastAsia="zh-CN"/>
                    </w:rPr>
                    <w:t>3</w:t>
                  </w:r>
                </w:p>
              </w:tc>
              <w:tc>
                <w:tcPr>
                  <w:tcW w:w="2535" w:type="pct"/>
                  <w:gridSpan w:val="3"/>
                  <w:tcBorders>
                    <w:bottom w:val="single" w:color="000000" w:sz="12" w:space="0"/>
                  </w:tcBorders>
                  <w:noWrap w:val="0"/>
                  <w:vAlign w:val="center"/>
                </w:tcPr>
                <w:p w14:paraId="02D1EC6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园区天然气网供气</w:t>
                  </w:r>
                </w:p>
              </w:tc>
            </w:tr>
          </w:tbl>
          <w:p w14:paraId="177CF842">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b/>
                <w:bCs/>
                <w:color w:val="000000" w:themeColor="text1"/>
                <w:sz w:val="21"/>
                <w:szCs w:val="21"/>
                <w:lang w:val="en-US" w:eastAsia="zh-CN"/>
              </w:rPr>
            </w:pPr>
            <w:r>
              <w:rPr>
                <w:rFonts w:hint="eastAsia"/>
                <w:b/>
                <w:bCs/>
                <w:color w:val="000000" w:themeColor="text1"/>
                <w:sz w:val="21"/>
                <w:szCs w:val="21"/>
                <w:lang w:val="en-US" w:eastAsia="zh-CN"/>
              </w:rPr>
              <w:t>注：*本项目使用聚乙烯粒子为外购新料，不使用再生塑料粒子</w:t>
            </w:r>
          </w:p>
          <w:p w14:paraId="05F21179">
            <w:pPr>
              <w:adjustRightInd w:val="0"/>
              <w:snapToGrid w:val="0"/>
              <w:rPr>
                <w:rFonts w:hint="default" w:cs="Times New Roman"/>
                <w:color w:val="000000" w:themeColor="text1"/>
                <w:lang w:val="en-US" w:eastAsia="zh-CN"/>
              </w:rPr>
            </w:pPr>
            <w:r>
              <w:rPr>
                <w:rFonts w:hint="eastAsia" w:cs="Times New Roman"/>
                <w:color w:val="000000" w:themeColor="text1"/>
                <w:lang w:val="en-US" w:eastAsia="zh-CN"/>
              </w:rPr>
              <w:t>本项目炭黑来源于</w:t>
            </w:r>
            <w:r>
              <w:rPr>
                <w:rFonts w:hint="eastAsia" w:cs="Times New Roman"/>
                <w:color w:val="000000" w:themeColor="text1"/>
                <w:lang w:val="en-US" w:eastAsia="zh-CN"/>
              </w:rPr>
              <w:fldChar w:fldCharType="begin"/>
            </w:r>
            <w:r>
              <w:rPr>
                <w:rFonts w:hint="eastAsia" w:cs="Times New Roman"/>
                <w:color w:val="000000" w:themeColor="text1"/>
                <w:lang w:val="en-US" w:eastAsia="zh-CN"/>
              </w:rPr>
              <w:instrText xml:space="preserve"> HYPERLINK "https://jukunchem.ypshop.net/" \o "吉林市吉化北方炬醌工贸有限责任公司" </w:instrText>
            </w:r>
            <w:r>
              <w:rPr>
                <w:rFonts w:hint="eastAsia" w:cs="Times New Roman"/>
                <w:color w:val="000000" w:themeColor="text1"/>
                <w:lang w:val="en-US" w:eastAsia="zh-CN"/>
              </w:rPr>
              <w:fldChar w:fldCharType="separate"/>
            </w:r>
            <w:r>
              <w:rPr>
                <w:rFonts w:hint="eastAsia" w:cs="Times New Roman"/>
                <w:color w:val="000000" w:themeColor="text1"/>
                <w:lang w:val="en-US" w:eastAsia="zh-CN"/>
              </w:rPr>
              <w:t>福建炼油化工有限公司</w:t>
            </w:r>
            <w:r>
              <w:rPr>
                <w:rFonts w:hint="eastAsia" w:cs="Times New Roman"/>
                <w:color w:val="000000" w:themeColor="text1"/>
                <w:lang w:val="en-US" w:eastAsia="zh-CN"/>
              </w:rPr>
              <w:fldChar w:fldCharType="end"/>
            </w:r>
            <w:r>
              <w:rPr>
                <w:rFonts w:hint="eastAsia" w:cs="Times New Roman"/>
                <w:color w:val="000000" w:themeColor="text1"/>
                <w:lang w:val="en-US" w:eastAsia="zh-CN"/>
              </w:rPr>
              <w:t>炼油装置的一般固废，外购协议与</w:t>
            </w:r>
            <w:r>
              <w:rPr>
                <w:rFonts w:hint="eastAsia" w:cs="Times New Roman"/>
                <w:color w:val="000000" w:themeColor="text1"/>
                <w:lang w:val="en-US" w:eastAsia="zh-CN"/>
              </w:rPr>
              <w:fldChar w:fldCharType="begin"/>
            </w:r>
            <w:r>
              <w:rPr>
                <w:rFonts w:hint="eastAsia" w:cs="Times New Roman"/>
                <w:color w:val="000000" w:themeColor="text1"/>
                <w:lang w:val="en-US" w:eastAsia="zh-CN"/>
              </w:rPr>
              <w:instrText xml:space="preserve"> HYPERLINK "https://jukunchem.ypshop.net/" \o "吉林市吉化北方炬醌工贸有限责任公司" </w:instrText>
            </w:r>
            <w:r>
              <w:rPr>
                <w:rFonts w:hint="eastAsia" w:cs="Times New Roman"/>
                <w:color w:val="000000" w:themeColor="text1"/>
                <w:lang w:val="en-US" w:eastAsia="zh-CN"/>
              </w:rPr>
              <w:fldChar w:fldCharType="separate"/>
            </w:r>
            <w:r>
              <w:rPr>
                <w:rFonts w:hint="eastAsia" w:cs="Times New Roman"/>
                <w:color w:val="000000" w:themeColor="text1"/>
                <w:lang w:val="en-US" w:eastAsia="zh-CN"/>
              </w:rPr>
              <w:t>福建省环境工程有限公司</w:t>
            </w:r>
            <w:r>
              <w:rPr>
                <w:rFonts w:hint="eastAsia" w:cs="Times New Roman"/>
                <w:color w:val="000000" w:themeColor="text1"/>
                <w:lang w:val="en-US" w:eastAsia="zh-CN"/>
              </w:rPr>
              <w:fldChar w:fldCharType="end"/>
            </w:r>
            <w:r>
              <w:rPr>
                <w:rFonts w:hint="eastAsia" w:cs="Times New Roman"/>
                <w:color w:val="000000" w:themeColor="text1"/>
                <w:lang w:val="en-US" w:eastAsia="zh-CN"/>
              </w:rPr>
              <w:t>签订，</w:t>
            </w:r>
            <w:r>
              <w:rPr>
                <w:rFonts w:hint="eastAsia" w:cs="Times New Roman"/>
                <w:color w:val="000000" w:themeColor="text1"/>
                <w:lang w:val="en-US" w:eastAsia="zh-CN"/>
              </w:rPr>
              <w:fldChar w:fldCharType="begin"/>
            </w:r>
            <w:r>
              <w:rPr>
                <w:rFonts w:hint="eastAsia" w:cs="Times New Roman"/>
                <w:color w:val="000000" w:themeColor="text1"/>
                <w:lang w:val="en-US" w:eastAsia="zh-CN"/>
              </w:rPr>
              <w:instrText xml:space="preserve"> HYPERLINK "https://jukunchem.ypshop.net/" \o "吉林市吉化北方炬醌工贸有限责任公司" </w:instrText>
            </w:r>
            <w:r>
              <w:rPr>
                <w:rFonts w:hint="eastAsia" w:cs="Times New Roman"/>
                <w:color w:val="000000" w:themeColor="text1"/>
                <w:lang w:val="en-US" w:eastAsia="zh-CN"/>
              </w:rPr>
              <w:fldChar w:fldCharType="separate"/>
            </w:r>
            <w:r>
              <w:rPr>
                <w:rFonts w:hint="eastAsia" w:cs="Times New Roman"/>
                <w:color w:val="000000" w:themeColor="text1"/>
                <w:lang w:val="en-US" w:eastAsia="zh-CN"/>
              </w:rPr>
              <w:t>福建省环境工程有限公司</w:t>
            </w:r>
            <w:r>
              <w:rPr>
                <w:rFonts w:hint="eastAsia" w:cs="Times New Roman"/>
                <w:color w:val="000000" w:themeColor="text1"/>
                <w:lang w:val="en-US" w:eastAsia="zh-CN"/>
              </w:rPr>
              <w:fldChar w:fldCharType="end"/>
            </w:r>
            <w:r>
              <w:rPr>
                <w:rFonts w:hint="eastAsia" w:cs="Times New Roman"/>
                <w:color w:val="000000" w:themeColor="text1"/>
                <w:lang w:val="en-US" w:eastAsia="zh-CN"/>
              </w:rPr>
              <w:t>为</w:t>
            </w:r>
            <w:r>
              <w:rPr>
                <w:rFonts w:hint="eastAsia" w:cs="Times New Roman"/>
                <w:color w:val="000000" w:themeColor="text1"/>
                <w:lang w:val="en-US" w:eastAsia="zh-CN"/>
              </w:rPr>
              <w:fldChar w:fldCharType="begin"/>
            </w:r>
            <w:r>
              <w:rPr>
                <w:rFonts w:hint="eastAsia" w:cs="Times New Roman"/>
                <w:color w:val="000000" w:themeColor="text1"/>
                <w:lang w:val="en-US" w:eastAsia="zh-CN"/>
              </w:rPr>
              <w:instrText xml:space="preserve"> HYPERLINK "https://jukunchem.ypshop.net/" \o "吉林市吉化北方炬醌工贸有限责任公司" </w:instrText>
            </w:r>
            <w:r>
              <w:rPr>
                <w:rFonts w:hint="eastAsia" w:cs="Times New Roman"/>
                <w:color w:val="000000" w:themeColor="text1"/>
                <w:lang w:val="en-US" w:eastAsia="zh-CN"/>
              </w:rPr>
              <w:fldChar w:fldCharType="separate"/>
            </w:r>
            <w:r>
              <w:rPr>
                <w:rFonts w:hint="eastAsia" w:cs="Times New Roman"/>
                <w:color w:val="000000" w:themeColor="text1"/>
                <w:lang w:val="en-US" w:eastAsia="zh-CN"/>
              </w:rPr>
              <w:t>福建炼油化工有限公司</w:t>
            </w:r>
            <w:r>
              <w:rPr>
                <w:rFonts w:hint="eastAsia" w:cs="Times New Roman"/>
                <w:color w:val="000000" w:themeColor="text1"/>
                <w:lang w:val="en-US" w:eastAsia="zh-CN"/>
              </w:rPr>
              <w:fldChar w:fldCharType="end"/>
            </w:r>
            <w:r>
              <w:rPr>
                <w:rFonts w:hint="eastAsia" w:cs="Times New Roman"/>
                <w:color w:val="000000" w:themeColor="text1"/>
                <w:lang w:val="en-US" w:eastAsia="zh-CN"/>
              </w:rPr>
              <w:t>下属机构，主要为处理</w:t>
            </w:r>
            <w:r>
              <w:rPr>
                <w:rFonts w:hint="eastAsia" w:cs="Times New Roman"/>
                <w:color w:val="000000" w:themeColor="text1"/>
                <w:lang w:val="en-US" w:eastAsia="zh-CN"/>
              </w:rPr>
              <w:fldChar w:fldCharType="begin"/>
            </w:r>
            <w:r>
              <w:rPr>
                <w:rFonts w:hint="eastAsia" w:cs="Times New Roman"/>
                <w:color w:val="000000" w:themeColor="text1"/>
                <w:lang w:val="en-US" w:eastAsia="zh-CN"/>
              </w:rPr>
              <w:instrText xml:space="preserve"> HYPERLINK "https://jukunchem.ypshop.net/" \o "吉林市吉化北方炬醌工贸有限责任公司" </w:instrText>
            </w:r>
            <w:r>
              <w:rPr>
                <w:rFonts w:hint="eastAsia" w:cs="Times New Roman"/>
                <w:color w:val="000000" w:themeColor="text1"/>
                <w:lang w:val="en-US" w:eastAsia="zh-CN"/>
              </w:rPr>
              <w:fldChar w:fldCharType="separate"/>
            </w:r>
            <w:r>
              <w:rPr>
                <w:rFonts w:hint="eastAsia" w:cs="Times New Roman"/>
                <w:color w:val="000000" w:themeColor="text1"/>
                <w:lang w:val="en-US" w:eastAsia="zh-CN"/>
              </w:rPr>
              <w:t>福建省环境工程有限公司</w:t>
            </w:r>
            <w:r>
              <w:rPr>
                <w:rFonts w:hint="eastAsia" w:cs="Times New Roman"/>
                <w:color w:val="000000" w:themeColor="text1"/>
                <w:lang w:val="en-US" w:eastAsia="zh-CN"/>
              </w:rPr>
              <w:fldChar w:fldCharType="end"/>
            </w:r>
            <w:r>
              <w:rPr>
                <w:rFonts w:hint="eastAsia" w:cs="Times New Roman"/>
                <w:color w:val="000000" w:themeColor="text1"/>
                <w:lang w:val="en-US" w:eastAsia="zh-CN"/>
              </w:rPr>
              <w:t>的固废设置。</w:t>
            </w:r>
          </w:p>
          <w:p w14:paraId="5A8B2CB2">
            <w:pPr>
              <w:adjustRightInd w:val="0"/>
              <w:snapToGrid w:val="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本项目使用炭黑为</w:t>
            </w:r>
            <w:r>
              <w:rPr>
                <w:rFonts w:hint="eastAsia" w:cs="Times New Roman"/>
                <w:color w:val="000000" w:themeColor="text1"/>
                <w:lang w:val="en-US" w:eastAsia="zh-CN"/>
              </w:rPr>
              <w:t>烃裂解形成的炭黑，裂解温度</w:t>
            </w:r>
            <w:r>
              <w:rPr>
                <w:rFonts w:hint="eastAsia" w:ascii="Times New Roman" w:hAnsi="Times New Roman" w:eastAsia="宋体" w:cs="Times New Roman"/>
                <w:color w:val="000000" w:themeColor="text1"/>
                <w:lang w:val="en-US" w:eastAsia="zh-CN"/>
              </w:rPr>
              <w:t>达</w:t>
            </w:r>
            <w:r>
              <w:rPr>
                <w:rFonts w:hint="default" w:ascii="Times New Roman" w:hAnsi="Times New Roman" w:eastAsia="宋体" w:cs="Times New Roman"/>
                <w:color w:val="000000" w:themeColor="text1"/>
                <w:lang w:val="en-US" w:eastAsia="zh-CN"/>
              </w:rPr>
              <w:t>2600</w:t>
            </w:r>
            <w:r>
              <w:rPr>
                <w:rFonts w:hint="eastAsia" w:ascii="Times New Roman" w:hAnsi="Times New Roman" w:eastAsia="宋体" w:cs="Times New Roman"/>
                <w:color w:val="000000" w:themeColor="text1"/>
                <w:lang w:val="en-US" w:eastAsia="zh-CN"/>
              </w:rPr>
              <w:t>℃</w:t>
            </w:r>
            <w:r>
              <w:rPr>
                <w:rFonts w:hint="eastAsia" w:cs="Times New Roman"/>
                <w:color w:val="000000" w:themeColor="text1"/>
                <w:lang w:val="en-US" w:eastAsia="zh-CN"/>
              </w:rPr>
              <w:t>，炭黑不含挥发性有机物（具体详见附件八）。</w:t>
            </w:r>
            <w:r>
              <w:rPr>
                <w:rFonts w:hint="eastAsia" w:ascii="Times New Roman" w:hAnsi="Times New Roman" w:eastAsia="宋体" w:cs="Times New Roman"/>
                <w:bCs/>
                <w:color w:val="000000" w:themeColor="text1"/>
                <w:lang w:val="en-US" w:eastAsia="zh-CN"/>
              </w:rPr>
              <w:t>根据建设单位提供检测报告，本项目炭黑主要含量如下</w:t>
            </w:r>
            <w:r>
              <w:rPr>
                <w:rFonts w:hint="eastAsia" w:ascii="Times New Roman" w:hAnsi="Times New Roman" w:eastAsia="宋体" w:cs="Times New Roman"/>
                <w:bCs/>
                <w:color w:val="000000" w:themeColor="text1"/>
                <w:sz w:val="24"/>
                <w:szCs w:val="24"/>
                <w:lang w:val="en-US" w:eastAsia="zh-CN"/>
              </w:rPr>
              <w:t>：挥发分（燃烧下的裂解物）含量1.78%、碳含量43.44%、灰分（燃烧后残留的无机物）含量4.78%、水分含量50%</w:t>
            </w:r>
            <w:r>
              <w:rPr>
                <w:rFonts w:hint="eastAsia" w:ascii="Times New Roman" w:hAnsi="Times New Roman" w:eastAsia="宋体" w:cs="Times New Roman"/>
                <w:bCs/>
                <w:color w:val="000000" w:themeColor="text1"/>
                <w:lang w:val="en-US" w:eastAsia="zh-CN"/>
              </w:rPr>
              <w:t xml:space="preserve">。 </w:t>
            </w:r>
          </w:p>
          <w:p w14:paraId="04E027B2">
            <w:pPr>
              <w:pStyle w:val="46"/>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5</w:t>
            </w:r>
            <w:r>
              <w:rPr>
                <w:rFonts w:hint="default" w:ascii="Times New Roman" w:hAnsi="Times New Roman" w:eastAsia="宋体" w:cs="Times New Roman"/>
                <w:b/>
                <w:color w:val="000000" w:themeColor="text1"/>
                <w:sz w:val="21"/>
                <w:szCs w:val="21"/>
              </w:rPr>
              <w:t xml:space="preserve"> 项目原辅材料及能源消耗</w:t>
            </w:r>
            <w:r>
              <w:rPr>
                <w:rFonts w:hint="eastAsia" w:ascii="Times New Roman" w:hAnsi="Times New Roman" w:eastAsia="宋体" w:cs="Times New Roman"/>
                <w:b/>
                <w:color w:val="000000" w:themeColor="text1"/>
                <w:sz w:val="21"/>
                <w:szCs w:val="21"/>
                <w:lang w:val="en-US" w:eastAsia="zh-CN"/>
              </w:rPr>
              <w:t>变化情况</w:t>
            </w:r>
            <w:r>
              <w:rPr>
                <w:rFonts w:hint="default" w:ascii="Times New Roman" w:hAnsi="Times New Roman" w:eastAsia="宋体" w:cs="Times New Roman"/>
                <w:b/>
                <w:color w:val="000000" w:themeColor="text1"/>
                <w:sz w:val="21"/>
                <w:szCs w:val="21"/>
              </w:rPr>
              <w:t>一览表</w:t>
            </w:r>
          </w:p>
          <w:tbl>
            <w:tblPr>
              <w:tblStyle w:val="33"/>
              <w:tblW w:w="7999" w:type="dxa"/>
              <w:jc w:val="center"/>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467"/>
              <w:gridCol w:w="1053"/>
              <w:gridCol w:w="985"/>
              <w:gridCol w:w="901"/>
              <w:gridCol w:w="813"/>
              <w:gridCol w:w="1031"/>
              <w:gridCol w:w="1114"/>
              <w:gridCol w:w="825"/>
              <w:gridCol w:w="810"/>
            </w:tblGrid>
            <w:tr w14:paraId="1AF81DEE">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839" w:hRule="atLeast"/>
                <w:jc w:val="center"/>
              </w:trPr>
              <w:tc>
                <w:tcPr>
                  <w:tcW w:w="291" w:type="pct"/>
                  <w:tcBorders>
                    <w:top w:val="single" w:color="000000" w:sz="12" w:space="0"/>
                  </w:tcBorders>
                  <w:shd w:val="clear" w:color="auto" w:fill="FFFFFF"/>
                  <w:noWrap w:val="0"/>
                  <w:vAlign w:val="center"/>
                </w:tcPr>
                <w:p w14:paraId="58FDFFA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序号</w:t>
                  </w:r>
                </w:p>
              </w:tc>
              <w:tc>
                <w:tcPr>
                  <w:tcW w:w="658" w:type="pct"/>
                  <w:tcBorders>
                    <w:top w:val="single" w:color="000000" w:sz="12" w:space="0"/>
                  </w:tcBorders>
                  <w:shd w:val="clear" w:color="auto" w:fill="FFFFFF"/>
                  <w:noWrap w:val="0"/>
                  <w:vAlign w:val="center"/>
                </w:tcPr>
                <w:p w14:paraId="069A000F">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名称</w:t>
                  </w:r>
                </w:p>
              </w:tc>
              <w:tc>
                <w:tcPr>
                  <w:tcW w:w="615" w:type="pct"/>
                  <w:tcBorders>
                    <w:top w:val="single" w:color="000000" w:sz="12" w:space="0"/>
                  </w:tcBorders>
                  <w:shd w:val="clear" w:color="auto" w:fill="FFFFFF"/>
                  <w:noWrap w:val="0"/>
                  <w:vAlign w:val="center"/>
                </w:tcPr>
                <w:p w14:paraId="51D1F32A">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扩建前</w:t>
                  </w:r>
                  <w:r>
                    <w:rPr>
                      <w:rFonts w:hint="eastAsia"/>
                      <w:b/>
                      <w:bCs/>
                      <w:color w:val="000000" w:themeColor="text1"/>
                      <w:sz w:val="21"/>
                      <w:szCs w:val="21"/>
                      <w:highlight w:val="none"/>
                    </w:rPr>
                    <w:t>年耗量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563" w:type="pct"/>
                  <w:tcBorders>
                    <w:top w:val="single" w:color="000000" w:sz="12" w:space="0"/>
                  </w:tcBorders>
                  <w:shd w:val="clear" w:color="auto" w:fill="FFFFFF"/>
                  <w:noWrap w:val="0"/>
                  <w:vAlign w:val="center"/>
                </w:tcPr>
                <w:p w14:paraId="6B969B58">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lang w:val="en-US" w:eastAsia="zh-CN"/>
                    </w:rPr>
                    <w:t>扩建项目</w:t>
                  </w:r>
                  <w:r>
                    <w:rPr>
                      <w:rFonts w:hint="eastAsia"/>
                      <w:b/>
                      <w:bCs/>
                      <w:color w:val="000000" w:themeColor="text1"/>
                      <w:sz w:val="21"/>
                      <w:szCs w:val="21"/>
                      <w:highlight w:val="none"/>
                    </w:rPr>
                    <w:t>年</w:t>
                  </w:r>
                  <w:r>
                    <w:rPr>
                      <w:b/>
                      <w:bCs/>
                      <w:color w:val="000000" w:themeColor="text1"/>
                      <w:sz w:val="21"/>
                      <w:szCs w:val="21"/>
                      <w:highlight w:val="none"/>
                    </w:rPr>
                    <w:t>耗量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508" w:type="pct"/>
                  <w:tcBorders>
                    <w:top w:val="single" w:color="000000" w:sz="12" w:space="0"/>
                  </w:tcBorders>
                  <w:shd w:val="clear" w:color="auto" w:fill="FFFFFF"/>
                  <w:noWrap w:val="0"/>
                  <w:vAlign w:val="center"/>
                </w:tcPr>
                <w:p w14:paraId="1B8ECEE6">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rPr>
                    <w:t>最大储存量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w:t>
                  </w:r>
                  <w:r>
                    <w:rPr>
                      <w:rFonts w:hint="eastAsia"/>
                      <w:b/>
                      <w:bCs/>
                      <w:color w:val="000000" w:themeColor="text1"/>
                      <w:sz w:val="21"/>
                      <w:szCs w:val="21"/>
                      <w:highlight w:val="none"/>
                      <w:lang w:eastAsia="zh-CN"/>
                    </w:rPr>
                    <w:t>）</w:t>
                  </w:r>
                </w:p>
              </w:tc>
              <w:tc>
                <w:tcPr>
                  <w:tcW w:w="644" w:type="pct"/>
                  <w:tcBorders>
                    <w:top w:val="single" w:color="000000" w:sz="12" w:space="0"/>
                  </w:tcBorders>
                  <w:shd w:val="clear" w:color="auto" w:fill="FFFFFF"/>
                  <w:noWrap w:val="0"/>
                  <w:vAlign w:val="center"/>
                </w:tcPr>
                <w:p w14:paraId="741B6D68">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lang w:val="en-US" w:eastAsia="zh-CN"/>
                    </w:rPr>
                    <w:t>扩建后</w:t>
                  </w:r>
                  <w:r>
                    <w:rPr>
                      <w:rFonts w:hint="eastAsia"/>
                      <w:b/>
                      <w:bCs/>
                      <w:color w:val="000000" w:themeColor="text1"/>
                      <w:sz w:val="21"/>
                      <w:szCs w:val="21"/>
                      <w:highlight w:val="none"/>
                    </w:rPr>
                    <w:t>年消耗总量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696" w:type="pct"/>
                  <w:tcBorders>
                    <w:top w:val="single" w:color="000000" w:sz="12" w:space="0"/>
                  </w:tcBorders>
                  <w:shd w:val="clear" w:color="auto" w:fill="FFFFFF"/>
                  <w:noWrap w:val="0"/>
                  <w:vAlign w:val="center"/>
                </w:tcPr>
                <w:p w14:paraId="413FAFF8">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rPr>
                    <w:t>贮存</w:t>
                  </w:r>
                  <w:r>
                    <w:rPr>
                      <w:rFonts w:hint="eastAsia"/>
                      <w:b/>
                      <w:bCs/>
                      <w:color w:val="000000" w:themeColor="text1"/>
                      <w:sz w:val="21"/>
                      <w:szCs w:val="21"/>
                      <w:highlight w:val="none"/>
                      <w:lang w:val="en-US" w:eastAsia="zh-CN"/>
                    </w:rPr>
                    <w:t>及</w:t>
                  </w:r>
                  <w:r>
                    <w:rPr>
                      <w:rFonts w:hint="eastAsia"/>
                      <w:b/>
                      <w:bCs/>
                      <w:color w:val="000000" w:themeColor="text1"/>
                      <w:sz w:val="21"/>
                      <w:szCs w:val="21"/>
                      <w:highlight w:val="none"/>
                    </w:rPr>
                    <w:t>包装方式</w:t>
                  </w:r>
                </w:p>
              </w:tc>
              <w:tc>
                <w:tcPr>
                  <w:tcW w:w="515" w:type="pct"/>
                  <w:tcBorders>
                    <w:top w:val="single" w:color="000000" w:sz="12" w:space="0"/>
                  </w:tcBorders>
                  <w:noWrap w:val="0"/>
                  <w:vAlign w:val="center"/>
                </w:tcPr>
                <w:p w14:paraId="3A6AC4C1">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变化量（t/a）</w:t>
                  </w:r>
                </w:p>
              </w:tc>
              <w:tc>
                <w:tcPr>
                  <w:tcW w:w="506" w:type="pct"/>
                  <w:tcBorders>
                    <w:top w:val="single" w:color="000000" w:sz="12" w:space="0"/>
                  </w:tcBorders>
                  <w:noWrap w:val="0"/>
                  <w:vAlign w:val="center"/>
                </w:tcPr>
                <w:p w14:paraId="0C98FA5B">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59C4D127">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94" w:hRule="atLeast"/>
                <w:jc w:val="center"/>
              </w:trPr>
              <w:tc>
                <w:tcPr>
                  <w:tcW w:w="291" w:type="pct"/>
                  <w:shd w:val="clear" w:color="auto" w:fill="FFFFFF"/>
                  <w:noWrap w:val="0"/>
                  <w:vAlign w:val="center"/>
                </w:tcPr>
                <w:p w14:paraId="1C21222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1</w:t>
                  </w:r>
                </w:p>
              </w:tc>
              <w:tc>
                <w:tcPr>
                  <w:tcW w:w="658" w:type="pct"/>
                  <w:shd w:val="clear" w:color="auto" w:fill="FFFFFF"/>
                  <w:noWrap w:val="0"/>
                  <w:vAlign w:val="center"/>
                </w:tcPr>
                <w:p w14:paraId="09CC6BB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炭黑（含水率50%）</w:t>
                  </w:r>
                </w:p>
              </w:tc>
              <w:tc>
                <w:tcPr>
                  <w:tcW w:w="615" w:type="pct"/>
                  <w:shd w:val="clear" w:color="auto" w:fill="FFFFFF"/>
                  <w:noWrap w:val="0"/>
                  <w:vAlign w:val="center"/>
                </w:tcPr>
                <w:p w14:paraId="0F730A3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9980</w:t>
                  </w:r>
                </w:p>
              </w:tc>
              <w:tc>
                <w:tcPr>
                  <w:tcW w:w="563" w:type="pct"/>
                  <w:shd w:val="clear" w:color="auto" w:fill="FFFFFF"/>
                  <w:noWrap w:val="0"/>
                  <w:vAlign w:val="center"/>
                </w:tcPr>
                <w:p w14:paraId="5EBC10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08" w:type="pct"/>
                  <w:shd w:val="clear" w:color="auto" w:fill="FFFFFF"/>
                  <w:noWrap w:val="0"/>
                  <w:vAlign w:val="center"/>
                </w:tcPr>
                <w:p w14:paraId="1FE3AE2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100t</w:t>
                  </w:r>
                </w:p>
              </w:tc>
              <w:tc>
                <w:tcPr>
                  <w:tcW w:w="644" w:type="pct"/>
                  <w:shd w:val="clear" w:color="auto" w:fill="FFFFFF"/>
                  <w:noWrap w:val="0"/>
                  <w:vAlign w:val="center"/>
                </w:tcPr>
                <w:p w14:paraId="03E301B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21"/>
                      <w:highlight w:val="none"/>
                      <w:lang w:val="en-US"/>
                    </w:rPr>
                  </w:pPr>
                  <w:r>
                    <w:rPr>
                      <w:rFonts w:hint="eastAsia"/>
                      <w:color w:val="000000" w:themeColor="text1"/>
                      <w:sz w:val="21"/>
                      <w:szCs w:val="21"/>
                      <w:highlight w:val="none"/>
                      <w:lang w:val="en-US" w:eastAsia="zh-CN"/>
                    </w:rPr>
                    <w:t>9980</w:t>
                  </w:r>
                </w:p>
              </w:tc>
              <w:tc>
                <w:tcPr>
                  <w:tcW w:w="696" w:type="pct"/>
                  <w:shd w:val="clear" w:color="auto" w:fill="FFFFFF"/>
                  <w:noWrap w:val="0"/>
                  <w:vAlign w:val="center"/>
                </w:tcPr>
                <w:p w14:paraId="1E426ED9">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原料仓库（3#厂房）袋装堆存</w:t>
                  </w:r>
                </w:p>
              </w:tc>
              <w:tc>
                <w:tcPr>
                  <w:tcW w:w="515" w:type="pct"/>
                  <w:noWrap w:val="0"/>
                  <w:vAlign w:val="center"/>
                </w:tcPr>
                <w:p w14:paraId="15581EA5">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06" w:type="pct"/>
                  <w:noWrap w:val="0"/>
                  <w:vAlign w:val="center"/>
                </w:tcPr>
                <w:p w14:paraId="7F00BF0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现有项目</w:t>
                  </w:r>
                </w:p>
              </w:tc>
            </w:tr>
            <w:tr w14:paraId="00662932">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34" w:hRule="atLeast"/>
                <w:jc w:val="center"/>
              </w:trPr>
              <w:tc>
                <w:tcPr>
                  <w:tcW w:w="291" w:type="pct"/>
                  <w:shd w:val="clear" w:color="auto" w:fill="FFFFFF"/>
                  <w:noWrap w:val="0"/>
                  <w:vAlign w:val="center"/>
                </w:tcPr>
                <w:p w14:paraId="57688C6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2</w:t>
                  </w:r>
                </w:p>
              </w:tc>
              <w:tc>
                <w:tcPr>
                  <w:tcW w:w="658" w:type="pct"/>
                  <w:shd w:val="clear" w:color="auto" w:fill="FFFFFF"/>
                  <w:noWrap w:val="0"/>
                  <w:vAlign w:val="center"/>
                </w:tcPr>
                <w:p w14:paraId="7765279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氯化钠</w:t>
                  </w:r>
                </w:p>
              </w:tc>
              <w:tc>
                <w:tcPr>
                  <w:tcW w:w="615" w:type="pct"/>
                  <w:shd w:val="clear" w:color="auto" w:fill="FFFFFF"/>
                  <w:noWrap w:val="0"/>
                  <w:vAlign w:val="center"/>
                </w:tcPr>
                <w:p w14:paraId="29523071">
                  <w:pPr>
                    <w:keepNext w:val="0"/>
                    <w:keepLines w:val="0"/>
                    <w:pageBreakBefore w:val="0"/>
                    <w:widowControl w:val="0"/>
                    <w:tabs>
                      <w:tab w:val="left" w:pos="402"/>
                    </w:tabs>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504</w:t>
                  </w:r>
                </w:p>
              </w:tc>
              <w:tc>
                <w:tcPr>
                  <w:tcW w:w="563" w:type="pct"/>
                  <w:shd w:val="clear" w:color="auto" w:fill="FFFFFF"/>
                  <w:noWrap w:val="0"/>
                  <w:vAlign w:val="center"/>
                </w:tcPr>
                <w:p w14:paraId="15DA366F">
                  <w:pPr>
                    <w:keepNext w:val="0"/>
                    <w:keepLines w:val="0"/>
                    <w:pageBreakBefore w:val="0"/>
                    <w:widowControl w:val="0"/>
                    <w:tabs>
                      <w:tab w:val="left" w:pos="402"/>
                    </w:tabs>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08" w:type="pct"/>
                  <w:shd w:val="clear" w:color="auto" w:fill="FFFFFF"/>
                  <w:noWrap w:val="0"/>
                  <w:vAlign w:val="center"/>
                </w:tcPr>
                <w:p w14:paraId="211687BD">
                  <w:pPr>
                    <w:keepNext w:val="0"/>
                    <w:keepLines w:val="0"/>
                    <w:pageBreakBefore w:val="0"/>
                    <w:widowControl w:val="0"/>
                    <w:tabs>
                      <w:tab w:val="left" w:pos="402"/>
                    </w:tabs>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10t</w:t>
                  </w:r>
                </w:p>
              </w:tc>
              <w:tc>
                <w:tcPr>
                  <w:tcW w:w="644" w:type="pct"/>
                  <w:shd w:val="clear" w:color="auto" w:fill="FFFFFF"/>
                  <w:noWrap w:val="0"/>
                  <w:vAlign w:val="center"/>
                </w:tcPr>
                <w:p w14:paraId="496DA15A">
                  <w:pPr>
                    <w:keepNext w:val="0"/>
                    <w:keepLines w:val="0"/>
                    <w:pageBreakBefore w:val="0"/>
                    <w:widowControl w:val="0"/>
                    <w:tabs>
                      <w:tab w:val="left" w:pos="402"/>
                    </w:tabs>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21"/>
                      <w:highlight w:val="none"/>
                      <w:lang w:val="en-US"/>
                    </w:rPr>
                  </w:pPr>
                  <w:r>
                    <w:rPr>
                      <w:rFonts w:hint="eastAsia"/>
                      <w:color w:val="000000" w:themeColor="text1"/>
                      <w:sz w:val="21"/>
                      <w:szCs w:val="21"/>
                      <w:highlight w:val="none"/>
                      <w:lang w:val="en-US" w:eastAsia="zh-CN"/>
                    </w:rPr>
                    <w:t>504</w:t>
                  </w:r>
                </w:p>
              </w:tc>
              <w:tc>
                <w:tcPr>
                  <w:tcW w:w="696" w:type="pct"/>
                  <w:shd w:val="clear" w:color="auto" w:fill="FFFFFF"/>
                  <w:noWrap w:val="0"/>
                  <w:vAlign w:val="center"/>
                </w:tcPr>
                <w:p w14:paraId="0A19FF7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原料仓库（3#厂房）袋装堆存</w:t>
                  </w:r>
                </w:p>
              </w:tc>
              <w:tc>
                <w:tcPr>
                  <w:tcW w:w="515" w:type="pct"/>
                  <w:noWrap w:val="0"/>
                  <w:vAlign w:val="center"/>
                </w:tcPr>
                <w:p w14:paraId="3DB1BF62">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06" w:type="pct"/>
                  <w:noWrap w:val="0"/>
                  <w:vAlign w:val="center"/>
                </w:tcPr>
                <w:p w14:paraId="7DF2F4EF">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现有项目</w:t>
                  </w:r>
                </w:p>
              </w:tc>
            </w:tr>
            <w:tr w14:paraId="30DE7E21">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89" w:hRule="atLeast"/>
                <w:jc w:val="center"/>
              </w:trPr>
              <w:tc>
                <w:tcPr>
                  <w:tcW w:w="291" w:type="pct"/>
                  <w:shd w:val="clear" w:color="auto" w:fill="FFFFFF"/>
                  <w:noWrap w:val="0"/>
                  <w:vAlign w:val="center"/>
                </w:tcPr>
                <w:p w14:paraId="7429F9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3</w:t>
                  </w:r>
                </w:p>
              </w:tc>
              <w:tc>
                <w:tcPr>
                  <w:tcW w:w="658" w:type="pct"/>
                  <w:shd w:val="clear" w:color="auto" w:fill="FFFFFF"/>
                  <w:noWrap w:val="0"/>
                  <w:vAlign w:val="center"/>
                </w:tcPr>
                <w:p w14:paraId="0C089A8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炭黑（含水率50%）</w:t>
                  </w:r>
                </w:p>
              </w:tc>
              <w:tc>
                <w:tcPr>
                  <w:tcW w:w="615" w:type="pct"/>
                  <w:shd w:val="clear" w:color="auto" w:fill="FFFFFF"/>
                  <w:noWrap w:val="0"/>
                  <w:vAlign w:val="center"/>
                </w:tcPr>
                <w:p w14:paraId="235FAFC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63" w:type="pct"/>
                  <w:shd w:val="clear" w:color="auto" w:fill="FFFFFF"/>
                  <w:noWrap w:val="0"/>
                  <w:vAlign w:val="center"/>
                </w:tcPr>
                <w:p w14:paraId="1FA9913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1350</w:t>
                  </w:r>
                </w:p>
              </w:tc>
              <w:tc>
                <w:tcPr>
                  <w:tcW w:w="508" w:type="pct"/>
                  <w:shd w:val="clear" w:color="auto" w:fill="FFFFFF"/>
                  <w:noWrap w:val="0"/>
                  <w:vAlign w:val="center"/>
                </w:tcPr>
                <w:p w14:paraId="75FCE54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50</w:t>
                  </w:r>
                </w:p>
              </w:tc>
              <w:tc>
                <w:tcPr>
                  <w:tcW w:w="644" w:type="pct"/>
                  <w:shd w:val="clear" w:color="auto" w:fill="FFFFFF"/>
                  <w:noWrap w:val="0"/>
                  <w:vAlign w:val="center"/>
                </w:tcPr>
                <w:p w14:paraId="0A854B0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1350</w:t>
                  </w:r>
                </w:p>
              </w:tc>
              <w:tc>
                <w:tcPr>
                  <w:tcW w:w="696" w:type="pct"/>
                  <w:shd w:val="clear" w:color="auto" w:fill="FFFFFF"/>
                  <w:noWrap w:val="0"/>
                  <w:vAlign w:val="center"/>
                </w:tcPr>
                <w:p w14:paraId="73D03A8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原料仓库（6#厂房）袋装堆存</w:t>
                  </w:r>
                </w:p>
              </w:tc>
              <w:tc>
                <w:tcPr>
                  <w:tcW w:w="515" w:type="pct"/>
                  <w:noWrap w:val="0"/>
                  <w:vAlign w:val="center"/>
                </w:tcPr>
                <w:p w14:paraId="0A74491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+1350</w:t>
                  </w:r>
                </w:p>
              </w:tc>
              <w:tc>
                <w:tcPr>
                  <w:tcW w:w="506" w:type="pct"/>
                  <w:noWrap w:val="0"/>
                  <w:vAlign w:val="center"/>
                </w:tcPr>
                <w:p w14:paraId="0798E6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本项目</w:t>
                  </w:r>
                </w:p>
              </w:tc>
            </w:tr>
            <w:tr w14:paraId="1FDC358F">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49" w:hRule="atLeast"/>
                <w:jc w:val="center"/>
              </w:trPr>
              <w:tc>
                <w:tcPr>
                  <w:tcW w:w="291" w:type="pct"/>
                  <w:shd w:val="clear" w:color="auto" w:fill="FFFFFF"/>
                  <w:noWrap w:val="0"/>
                  <w:vAlign w:val="center"/>
                </w:tcPr>
                <w:p w14:paraId="0F68BB0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rPr>
                    <w:t>4</w:t>
                  </w:r>
                </w:p>
              </w:tc>
              <w:tc>
                <w:tcPr>
                  <w:tcW w:w="658" w:type="pct"/>
                  <w:shd w:val="clear" w:color="auto" w:fill="FFFFFF"/>
                  <w:noWrap w:val="0"/>
                  <w:vAlign w:val="center"/>
                </w:tcPr>
                <w:p w14:paraId="6F995A9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PE粒子</w:t>
                  </w:r>
                </w:p>
              </w:tc>
              <w:tc>
                <w:tcPr>
                  <w:tcW w:w="615" w:type="pct"/>
                  <w:shd w:val="clear" w:color="auto" w:fill="FFFFFF"/>
                  <w:noWrap w:val="0"/>
                  <w:vAlign w:val="center"/>
                </w:tcPr>
                <w:p w14:paraId="6F94874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63" w:type="pct"/>
                  <w:shd w:val="clear" w:color="auto" w:fill="FFFFFF"/>
                  <w:noWrap w:val="0"/>
                  <w:vAlign w:val="center"/>
                </w:tcPr>
                <w:p w14:paraId="4E312DA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530.1</w:t>
                  </w:r>
                </w:p>
              </w:tc>
              <w:tc>
                <w:tcPr>
                  <w:tcW w:w="508" w:type="pct"/>
                  <w:shd w:val="clear" w:color="auto" w:fill="FFFFFF"/>
                  <w:noWrap w:val="0"/>
                  <w:vAlign w:val="center"/>
                </w:tcPr>
                <w:p w14:paraId="021C9A0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15</w:t>
                  </w:r>
                </w:p>
              </w:tc>
              <w:tc>
                <w:tcPr>
                  <w:tcW w:w="644" w:type="pct"/>
                  <w:shd w:val="clear" w:color="auto" w:fill="FFFFFF"/>
                  <w:noWrap w:val="0"/>
                  <w:vAlign w:val="center"/>
                </w:tcPr>
                <w:p w14:paraId="33C6A79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olor w:val="000000" w:themeColor="text1"/>
                      <w:sz w:val="21"/>
                      <w:szCs w:val="21"/>
                      <w:highlight w:val="none"/>
                      <w:lang w:val="en-US"/>
                    </w:rPr>
                  </w:pPr>
                  <w:r>
                    <w:rPr>
                      <w:rFonts w:hint="eastAsia"/>
                      <w:color w:val="000000" w:themeColor="text1"/>
                      <w:sz w:val="21"/>
                      <w:szCs w:val="21"/>
                      <w:highlight w:val="none"/>
                      <w:lang w:val="en-US" w:eastAsia="zh-CN"/>
                    </w:rPr>
                    <w:t>53</w:t>
                  </w:r>
                </w:p>
              </w:tc>
              <w:tc>
                <w:tcPr>
                  <w:tcW w:w="696" w:type="pct"/>
                  <w:shd w:val="clear" w:color="auto" w:fill="FFFFFF"/>
                  <w:noWrap w:val="0"/>
                  <w:vAlign w:val="center"/>
                </w:tcPr>
                <w:p w14:paraId="074F30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原料仓库（6#厂房）袋装堆存</w:t>
                  </w:r>
                </w:p>
              </w:tc>
              <w:tc>
                <w:tcPr>
                  <w:tcW w:w="515" w:type="pct"/>
                  <w:noWrap w:val="0"/>
                  <w:vAlign w:val="center"/>
                </w:tcPr>
                <w:p w14:paraId="0FF88F5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+530</w:t>
                  </w:r>
                </w:p>
              </w:tc>
              <w:tc>
                <w:tcPr>
                  <w:tcW w:w="506" w:type="pct"/>
                  <w:noWrap w:val="0"/>
                  <w:vAlign w:val="center"/>
                </w:tcPr>
                <w:p w14:paraId="45D9F5C7">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本项目</w:t>
                  </w:r>
                </w:p>
              </w:tc>
            </w:tr>
            <w:tr w14:paraId="4543EA8D">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49" w:hRule="atLeast"/>
                <w:jc w:val="center"/>
              </w:trPr>
              <w:tc>
                <w:tcPr>
                  <w:tcW w:w="291" w:type="pct"/>
                  <w:shd w:val="clear" w:color="auto" w:fill="FFFFFF"/>
                  <w:noWrap w:val="0"/>
                  <w:vAlign w:val="center"/>
                </w:tcPr>
                <w:p w14:paraId="0F15E85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w:t>
                  </w:r>
                </w:p>
              </w:tc>
              <w:tc>
                <w:tcPr>
                  <w:tcW w:w="658" w:type="pct"/>
                  <w:shd w:val="clear" w:color="auto" w:fill="FFFFFF"/>
                  <w:noWrap w:val="0"/>
                  <w:vAlign w:val="center"/>
                </w:tcPr>
                <w:p w14:paraId="14A99CF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EVA粒子</w:t>
                  </w:r>
                </w:p>
              </w:tc>
              <w:tc>
                <w:tcPr>
                  <w:tcW w:w="615" w:type="pct"/>
                  <w:shd w:val="clear" w:color="auto" w:fill="FFFFFF"/>
                  <w:noWrap w:val="0"/>
                  <w:vAlign w:val="center"/>
                </w:tcPr>
                <w:p w14:paraId="394958E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0</w:t>
                  </w:r>
                </w:p>
              </w:tc>
              <w:tc>
                <w:tcPr>
                  <w:tcW w:w="563" w:type="pct"/>
                  <w:shd w:val="clear" w:color="auto" w:fill="FFFFFF"/>
                  <w:noWrap w:val="0"/>
                  <w:vAlign w:val="center"/>
                </w:tcPr>
                <w:p w14:paraId="08A732B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300.035</w:t>
                  </w:r>
                </w:p>
              </w:tc>
              <w:tc>
                <w:tcPr>
                  <w:tcW w:w="508" w:type="pct"/>
                  <w:shd w:val="clear" w:color="auto" w:fill="FFFFFF"/>
                  <w:noWrap w:val="0"/>
                  <w:vAlign w:val="center"/>
                </w:tcPr>
                <w:p w14:paraId="4DAAB334">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5</w:t>
                  </w:r>
                </w:p>
              </w:tc>
              <w:tc>
                <w:tcPr>
                  <w:tcW w:w="644" w:type="pct"/>
                  <w:shd w:val="clear" w:color="auto" w:fill="FFFFFF"/>
                  <w:noWrap w:val="0"/>
                  <w:vAlign w:val="center"/>
                </w:tcPr>
                <w:p w14:paraId="0D2C9DE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300</w:t>
                  </w:r>
                </w:p>
              </w:tc>
              <w:tc>
                <w:tcPr>
                  <w:tcW w:w="696" w:type="pct"/>
                  <w:shd w:val="clear" w:color="auto" w:fill="FFFFFF"/>
                  <w:noWrap w:val="0"/>
                  <w:vAlign w:val="center"/>
                </w:tcPr>
                <w:p w14:paraId="069C58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原料仓库（6#厂房）袋装堆存</w:t>
                  </w:r>
                </w:p>
              </w:tc>
              <w:tc>
                <w:tcPr>
                  <w:tcW w:w="515" w:type="pct"/>
                  <w:noWrap w:val="0"/>
                  <w:vAlign w:val="center"/>
                </w:tcPr>
                <w:p w14:paraId="0D463F1B">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+300</w:t>
                  </w:r>
                </w:p>
              </w:tc>
              <w:tc>
                <w:tcPr>
                  <w:tcW w:w="506" w:type="pct"/>
                  <w:noWrap w:val="0"/>
                  <w:vAlign w:val="center"/>
                </w:tcPr>
                <w:p w14:paraId="101811C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本项目</w:t>
                  </w:r>
                </w:p>
              </w:tc>
            </w:tr>
            <w:tr w14:paraId="78521E46">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90" w:hRule="atLeast"/>
                <w:jc w:val="center"/>
              </w:trPr>
              <w:tc>
                <w:tcPr>
                  <w:tcW w:w="291" w:type="pct"/>
                  <w:noWrap w:val="0"/>
                  <w:vAlign w:val="center"/>
                </w:tcPr>
                <w:p w14:paraId="7EA3920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6</w:t>
                  </w:r>
                </w:p>
              </w:tc>
              <w:tc>
                <w:tcPr>
                  <w:tcW w:w="658" w:type="pct"/>
                  <w:noWrap w:val="0"/>
                  <w:vAlign w:val="center"/>
                </w:tcPr>
                <w:p w14:paraId="4001DAA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机油</w:t>
                  </w:r>
                </w:p>
              </w:tc>
              <w:tc>
                <w:tcPr>
                  <w:tcW w:w="615" w:type="pct"/>
                  <w:noWrap w:val="0"/>
                  <w:vAlign w:val="center"/>
                </w:tcPr>
                <w:p w14:paraId="276231B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0.5t</w:t>
                  </w:r>
                </w:p>
              </w:tc>
              <w:tc>
                <w:tcPr>
                  <w:tcW w:w="563" w:type="pct"/>
                  <w:noWrap w:val="0"/>
                  <w:vAlign w:val="center"/>
                </w:tcPr>
                <w:p w14:paraId="5E9BFAE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0.5</w:t>
                  </w:r>
                </w:p>
              </w:tc>
              <w:tc>
                <w:tcPr>
                  <w:tcW w:w="508" w:type="pct"/>
                  <w:noWrap w:val="0"/>
                  <w:vAlign w:val="center"/>
                </w:tcPr>
                <w:p w14:paraId="3E5EE1B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0.1t</w:t>
                  </w:r>
                </w:p>
              </w:tc>
              <w:tc>
                <w:tcPr>
                  <w:tcW w:w="644" w:type="pct"/>
                  <w:noWrap w:val="0"/>
                  <w:vAlign w:val="center"/>
                </w:tcPr>
                <w:p w14:paraId="6590D7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1</w:t>
                  </w:r>
                </w:p>
              </w:tc>
              <w:tc>
                <w:tcPr>
                  <w:tcW w:w="696" w:type="pct"/>
                  <w:noWrap w:val="0"/>
                  <w:vAlign w:val="center"/>
                </w:tcPr>
                <w:p w14:paraId="6C2D515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原料仓库，桶装，50kg/桶</w:t>
                  </w:r>
                </w:p>
              </w:tc>
              <w:tc>
                <w:tcPr>
                  <w:tcW w:w="515" w:type="pct"/>
                  <w:noWrap w:val="0"/>
                  <w:vAlign w:val="center"/>
                </w:tcPr>
                <w:p w14:paraId="189137D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+0.1</w:t>
                  </w:r>
                </w:p>
              </w:tc>
              <w:tc>
                <w:tcPr>
                  <w:tcW w:w="506" w:type="pct"/>
                  <w:noWrap w:val="0"/>
                  <w:vAlign w:val="center"/>
                </w:tcPr>
                <w:p w14:paraId="1340D67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0B0C1F34">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339" w:hRule="atLeast"/>
                <w:jc w:val="center"/>
              </w:trPr>
              <w:tc>
                <w:tcPr>
                  <w:tcW w:w="291" w:type="pct"/>
                  <w:noWrap w:val="0"/>
                  <w:vAlign w:val="center"/>
                </w:tcPr>
                <w:p w14:paraId="03DE20A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7</w:t>
                  </w:r>
                </w:p>
              </w:tc>
              <w:tc>
                <w:tcPr>
                  <w:tcW w:w="658" w:type="pct"/>
                  <w:noWrap w:val="0"/>
                  <w:vAlign w:val="center"/>
                </w:tcPr>
                <w:p w14:paraId="3F22456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水</w:t>
                  </w:r>
                </w:p>
              </w:tc>
              <w:tc>
                <w:tcPr>
                  <w:tcW w:w="615" w:type="pct"/>
                  <w:noWrap w:val="0"/>
                  <w:vAlign w:val="center"/>
                </w:tcPr>
                <w:p w14:paraId="26A5EA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4500</w:t>
                  </w:r>
                </w:p>
              </w:tc>
              <w:tc>
                <w:tcPr>
                  <w:tcW w:w="563" w:type="pct"/>
                  <w:noWrap w:val="0"/>
                  <w:vAlign w:val="center"/>
                </w:tcPr>
                <w:p w14:paraId="499B502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1110</w:t>
                  </w:r>
                </w:p>
              </w:tc>
              <w:tc>
                <w:tcPr>
                  <w:tcW w:w="508" w:type="pct"/>
                  <w:noWrap w:val="0"/>
                  <w:vAlign w:val="center"/>
                </w:tcPr>
                <w:p w14:paraId="6AC3068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644" w:type="pct"/>
                  <w:noWrap w:val="0"/>
                  <w:vAlign w:val="center"/>
                </w:tcPr>
                <w:p w14:paraId="035E3CE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5610</w:t>
                  </w:r>
                </w:p>
              </w:tc>
              <w:tc>
                <w:tcPr>
                  <w:tcW w:w="696" w:type="pct"/>
                  <w:noWrap w:val="0"/>
                  <w:vAlign w:val="center"/>
                </w:tcPr>
                <w:p w14:paraId="0FE8F8C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515" w:type="pct"/>
                  <w:noWrap w:val="0"/>
                  <w:vAlign w:val="center"/>
                </w:tcPr>
                <w:p w14:paraId="254810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+1110</w:t>
                  </w:r>
                </w:p>
              </w:tc>
              <w:tc>
                <w:tcPr>
                  <w:tcW w:w="506" w:type="pct"/>
                  <w:noWrap w:val="0"/>
                  <w:vAlign w:val="center"/>
                </w:tcPr>
                <w:p w14:paraId="308E24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42D007A4">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59" w:hRule="atLeast"/>
                <w:jc w:val="center"/>
              </w:trPr>
              <w:tc>
                <w:tcPr>
                  <w:tcW w:w="291" w:type="pct"/>
                  <w:noWrap w:val="0"/>
                  <w:vAlign w:val="center"/>
                </w:tcPr>
                <w:p w14:paraId="576B2E3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8</w:t>
                  </w:r>
                </w:p>
              </w:tc>
              <w:tc>
                <w:tcPr>
                  <w:tcW w:w="658" w:type="pct"/>
                  <w:noWrap w:val="0"/>
                  <w:vAlign w:val="center"/>
                </w:tcPr>
                <w:p w14:paraId="7B89DB7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电</w:t>
                  </w:r>
                </w:p>
              </w:tc>
              <w:tc>
                <w:tcPr>
                  <w:tcW w:w="615" w:type="pct"/>
                  <w:noWrap w:val="0"/>
                  <w:vAlign w:val="center"/>
                </w:tcPr>
                <w:p w14:paraId="1D00B76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155</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563" w:type="pct"/>
                  <w:noWrap w:val="0"/>
                  <w:vAlign w:val="center"/>
                </w:tcPr>
                <w:p w14:paraId="1F5A2DC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50</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508" w:type="pct"/>
                  <w:noWrap w:val="0"/>
                  <w:vAlign w:val="center"/>
                </w:tcPr>
                <w:p w14:paraId="0A7FD5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rPr>
                    <w:t>/</w:t>
                  </w:r>
                </w:p>
              </w:tc>
              <w:tc>
                <w:tcPr>
                  <w:tcW w:w="644" w:type="pct"/>
                  <w:noWrap w:val="0"/>
                  <w:vAlign w:val="center"/>
                </w:tcPr>
                <w:p w14:paraId="1B1C411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205</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696" w:type="pct"/>
                  <w:noWrap w:val="0"/>
                  <w:vAlign w:val="center"/>
                </w:tcPr>
                <w:p w14:paraId="35DB819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515" w:type="pct"/>
                  <w:noWrap w:val="0"/>
                  <w:vAlign w:val="center"/>
                </w:tcPr>
                <w:p w14:paraId="0E7C6EC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+50</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506" w:type="pct"/>
                  <w:noWrap w:val="0"/>
                  <w:vAlign w:val="center"/>
                </w:tcPr>
                <w:p w14:paraId="6082A6A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6A5C3B89">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659" w:hRule="atLeast"/>
                <w:jc w:val="center"/>
              </w:trPr>
              <w:tc>
                <w:tcPr>
                  <w:tcW w:w="291" w:type="pct"/>
                  <w:tcBorders>
                    <w:bottom w:val="single" w:color="000000" w:sz="12" w:space="0"/>
                  </w:tcBorders>
                  <w:noWrap w:val="0"/>
                  <w:vAlign w:val="center"/>
                </w:tcPr>
                <w:p w14:paraId="22526FB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9</w:t>
                  </w:r>
                </w:p>
              </w:tc>
              <w:tc>
                <w:tcPr>
                  <w:tcW w:w="658" w:type="pct"/>
                  <w:tcBorders>
                    <w:bottom w:val="single" w:color="000000" w:sz="12" w:space="0"/>
                  </w:tcBorders>
                  <w:noWrap w:val="0"/>
                  <w:vAlign w:val="center"/>
                </w:tcPr>
                <w:p w14:paraId="7BCFF70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天然气</w:t>
                  </w:r>
                </w:p>
              </w:tc>
              <w:tc>
                <w:tcPr>
                  <w:tcW w:w="615" w:type="pct"/>
                  <w:tcBorders>
                    <w:bottom w:val="single" w:color="000000" w:sz="12" w:space="0"/>
                  </w:tcBorders>
                  <w:noWrap w:val="0"/>
                  <w:vAlign w:val="center"/>
                </w:tcPr>
                <w:p w14:paraId="7928711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32万m</w:t>
                  </w:r>
                  <w:r>
                    <w:rPr>
                      <w:rFonts w:hint="eastAsia"/>
                      <w:color w:val="000000" w:themeColor="text1"/>
                      <w:sz w:val="21"/>
                      <w:szCs w:val="21"/>
                      <w:highlight w:val="none"/>
                      <w:vertAlign w:val="superscript"/>
                      <w:lang w:val="en-US" w:eastAsia="zh-CN"/>
                    </w:rPr>
                    <w:t>3</w:t>
                  </w:r>
                </w:p>
              </w:tc>
              <w:tc>
                <w:tcPr>
                  <w:tcW w:w="563" w:type="pct"/>
                  <w:tcBorders>
                    <w:bottom w:val="single" w:color="000000" w:sz="12" w:space="0"/>
                  </w:tcBorders>
                  <w:noWrap w:val="0"/>
                  <w:vAlign w:val="center"/>
                </w:tcPr>
                <w:p w14:paraId="6D72EAC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8万m</w:t>
                  </w:r>
                  <w:r>
                    <w:rPr>
                      <w:rFonts w:hint="eastAsia"/>
                      <w:color w:val="000000" w:themeColor="text1"/>
                      <w:sz w:val="21"/>
                      <w:szCs w:val="21"/>
                      <w:highlight w:val="none"/>
                      <w:vertAlign w:val="superscript"/>
                      <w:lang w:val="en-US" w:eastAsia="zh-CN"/>
                    </w:rPr>
                    <w:t>3</w:t>
                  </w:r>
                </w:p>
              </w:tc>
              <w:tc>
                <w:tcPr>
                  <w:tcW w:w="508" w:type="pct"/>
                  <w:tcBorders>
                    <w:bottom w:val="single" w:color="000000" w:sz="12" w:space="0"/>
                  </w:tcBorders>
                  <w:noWrap w:val="0"/>
                  <w:vAlign w:val="center"/>
                </w:tcPr>
                <w:p w14:paraId="0657145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644" w:type="pct"/>
                  <w:tcBorders>
                    <w:bottom w:val="single" w:color="000000" w:sz="12" w:space="0"/>
                  </w:tcBorders>
                  <w:noWrap w:val="0"/>
                  <w:vAlign w:val="center"/>
                </w:tcPr>
                <w:p w14:paraId="7FE3B9C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40万m</w:t>
                  </w:r>
                  <w:r>
                    <w:rPr>
                      <w:rFonts w:hint="eastAsia"/>
                      <w:color w:val="000000" w:themeColor="text1"/>
                      <w:sz w:val="21"/>
                      <w:szCs w:val="21"/>
                      <w:highlight w:val="none"/>
                      <w:vertAlign w:val="superscript"/>
                      <w:lang w:val="en-US" w:eastAsia="zh-CN"/>
                    </w:rPr>
                    <w:t>3</w:t>
                  </w:r>
                </w:p>
              </w:tc>
              <w:tc>
                <w:tcPr>
                  <w:tcW w:w="696" w:type="pct"/>
                  <w:tcBorders>
                    <w:bottom w:val="single" w:color="000000" w:sz="12" w:space="0"/>
                  </w:tcBorders>
                  <w:noWrap w:val="0"/>
                  <w:vAlign w:val="center"/>
                </w:tcPr>
                <w:p w14:paraId="6B7D4B0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c>
                <w:tcPr>
                  <w:tcW w:w="515" w:type="pct"/>
                  <w:tcBorders>
                    <w:bottom w:val="single" w:color="000000" w:sz="12" w:space="0"/>
                  </w:tcBorders>
                  <w:noWrap w:val="0"/>
                  <w:vAlign w:val="center"/>
                </w:tcPr>
                <w:p w14:paraId="1F39C3A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+8万m</w:t>
                  </w:r>
                  <w:r>
                    <w:rPr>
                      <w:rFonts w:hint="eastAsia"/>
                      <w:color w:val="000000" w:themeColor="text1"/>
                      <w:sz w:val="21"/>
                      <w:szCs w:val="21"/>
                      <w:highlight w:val="none"/>
                      <w:vertAlign w:val="superscript"/>
                      <w:lang w:val="en-US" w:eastAsia="zh-CN"/>
                    </w:rPr>
                    <w:t>3</w:t>
                  </w:r>
                </w:p>
              </w:tc>
              <w:tc>
                <w:tcPr>
                  <w:tcW w:w="506" w:type="pct"/>
                  <w:tcBorders>
                    <w:bottom w:val="single" w:color="000000" w:sz="12" w:space="0"/>
                  </w:tcBorders>
                  <w:noWrap w:val="0"/>
                  <w:vAlign w:val="center"/>
                </w:tcPr>
                <w:p w14:paraId="42B362A0">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bl>
          <w:p w14:paraId="5E795535">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cs="Times New Roman"/>
                <w:b/>
                <w:color w:val="000000" w:themeColor="text1"/>
                <w:sz w:val="21"/>
                <w:szCs w:val="21"/>
                <w:lang w:val="en-US" w:eastAsia="zh-CN"/>
              </w:rPr>
              <w:t>6</w:t>
            </w:r>
            <w:r>
              <w:rPr>
                <w:rFonts w:hint="default" w:ascii="Times New Roman" w:hAnsi="Times New Roman" w:eastAsia="宋体" w:cs="Times New Roman"/>
                <w:b/>
                <w:color w:val="000000" w:themeColor="text1"/>
                <w:sz w:val="21"/>
                <w:szCs w:val="21"/>
              </w:rPr>
              <w:t xml:space="preserve">  主要原辅材料理化性质</w:t>
            </w:r>
          </w:p>
          <w:tbl>
            <w:tblPr>
              <w:tblStyle w:val="34"/>
              <w:tblW w:w="80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180"/>
              <w:gridCol w:w="3882"/>
              <w:gridCol w:w="1327"/>
              <w:gridCol w:w="1253"/>
            </w:tblGrid>
            <w:tr w14:paraId="0BA61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435" w:type="dxa"/>
                  <w:vAlign w:val="center"/>
                </w:tcPr>
                <w:p w14:paraId="47ACE71E">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1180" w:type="dxa"/>
                  <w:vAlign w:val="center"/>
                </w:tcPr>
                <w:p w14:paraId="43229552">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物料名称</w:t>
                  </w:r>
                </w:p>
              </w:tc>
              <w:tc>
                <w:tcPr>
                  <w:tcW w:w="3882" w:type="dxa"/>
                  <w:vAlign w:val="center"/>
                </w:tcPr>
                <w:p w14:paraId="025BB8FC">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理化性质</w:t>
                  </w:r>
                </w:p>
              </w:tc>
              <w:tc>
                <w:tcPr>
                  <w:tcW w:w="1327" w:type="dxa"/>
                  <w:vAlign w:val="center"/>
                </w:tcPr>
                <w:p w14:paraId="2D7BD8FE">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燃烧爆炸</w:t>
                  </w:r>
                </w:p>
              </w:tc>
              <w:tc>
                <w:tcPr>
                  <w:tcW w:w="1253" w:type="dxa"/>
                  <w:vAlign w:val="center"/>
                </w:tcPr>
                <w:p w14:paraId="5D98E0BD">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毒理毒性</w:t>
                  </w:r>
                </w:p>
              </w:tc>
            </w:tr>
            <w:tr w14:paraId="50290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3" w:hRule="atLeast"/>
                <w:jc w:val="center"/>
              </w:trPr>
              <w:tc>
                <w:tcPr>
                  <w:tcW w:w="435" w:type="dxa"/>
                  <w:vAlign w:val="center"/>
                </w:tcPr>
                <w:p w14:paraId="38EE8B32">
                  <w:pPr>
                    <w:pStyle w:val="55"/>
                    <w:ind w:left="0"/>
                    <w:rPr>
                      <w:rFonts w:hint="eastAsia" w:ascii="Times New Roman" w:hAnsi="Times New Roman" w:eastAsia="宋体" w:cs="Times New Roman"/>
                      <w:color w:val="000000" w:themeColor="text1"/>
                      <w:sz w:val="21"/>
                      <w:szCs w:val="21"/>
                      <w:lang w:eastAsia="zh-CN"/>
                    </w:rPr>
                  </w:pPr>
                  <w:r>
                    <w:rPr>
                      <w:rFonts w:hint="eastAsia" w:cs="Times New Roman"/>
                      <w:color w:val="000000" w:themeColor="text1"/>
                      <w:sz w:val="21"/>
                      <w:szCs w:val="21"/>
                      <w:lang w:val="en-US" w:eastAsia="zh-CN"/>
                    </w:rPr>
                    <w:t>1</w:t>
                  </w:r>
                </w:p>
              </w:tc>
              <w:tc>
                <w:tcPr>
                  <w:tcW w:w="1180" w:type="dxa"/>
                  <w:vAlign w:val="center"/>
                </w:tcPr>
                <w:p w14:paraId="7E41B5D3">
                  <w:pPr>
                    <w:pStyle w:val="55"/>
                    <w:ind w:left="0" w:leftChars="0" w:firstLine="0" w:firstLineChars="0"/>
                    <w:rPr>
                      <w:rFonts w:hint="default" w:ascii="Times New Roman" w:hAnsi="Times New Roman" w:eastAsia="宋体" w:cs="Times New Roman"/>
                      <w:color w:val="000000" w:themeColor="text1"/>
                      <w:sz w:val="21"/>
                      <w:szCs w:val="21"/>
                      <w:lang w:val="zh-CN" w:eastAsia="zh-CN"/>
                    </w:rPr>
                  </w:pPr>
                  <w:r>
                    <w:rPr>
                      <w:rFonts w:hint="eastAsia" w:ascii="Times New Roman" w:hAnsi="Times New Roman" w:eastAsia="宋体" w:cs="Times New Roman"/>
                      <w:color w:val="000000" w:themeColor="text1"/>
                      <w:sz w:val="21"/>
                      <w:szCs w:val="21"/>
                      <w:lang w:val="zh-CN" w:eastAsia="zh-CN"/>
                    </w:rPr>
                    <w:t>聚乙烯粒子</w:t>
                  </w:r>
                  <w:r>
                    <w:rPr>
                      <w:rFonts w:hint="default" w:ascii="Times New Roman" w:hAnsi="Times New Roman" w:eastAsia="宋体" w:cs="Times New Roman"/>
                      <w:color w:val="000000" w:themeColor="text1"/>
                      <w:sz w:val="21"/>
                      <w:szCs w:val="21"/>
                      <w:lang w:val="zh-CN" w:eastAsia="zh-CN"/>
                    </w:rPr>
                    <w:t xml:space="preserve"> </w:t>
                  </w:r>
                </w:p>
              </w:tc>
              <w:tc>
                <w:tcPr>
                  <w:tcW w:w="3882" w:type="dxa"/>
                  <w:vAlign w:val="center"/>
                </w:tcPr>
                <w:p w14:paraId="187FC907">
                  <w:pPr>
                    <w:pStyle w:val="55"/>
                    <w:ind w:left="0" w:leftChars="0" w:firstLine="0" w:firstLineChars="0"/>
                    <w:rPr>
                      <w:rFonts w:hint="default" w:ascii="Times New Roman" w:hAnsi="Times New Roman" w:eastAsia="宋体" w:cs="Times New Roman"/>
                      <w:color w:val="000000" w:themeColor="text1"/>
                      <w:sz w:val="21"/>
                      <w:szCs w:val="21"/>
                      <w:lang w:val="zh-CN" w:eastAsia="zh-CN"/>
                    </w:rPr>
                  </w:pPr>
                  <w:r>
                    <w:rPr>
                      <w:rFonts w:hint="default" w:ascii="Times New Roman" w:hAnsi="Times New Roman" w:eastAsia="宋体" w:cs="Times New Roman"/>
                      <w:color w:val="000000" w:themeColor="text1"/>
                      <w:sz w:val="21"/>
                      <w:szCs w:val="21"/>
                      <w:lang w:val="en-US" w:eastAsia="zh-CN"/>
                    </w:rPr>
                    <w:t>聚乙烯</w:t>
                  </w:r>
                  <w:r>
                    <w:rPr>
                      <w:rFonts w:hint="eastAsia" w:ascii="Times New Roman" w:hAnsi="Times New Roman" w:eastAsia="宋体" w:cs="Times New Roman"/>
                      <w:color w:val="000000" w:themeColor="text1"/>
                      <w:sz w:val="21"/>
                      <w:szCs w:val="21"/>
                      <w:lang w:val="en-US" w:eastAsia="zh-CN"/>
                    </w:rPr>
                    <w:t>粒子</w:t>
                  </w:r>
                  <w:r>
                    <w:rPr>
                      <w:rFonts w:hint="default" w:ascii="Times New Roman" w:hAnsi="Times New Roman" w:eastAsia="宋体" w:cs="Times New Roman"/>
                      <w:color w:val="000000" w:themeColor="text1"/>
                      <w:sz w:val="21"/>
                      <w:szCs w:val="21"/>
                      <w:lang w:val="en-US" w:eastAsia="zh-CN"/>
                    </w:rPr>
                    <w:t>为白色颗粒状产品</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无毒，无味，结晶度为80%～90%，软化点为125～l35℃，使用温度可达100℃；硬度、拉伸强度和蠕变性优于低密度聚乙烯；耐磨性、电绝缘性、韧性及耐寒性较好；化学稳定性好，在室温条件下，不溶于任何有机溶剂，耐酸、碱和各种盐类的腐蚀；</w:t>
                  </w:r>
                </w:p>
              </w:tc>
              <w:tc>
                <w:tcPr>
                  <w:tcW w:w="1327" w:type="dxa"/>
                  <w:vAlign w:val="center"/>
                </w:tcPr>
                <w:p w14:paraId="1D9D7480">
                  <w:pPr>
                    <w:pStyle w:val="55"/>
                    <w:ind w:left="0" w:leftChars="0" w:firstLine="0" w:firstLineChars="0"/>
                    <w:rPr>
                      <w:rFonts w:hint="default" w:ascii="Times New Roman" w:hAnsi="Times New Roman" w:eastAsia="宋体" w:cs="Times New Roman"/>
                      <w:color w:val="000000" w:themeColor="text1"/>
                      <w:sz w:val="21"/>
                      <w:szCs w:val="21"/>
                      <w:lang w:val="zh-CN" w:eastAsia="zh-CN"/>
                    </w:rPr>
                  </w:pPr>
                  <w:r>
                    <w:rPr>
                      <w:rFonts w:hint="eastAsia" w:ascii="Times New Roman" w:hAnsi="Times New Roman" w:eastAsia="宋体" w:cs="Times New Roman"/>
                      <w:color w:val="000000" w:themeColor="text1"/>
                      <w:sz w:val="21"/>
                      <w:szCs w:val="21"/>
                      <w:lang w:val="en-US" w:eastAsia="zh-CN"/>
                    </w:rPr>
                    <w:t>遇火</w:t>
                  </w:r>
                  <w:r>
                    <w:rPr>
                      <w:rFonts w:hint="default" w:ascii="Times New Roman" w:hAnsi="Times New Roman" w:eastAsia="宋体" w:cs="Times New Roman"/>
                      <w:color w:val="000000" w:themeColor="text1"/>
                      <w:sz w:val="21"/>
                      <w:szCs w:val="21"/>
                      <w:lang w:val="zh-CN" w:eastAsia="zh-CN"/>
                    </w:rPr>
                    <w:t>易燃</w:t>
                  </w:r>
                </w:p>
              </w:tc>
              <w:tc>
                <w:tcPr>
                  <w:tcW w:w="1253" w:type="dxa"/>
                  <w:vAlign w:val="center"/>
                </w:tcPr>
                <w:p w14:paraId="4FCC664D">
                  <w:pPr>
                    <w:pStyle w:val="55"/>
                    <w:ind w:left="0" w:leftChars="0" w:firstLine="0" w:firstLineChars="0"/>
                    <w:rPr>
                      <w:rFonts w:hint="default" w:ascii="Times New Roman" w:hAnsi="Times New Roman" w:eastAsia="宋体" w:cs="Times New Roman"/>
                      <w:color w:val="000000" w:themeColor="text1"/>
                      <w:sz w:val="21"/>
                      <w:szCs w:val="21"/>
                      <w:lang w:val="zh-CN" w:eastAsia="zh-CN"/>
                    </w:rPr>
                  </w:pPr>
                  <w:r>
                    <w:rPr>
                      <w:rFonts w:hint="default" w:ascii="Times New Roman" w:hAnsi="Times New Roman" w:eastAsia="宋体" w:cs="Times New Roman"/>
                      <w:color w:val="000000" w:themeColor="text1"/>
                      <w:sz w:val="21"/>
                      <w:szCs w:val="21"/>
                      <w:lang w:val="zh-CN" w:eastAsia="zh-CN"/>
                    </w:rPr>
                    <w:t>无毒</w:t>
                  </w:r>
                </w:p>
              </w:tc>
            </w:tr>
            <w:tr w14:paraId="5DD597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35" w:type="dxa"/>
                  <w:vAlign w:val="center"/>
                </w:tcPr>
                <w:p w14:paraId="05BA240C">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1180" w:type="dxa"/>
                  <w:vAlign w:val="center"/>
                </w:tcPr>
                <w:p w14:paraId="1DC64EA7">
                  <w:pPr>
                    <w:pStyle w:val="55"/>
                    <w:ind w:left="0" w:leftChars="0" w:firstLine="0" w:firstLineChars="0"/>
                    <w:rPr>
                      <w:rFonts w:hint="eastAsia" w:eastAsia="宋体" w:cs="Times New Roman"/>
                      <w:color w:val="000000" w:themeColor="text1"/>
                      <w:sz w:val="21"/>
                      <w:szCs w:val="21"/>
                      <w:lang w:val="en-US" w:eastAsia="zh-CN"/>
                    </w:rPr>
                  </w:pPr>
                  <w:r>
                    <w:rPr>
                      <w:rFonts w:ascii="Helvetica" w:hAnsi="Helvetica" w:eastAsia="Helvetica" w:cs="Helvetica"/>
                      <w:i w:val="0"/>
                      <w:iCs w:val="0"/>
                      <w:caps w:val="0"/>
                      <w:color w:val="000000" w:themeColor="text1"/>
                      <w:spacing w:val="0"/>
                      <w:sz w:val="21"/>
                      <w:szCs w:val="21"/>
                      <w:shd w:val="clear" w:fill="FFFFFF"/>
                    </w:rPr>
                    <w:t>乙烯-醋酸乙烯</w:t>
                  </w:r>
                  <w:r>
                    <w:rPr>
                      <w:rFonts w:hint="eastAsia" w:ascii="Helvetica" w:hAnsi="Helvetica" w:eastAsia="宋体" w:cs="Helvetica"/>
                      <w:i w:val="0"/>
                      <w:iCs w:val="0"/>
                      <w:caps w:val="0"/>
                      <w:color w:val="000000" w:themeColor="text1"/>
                      <w:spacing w:val="0"/>
                      <w:sz w:val="21"/>
                      <w:szCs w:val="21"/>
                      <w:shd w:val="clear" w:fill="FFFFFF"/>
                      <w:lang w:val="en-US" w:eastAsia="zh-CN"/>
                    </w:rPr>
                    <w:t>粒子</w:t>
                  </w:r>
                </w:p>
              </w:tc>
              <w:tc>
                <w:tcPr>
                  <w:tcW w:w="3882" w:type="dxa"/>
                  <w:vAlign w:val="center"/>
                </w:tcPr>
                <w:p w14:paraId="16236121">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EVA中的醋酸乙烯的含量低于20%时，这时才可作为塑料使用。EVA有很好的耐低温性能，其热分解温度较低，约为230℃左右，随着分子量的增大，EVA的软化点上升，加工性和塑件表面光泽性下降，但强度增加，冲击韧性和耐环境应力开裂性提高</w:t>
                  </w:r>
                  <w:r>
                    <w:rPr>
                      <w:rFonts w:hint="eastAsia" w:ascii="Times New Roman" w:hAnsi="Times New Roman" w:eastAsia="宋体" w:cs="Times New Roman"/>
                      <w:color w:val="000000" w:themeColor="text1"/>
                      <w:sz w:val="21"/>
                      <w:szCs w:val="21"/>
                      <w:lang w:val="en-US" w:eastAsia="zh-CN"/>
                    </w:rPr>
                    <w:t>。</w:t>
                  </w:r>
                  <w:r>
                    <w:rPr>
                      <w:rFonts w:hint="default" w:ascii="Times New Roman" w:hAnsi="Times New Roman" w:eastAsia="宋体" w:cs="Times New Roman"/>
                      <w:color w:val="000000" w:themeColor="text1"/>
                      <w:sz w:val="21"/>
                      <w:szCs w:val="21"/>
                      <w:lang w:val="en-US" w:eastAsia="zh-CN"/>
                    </w:rPr>
                    <w:t>EVA比PE的性能改善，主要是弹性、柔性、光泽性、透气性等方面，另外，它的耐环境应力开裂性得到了提高，对填料的受容性增大，可以采用加入较多增强填料的方法来避免或减少EVA力学性能比PE的下降。</w:t>
                  </w:r>
                </w:p>
              </w:tc>
              <w:tc>
                <w:tcPr>
                  <w:tcW w:w="1327" w:type="dxa"/>
                  <w:vAlign w:val="center"/>
                </w:tcPr>
                <w:p w14:paraId="2722729D">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遇火</w:t>
                  </w:r>
                  <w:r>
                    <w:rPr>
                      <w:rFonts w:hint="default" w:ascii="Times New Roman" w:hAnsi="Times New Roman" w:eastAsia="宋体" w:cs="Times New Roman"/>
                      <w:color w:val="000000" w:themeColor="text1"/>
                      <w:sz w:val="21"/>
                      <w:szCs w:val="21"/>
                      <w:lang w:val="zh-CN" w:eastAsia="zh-CN"/>
                    </w:rPr>
                    <w:t>易燃</w:t>
                  </w:r>
                </w:p>
              </w:tc>
              <w:tc>
                <w:tcPr>
                  <w:tcW w:w="1253" w:type="dxa"/>
                  <w:vAlign w:val="center"/>
                </w:tcPr>
                <w:p w14:paraId="154A6E3F">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zh-CN" w:eastAsia="zh-CN"/>
                    </w:rPr>
                    <w:t>无毒</w:t>
                  </w:r>
                </w:p>
              </w:tc>
            </w:tr>
            <w:tr w14:paraId="5E753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435" w:type="dxa"/>
                  <w:vAlign w:val="center"/>
                </w:tcPr>
                <w:p w14:paraId="7276CF5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1180" w:type="dxa"/>
                  <w:vAlign w:val="center"/>
                </w:tcPr>
                <w:p w14:paraId="3EA593EA">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炭黑</w:t>
                  </w:r>
                </w:p>
              </w:tc>
              <w:tc>
                <w:tcPr>
                  <w:tcW w:w="3882" w:type="dxa"/>
                  <w:vAlign w:val="center"/>
                </w:tcPr>
                <w:p w14:paraId="14226EF6">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炭黑是一种微观结构、粒子形态和表面性能都极为特殊的碳素材料，是利用烃类物质（油类或天然气等碳氢化合物）裂解和不完全燃烧而生产的细小粒状黑色粉末状物质。燃烧会产生刺激烟雾。</w:t>
                  </w:r>
                </w:p>
              </w:tc>
              <w:tc>
                <w:tcPr>
                  <w:tcW w:w="1327" w:type="dxa"/>
                  <w:vAlign w:val="center"/>
                </w:tcPr>
                <w:p w14:paraId="369FC45E">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粉尘与空气形成爆炸性混合物。与强氧化剂如氯酸盐、溴酸盐和硝酸盐会引起燃烧和爆炸。</w:t>
                  </w:r>
                </w:p>
              </w:tc>
              <w:tc>
                <w:tcPr>
                  <w:tcW w:w="1253" w:type="dxa"/>
                  <w:vAlign w:val="center"/>
                </w:tcPr>
                <w:p w14:paraId="78906103">
                  <w:pPr>
                    <w:pStyle w:val="55"/>
                    <w:ind w:left="0" w:leftChars="0" w:firstLine="0" w:firstLineChars="0"/>
                    <w:rPr>
                      <w:rFonts w:hint="default" w:ascii="Times New Roman" w:hAnsi="Times New Roman" w:eastAsia="宋体" w:cs="Times New Roman"/>
                      <w:color w:val="000000" w:themeColor="text1"/>
                      <w:sz w:val="21"/>
                      <w:szCs w:val="21"/>
                      <w:lang w:val="en-US" w:eastAsia="zh-CN"/>
                    </w:rPr>
                  </w:pPr>
                </w:p>
                <w:p w14:paraId="065DD9EF">
                  <w:pPr>
                    <w:pStyle w:val="55"/>
                    <w:ind w:left="0" w:leftChars="0" w:firstLine="0" w:firstLineChars="0"/>
                    <w:rPr>
                      <w:rFonts w:hint="default" w:ascii="Times New Roman" w:hAnsi="Times New Roman" w:eastAsia="宋体" w:cs="Times New Roman"/>
                      <w:color w:val="000000" w:themeColor="text1"/>
                      <w:sz w:val="21"/>
                      <w:szCs w:val="21"/>
                      <w:lang w:val="en-US" w:eastAsia="zh-CN"/>
                    </w:rPr>
                  </w:pPr>
                </w:p>
                <w:p w14:paraId="4D55995D">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LD50：致癌。</w:t>
                  </w:r>
                </w:p>
              </w:tc>
            </w:tr>
          </w:tbl>
          <w:p w14:paraId="1EF3BBA8">
            <w:pPr>
              <w:keepNext w:val="0"/>
              <w:keepLines w:val="0"/>
              <w:pageBreakBefore w:val="0"/>
              <w:widowControl w:val="0"/>
              <w:kinsoku/>
              <w:wordWrap/>
              <w:overflowPunct/>
              <w:topLinePunct w:val="0"/>
              <w:autoSpaceDE/>
              <w:autoSpaceDN/>
              <w:bidi w:val="0"/>
              <w:adjustRightInd w:val="0"/>
              <w:snapToGrid w:val="0"/>
              <w:ind w:firstLine="48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‌一般固废移出人、承运人和接受人之间签订的书面合同中，明确约定污染防治要求‌，具体包括以下内容： </w:t>
            </w:r>
          </w:p>
          <w:p w14:paraId="69DB5B50">
            <w:pPr>
              <w:keepNext w:val="0"/>
              <w:keepLines w:val="0"/>
              <w:pageBreakBefore w:val="0"/>
              <w:widowControl w:val="0"/>
              <w:numPr>
                <w:ilvl w:val="0"/>
                <w:numId w:val="5"/>
              </w:numPr>
              <w:kinsoku/>
              <w:wordWrap/>
              <w:overflowPunct/>
              <w:topLinePunct w:val="0"/>
              <w:autoSpaceDE/>
              <w:autoSpaceDN/>
              <w:bidi w:val="0"/>
              <w:adjustRightInd w:val="0"/>
              <w:snapToGrid w:val="0"/>
              <w:ind w:firstLine="480"/>
              <w:textAlignment w:val="auto"/>
              <w:rPr>
                <w:rFonts w:hint="eastAsia" w:cs="Times New Roman"/>
                <w:color w:val="000000" w:themeColor="text1"/>
                <w:lang w:eastAsia="zh-CN"/>
              </w:rPr>
            </w:pPr>
            <w:r>
              <w:rPr>
                <w:rFonts w:hint="default" w:ascii="Times New Roman" w:hAnsi="Times New Roman" w:eastAsia="宋体" w:cs="Times New Roman"/>
                <w:color w:val="000000" w:themeColor="text1"/>
              </w:rPr>
              <w:t>合同主体责任</w:t>
            </w:r>
          </w:p>
          <w:p w14:paraId="55318362">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移出人：负责固废的分类、包装、标识及运输前的污染防治措施，确保固废符合国家或地方污染物排放标准。</w:t>
            </w:r>
          </w:p>
          <w:p w14:paraId="7983704D">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承运人：负责运输过程中的防扬散、防流失、防渗漏措施，避免固废遗撒或泄漏。 ‌ </w:t>
            </w:r>
          </w:p>
          <w:p w14:paraId="5C114750">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接受人：负责固废的接收、贮存、利用或处置，并落实污染防治设施的运行和管理。 ‌ </w:t>
            </w:r>
          </w:p>
          <w:p w14:paraId="2513F36A">
            <w:pPr>
              <w:keepNext w:val="0"/>
              <w:keepLines w:val="0"/>
              <w:pageBreakBefore w:val="0"/>
              <w:widowControl w:val="0"/>
              <w:numPr>
                <w:ilvl w:val="0"/>
                <w:numId w:val="5"/>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污染防治措施 </w:t>
            </w:r>
          </w:p>
          <w:p w14:paraId="115B481B">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运输要求：采用封闭式运输工具，防止固废扬散；运输路线避开农田、河流等敏感区域。 </w:t>
            </w:r>
          </w:p>
          <w:p w14:paraId="4F66A78E">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 贮存要求：接受人需配套建设防渗、渗滤液收集等设施，确保固废贮存安全。</w:t>
            </w:r>
          </w:p>
          <w:p w14:paraId="5CE39D4D">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处置要求：接受人应按照国家技术标准进行无害化处置，定期监测污染物排放并公开数据。 </w:t>
            </w:r>
          </w:p>
          <w:p w14:paraId="1ACE0B2A">
            <w:pPr>
              <w:keepNext w:val="0"/>
              <w:keepLines w:val="0"/>
              <w:pageBreakBefore w:val="0"/>
              <w:widowControl w:val="0"/>
              <w:numPr>
                <w:ilvl w:val="0"/>
                <w:numId w:val="5"/>
              </w:numPr>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监督与责任</w:t>
            </w:r>
          </w:p>
          <w:p w14:paraId="16949604">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 合同需明确各方在污染防治中的具体职责，违反约定需承担法律责任。 </w:t>
            </w:r>
          </w:p>
          <w:p w14:paraId="079B551B">
            <w:pPr>
              <w:keepNext w:val="0"/>
              <w:keepLines w:val="0"/>
              <w:pageBreakBefore w:val="0"/>
              <w:widowControl w:val="0"/>
              <w:numPr>
                <w:ilvl w:val="0"/>
                <w:numId w:val="0"/>
              </w:numPr>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移出人需核实承运人和接受人的资质及技术能力，确保其具备污染防治条件。 </w:t>
            </w:r>
          </w:p>
          <w:p w14:paraId="7265ABA1">
            <w:pPr>
              <w:adjustRightInd w:val="0"/>
              <w:snapToGrid w:val="0"/>
              <w:spacing w:before="120" w:beforeLines="50"/>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5、本项目主要生产设备</w:t>
            </w:r>
          </w:p>
          <w:p w14:paraId="5FA19162">
            <w:pPr>
              <w:adjustRightInd w:val="0"/>
              <w:snapToGrid w:val="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项目主要生产设备清单见下表。</w:t>
            </w:r>
          </w:p>
          <w:p w14:paraId="6BA9A57B">
            <w:pPr>
              <w:pStyle w:val="46"/>
              <w:keepNext w:val="0"/>
              <w:keepLines w:val="0"/>
              <w:pageBreakBefore w:val="0"/>
              <w:kinsoku/>
              <w:wordWrap/>
              <w:overflowPunct/>
              <w:topLinePunct w:val="0"/>
              <w:autoSpaceDE/>
              <w:autoSpaceDN/>
              <w:bidi w:val="0"/>
              <w:spacing w:before="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p>
          <w:p w14:paraId="4E51D992">
            <w:pPr>
              <w:pStyle w:val="46"/>
              <w:keepNext w:val="0"/>
              <w:keepLines w:val="0"/>
              <w:pageBreakBefore w:val="0"/>
              <w:kinsoku/>
              <w:wordWrap/>
              <w:overflowPunct/>
              <w:topLinePunct w:val="0"/>
              <w:autoSpaceDE/>
              <w:autoSpaceDN/>
              <w:bidi w:val="0"/>
              <w:spacing w:before="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p>
          <w:p w14:paraId="3B9E413E">
            <w:pPr>
              <w:pStyle w:val="46"/>
              <w:keepNext w:val="0"/>
              <w:keepLines w:val="0"/>
              <w:pageBreakBefore w:val="0"/>
              <w:kinsoku/>
              <w:wordWrap/>
              <w:overflowPunct/>
              <w:topLinePunct w:val="0"/>
              <w:autoSpaceDE/>
              <w:autoSpaceDN/>
              <w:bidi w:val="0"/>
              <w:spacing w:before="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7</w:t>
            </w:r>
            <w:r>
              <w:rPr>
                <w:rFonts w:hint="default" w:ascii="Times New Roman" w:hAnsi="Times New Roman" w:eastAsia="宋体" w:cs="Times New Roman"/>
                <w:b/>
                <w:color w:val="000000" w:themeColor="text1"/>
                <w:sz w:val="21"/>
                <w:szCs w:val="21"/>
              </w:rPr>
              <w:t xml:space="preserve"> </w:t>
            </w:r>
            <w:r>
              <w:rPr>
                <w:rFonts w:hint="eastAsia" w:ascii="宋体" w:hAnsi="宋体" w:eastAsia="宋体" w:cs="宋体"/>
                <w:b/>
                <w:color w:val="000000" w:themeColor="text1"/>
                <w:sz w:val="21"/>
                <w:szCs w:val="21"/>
              </w:rPr>
              <w:t xml:space="preserve"> 项目主要生产设备一览表</w:t>
            </w:r>
          </w:p>
          <w:tbl>
            <w:tblPr>
              <w:tblStyle w:val="34"/>
              <w:tblW w:w="80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9"/>
              <w:gridCol w:w="1350"/>
              <w:gridCol w:w="1095"/>
              <w:gridCol w:w="1185"/>
              <w:gridCol w:w="1845"/>
              <w:gridCol w:w="1277"/>
              <w:gridCol w:w="655"/>
            </w:tblGrid>
            <w:tr w14:paraId="1D319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74" w:type="pct"/>
                  <w:vAlign w:val="center"/>
                </w:tcPr>
                <w:p w14:paraId="308C6CB3">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843" w:type="pct"/>
                  <w:vAlign w:val="center"/>
                </w:tcPr>
                <w:p w14:paraId="6DB6EDAC">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设备名称</w:t>
                  </w:r>
                </w:p>
              </w:tc>
              <w:tc>
                <w:tcPr>
                  <w:tcW w:w="683" w:type="pct"/>
                  <w:vAlign w:val="center"/>
                </w:tcPr>
                <w:p w14:paraId="2EAA508B">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eastAsia"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型号</w:t>
                  </w:r>
                </w:p>
              </w:tc>
              <w:tc>
                <w:tcPr>
                  <w:tcW w:w="740" w:type="pct"/>
                  <w:vAlign w:val="center"/>
                </w:tcPr>
                <w:p w14:paraId="137276B5">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功率</w:t>
                  </w:r>
                </w:p>
              </w:tc>
              <w:tc>
                <w:tcPr>
                  <w:tcW w:w="1152" w:type="pct"/>
                  <w:vAlign w:val="center"/>
                </w:tcPr>
                <w:p w14:paraId="5AE46D6F">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eastAsia" w:ascii="Times New Roman" w:hAnsi="Times New Roman" w:eastAsia="宋体" w:cs="Times New Roman"/>
                      <w:b/>
                      <w:bCs/>
                      <w:color w:val="000000" w:themeColor="text1"/>
                      <w:sz w:val="21"/>
                      <w:szCs w:val="21"/>
                      <w:lang w:eastAsia="zh-CN"/>
                    </w:rPr>
                  </w:pPr>
                  <w:r>
                    <w:rPr>
                      <w:rFonts w:hint="eastAsia" w:cs="Times New Roman"/>
                      <w:b/>
                      <w:bCs/>
                      <w:color w:val="000000" w:themeColor="text1"/>
                      <w:sz w:val="21"/>
                      <w:szCs w:val="21"/>
                      <w:lang w:val="en-US" w:eastAsia="zh-CN"/>
                    </w:rPr>
                    <w:t>扩建项目设备</w:t>
                  </w:r>
                  <w:r>
                    <w:rPr>
                      <w:rFonts w:hint="default" w:ascii="Times New Roman" w:hAnsi="Times New Roman" w:eastAsia="宋体" w:cs="Times New Roman"/>
                      <w:b/>
                      <w:bCs/>
                      <w:color w:val="000000" w:themeColor="text1"/>
                      <w:sz w:val="21"/>
                      <w:szCs w:val="21"/>
                    </w:rPr>
                    <w:t>数量</w:t>
                  </w: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台/套</w:t>
                  </w:r>
                  <w:r>
                    <w:rPr>
                      <w:rFonts w:hint="eastAsia" w:cs="Times New Roman"/>
                      <w:b/>
                      <w:bCs/>
                      <w:color w:val="000000" w:themeColor="text1"/>
                      <w:sz w:val="21"/>
                      <w:szCs w:val="21"/>
                      <w:lang w:eastAsia="zh-CN"/>
                    </w:rPr>
                    <w:t>）</w:t>
                  </w:r>
                </w:p>
              </w:tc>
              <w:tc>
                <w:tcPr>
                  <w:tcW w:w="797" w:type="pct"/>
                  <w:vAlign w:val="center"/>
                </w:tcPr>
                <w:p w14:paraId="465B0EB2">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位置</w:t>
                  </w:r>
                </w:p>
              </w:tc>
              <w:tc>
                <w:tcPr>
                  <w:tcW w:w="409" w:type="pct"/>
                  <w:vAlign w:val="center"/>
                </w:tcPr>
                <w:p w14:paraId="6DFEDC53">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备注</w:t>
                  </w:r>
                </w:p>
              </w:tc>
            </w:tr>
            <w:tr w14:paraId="6F889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374" w:type="pct"/>
                  <w:vAlign w:val="center"/>
                </w:tcPr>
                <w:p w14:paraId="5199E089">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843" w:type="pct"/>
                  <w:vAlign w:val="center"/>
                </w:tcPr>
                <w:p w14:paraId="08D6185B">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造粒机</w:t>
                  </w:r>
                </w:p>
              </w:tc>
              <w:tc>
                <w:tcPr>
                  <w:tcW w:w="683" w:type="pct"/>
                  <w:vAlign w:val="center"/>
                </w:tcPr>
                <w:p w14:paraId="67D4D48F">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AK 28/15</w:t>
                  </w:r>
                </w:p>
              </w:tc>
              <w:tc>
                <w:tcPr>
                  <w:tcW w:w="740" w:type="pct"/>
                  <w:vAlign w:val="center"/>
                </w:tcPr>
                <w:p w14:paraId="34376D53">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150kW</w:t>
                  </w:r>
                </w:p>
              </w:tc>
              <w:tc>
                <w:tcPr>
                  <w:tcW w:w="1152" w:type="pct"/>
                  <w:vAlign w:val="center"/>
                </w:tcPr>
                <w:p w14:paraId="3B705335">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5F216A0B">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5#厂房</w:t>
                  </w:r>
                </w:p>
              </w:tc>
              <w:tc>
                <w:tcPr>
                  <w:tcW w:w="409" w:type="pct"/>
                  <w:vAlign w:val="center"/>
                </w:tcPr>
                <w:p w14:paraId="22559A06">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新建</w:t>
                  </w:r>
                </w:p>
              </w:tc>
            </w:tr>
            <w:tr w14:paraId="48FFE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5A4ABE25">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843" w:type="pct"/>
                  <w:vAlign w:val="center"/>
                </w:tcPr>
                <w:p w14:paraId="7B4305D6">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混料机</w:t>
                  </w:r>
                </w:p>
              </w:tc>
              <w:tc>
                <w:tcPr>
                  <w:tcW w:w="683" w:type="pct"/>
                  <w:vAlign w:val="center"/>
                </w:tcPr>
                <w:p w14:paraId="2AD1A4D8">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DXF-300</w:t>
                  </w:r>
                </w:p>
              </w:tc>
              <w:tc>
                <w:tcPr>
                  <w:tcW w:w="740" w:type="pct"/>
                  <w:vAlign w:val="center"/>
                </w:tcPr>
                <w:p w14:paraId="16867B31">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50kW</w:t>
                  </w:r>
                </w:p>
              </w:tc>
              <w:tc>
                <w:tcPr>
                  <w:tcW w:w="1152" w:type="pct"/>
                  <w:vAlign w:val="center"/>
                </w:tcPr>
                <w:p w14:paraId="77AC595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29212DD5">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w:t>
                  </w:r>
                </w:p>
              </w:tc>
              <w:tc>
                <w:tcPr>
                  <w:tcW w:w="409" w:type="pct"/>
                  <w:vAlign w:val="center"/>
                </w:tcPr>
                <w:p w14:paraId="7FA45E83">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6DAC88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3B43581E">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843" w:type="pct"/>
                  <w:vAlign w:val="center"/>
                </w:tcPr>
                <w:p w14:paraId="6B338366">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挤出机</w:t>
                  </w:r>
                </w:p>
              </w:tc>
              <w:tc>
                <w:tcPr>
                  <w:tcW w:w="683" w:type="pct"/>
                  <w:vAlign w:val="center"/>
                </w:tcPr>
                <w:p w14:paraId="405015E6">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V-700</w:t>
                  </w:r>
                </w:p>
              </w:tc>
              <w:tc>
                <w:tcPr>
                  <w:tcW w:w="740" w:type="pct"/>
                  <w:vAlign w:val="center"/>
                </w:tcPr>
                <w:p w14:paraId="50EC2F62">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90kW</w:t>
                  </w:r>
                </w:p>
              </w:tc>
              <w:tc>
                <w:tcPr>
                  <w:tcW w:w="1152" w:type="pct"/>
                  <w:vAlign w:val="center"/>
                </w:tcPr>
                <w:p w14:paraId="3A051CE3">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493A65FB">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w:t>
                  </w:r>
                </w:p>
              </w:tc>
              <w:tc>
                <w:tcPr>
                  <w:tcW w:w="409" w:type="pct"/>
                  <w:vAlign w:val="center"/>
                </w:tcPr>
                <w:p w14:paraId="2E668880">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09628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5E367740">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4</w:t>
                  </w:r>
                </w:p>
              </w:tc>
              <w:tc>
                <w:tcPr>
                  <w:tcW w:w="843" w:type="pct"/>
                  <w:vAlign w:val="center"/>
                </w:tcPr>
                <w:p w14:paraId="63E86635">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空压机</w:t>
                  </w:r>
                </w:p>
              </w:tc>
              <w:tc>
                <w:tcPr>
                  <w:tcW w:w="683" w:type="pct"/>
                  <w:vAlign w:val="center"/>
                </w:tcPr>
                <w:p w14:paraId="6ABAB5CB">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WOB-L</w:t>
                  </w:r>
                </w:p>
              </w:tc>
              <w:tc>
                <w:tcPr>
                  <w:tcW w:w="740" w:type="pct"/>
                  <w:vAlign w:val="center"/>
                </w:tcPr>
                <w:p w14:paraId="6B877361">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15kW</w:t>
                  </w:r>
                </w:p>
              </w:tc>
              <w:tc>
                <w:tcPr>
                  <w:tcW w:w="1152" w:type="pct"/>
                  <w:vAlign w:val="center"/>
                </w:tcPr>
                <w:p w14:paraId="089A7340">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58900E45">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5#厂房</w:t>
                  </w:r>
                </w:p>
              </w:tc>
              <w:tc>
                <w:tcPr>
                  <w:tcW w:w="409" w:type="pct"/>
                  <w:vAlign w:val="center"/>
                </w:tcPr>
                <w:p w14:paraId="1F2DFC7A">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3940F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020D3B39">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5</w:t>
                  </w:r>
                </w:p>
              </w:tc>
              <w:tc>
                <w:tcPr>
                  <w:tcW w:w="843" w:type="pct"/>
                  <w:vAlign w:val="center"/>
                </w:tcPr>
                <w:p w14:paraId="019912B7">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电干燥机</w:t>
                  </w:r>
                </w:p>
              </w:tc>
              <w:tc>
                <w:tcPr>
                  <w:tcW w:w="683" w:type="pct"/>
                  <w:vAlign w:val="center"/>
                </w:tcPr>
                <w:p w14:paraId="2AA4A5A5">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XSG</w:t>
                  </w:r>
                </w:p>
              </w:tc>
              <w:tc>
                <w:tcPr>
                  <w:tcW w:w="740" w:type="pct"/>
                  <w:vAlign w:val="center"/>
                </w:tcPr>
                <w:p w14:paraId="6D30F42E">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2kW</w:t>
                  </w:r>
                </w:p>
              </w:tc>
              <w:tc>
                <w:tcPr>
                  <w:tcW w:w="1152" w:type="pct"/>
                  <w:vAlign w:val="center"/>
                </w:tcPr>
                <w:p w14:paraId="4378A38A">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2C761027">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w:t>
                  </w:r>
                </w:p>
              </w:tc>
              <w:tc>
                <w:tcPr>
                  <w:tcW w:w="409" w:type="pct"/>
                  <w:vAlign w:val="center"/>
                </w:tcPr>
                <w:p w14:paraId="69D61ED7">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210B0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2822BA19">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6</w:t>
                  </w:r>
                </w:p>
              </w:tc>
              <w:tc>
                <w:tcPr>
                  <w:tcW w:w="843" w:type="pct"/>
                  <w:vAlign w:val="center"/>
                </w:tcPr>
                <w:p w14:paraId="347BA5B2">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旋窑烘干机（天然气）</w:t>
                  </w:r>
                </w:p>
              </w:tc>
              <w:tc>
                <w:tcPr>
                  <w:tcW w:w="683" w:type="pct"/>
                  <w:vAlign w:val="center"/>
                </w:tcPr>
                <w:p w14:paraId="0F2FE48E">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1850型</w:t>
                  </w:r>
                </w:p>
              </w:tc>
              <w:tc>
                <w:tcPr>
                  <w:tcW w:w="740" w:type="pct"/>
                  <w:vAlign w:val="center"/>
                </w:tcPr>
                <w:p w14:paraId="3FE63C8E">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30kW</w:t>
                  </w:r>
                </w:p>
              </w:tc>
              <w:tc>
                <w:tcPr>
                  <w:tcW w:w="1152" w:type="pct"/>
                  <w:vAlign w:val="center"/>
                </w:tcPr>
                <w:p w14:paraId="660C9022">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797" w:type="pct"/>
                  <w:vAlign w:val="center"/>
                </w:tcPr>
                <w:p w14:paraId="2587E738">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5#厂房</w:t>
                  </w:r>
                </w:p>
              </w:tc>
              <w:tc>
                <w:tcPr>
                  <w:tcW w:w="409" w:type="pct"/>
                  <w:vAlign w:val="center"/>
                </w:tcPr>
                <w:p w14:paraId="6949EACD">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07399E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6E8AE412">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7</w:t>
                  </w:r>
                </w:p>
              </w:tc>
              <w:tc>
                <w:tcPr>
                  <w:tcW w:w="843" w:type="pct"/>
                  <w:vAlign w:val="center"/>
                </w:tcPr>
                <w:p w14:paraId="14648946">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自动包装机</w:t>
                  </w:r>
                </w:p>
              </w:tc>
              <w:tc>
                <w:tcPr>
                  <w:tcW w:w="683" w:type="pct"/>
                  <w:vAlign w:val="center"/>
                </w:tcPr>
                <w:p w14:paraId="5D165165">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ZX350</w:t>
                  </w:r>
                </w:p>
              </w:tc>
              <w:tc>
                <w:tcPr>
                  <w:tcW w:w="740" w:type="pct"/>
                  <w:vAlign w:val="center"/>
                </w:tcPr>
                <w:p w14:paraId="0ED4D247">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5kW</w:t>
                  </w:r>
                </w:p>
              </w:tc>
              <w:tc>
                <w:tcPr>
                  <w:tcW w:w="1152" w:type="pct"/>
                  <w:vAlign w:val="center"/>
                </w:tcPr>
                <w:p w14:paraId="12159A6A">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721A3DF7">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w:t>
                  </w:r>
                </w:p>
              </w:tc>
              <w:tc>
                <w:tcPr>
                  <w:tcW w:w="409" w:type="pct"/>
                  <w:vAlign w:val="center"/>
                </w:tcPr>
                <w:p w14:paraId="16A31F7A">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5DFB8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74E09093">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8</w:t>
                  </w:r>
                </w:p>
              </w:tc>
              <w:tc>
                <w:tcPr>
                  <w:tcW w:w="843" w:type="pct"/>
                  <w:vAlign w:val="center"/>
                </w:tcPr>
                <w:p w14:paraId="744631A9">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热风炉</w:t>
                  </w:r>
                </w:p>
              </w:tc>
              <w:tc>
                <w:tcPr>
                  <w:tcW w:w="683" w:type="pct"/>
                  <w:vAlign w:val="center"/>
                </w:tcPr>
                <w:p w14:paraId="6B5726B4">
                  <w:pPr>
                    <w:pStyle w:val="55"/>
                    <w:ind w:left="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JDC-MF</w:t>
                  </w:r>
                </w:p>
                <w:p w14:paraId="74A370C5">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（400万Kcal/h）</w:t>
                  </w:r>
                </w:p>
              </w:tc>
              <w:tc>
                <w:tcPr>
                  <w:tcW w:w="740" w:type="pct"/>
                  <w:vAlign w:val="center"/>
                </w:tcPr>
                <w:p w14:paraId="488C6D98">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750kW</w:t>
                  </w:r>
                </w:p>
              </w:tc>
              <w:tc>
                <w:tcPr>
                  <w:tcW w:w="1152" w:type="pct"/>
                  <w:vAlign w:val="center"/>
                </w:tcPr>
                <w:p w14:paraId="7EF33B1B">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3587C9C1">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5#厂房</w:t>
                  </w:r>
                </w:p>
              </w:tc>
              <w:tc>
                <w:tcPr>
                  <w:tcW w:w="409" w:type="pct"/>
                  <w:vAlign w:val="center"/>
                </w:tcPr>
                <w:p w14:paraId="6AEA0008">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525FF7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0CFDD322">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9</w:t>
                  </w:r>
                </w:p>
              </w:tc>
              <w:tc>
                <w:tcPr>
                  <w:tcW w:w="843" w:type="pct"/>
                  <w:vAlign w:val="center"/>
                </w:tcPr>
                <w:p w14:paraId="2BF2EBE3">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布袋除尘器</w:t>
                  </w:r>
                </w:p>
              </w:tc>
              <w:tc>
                <w:tcPr>
                  <w:tcW w:w="683" w:type="pct"/>
                  <w:vAlign w:val="center"/>
                </w:tcPr>
                <w:p w14:paraId="4744B89A">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D-80</w:t>
                  </w:r>
                </w:p>
              </w:tc>
              <w:tc>
                <w:tcPr>
                  <w:tcW w:w="740" w:type="pct"/>
                  <w:vAlign w:val="center"/>
                </w:tcPr>
                <w:p w14:paraId="45DDD560">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3.5kW</w:t>
                  </w:r>
                </w:p>
              </w:tc>
              <w:tc>
                <w:tcPr>
                  <w:tcW w:w="1152" w:type="pct"/>
                  <w:vAlign w:val="center"/>
                </w:tcPr>
                <w:p w14:paraId="556C1882">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797" w:type="pct"/>
                  <w:vAlign w:val="center"/>
                </w:tcPr>
                <w:p w14:paraId="6AC50485">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4#厂房、5#厂房</w:t>
                  </w:r>
                </w:p>
              </w:tc>
              <w:tc>
                <w:tcPr>
                  <w:tcW w:w="409" w:type="pct"/>
                  <w:vAlign w:val="center"/>
                </w:tcPr>
                <w:p w14:paraId="577E6578">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r w14:paraId="48808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4" w:type="pct"/>
                  <w:vAlign w:val="center"/>
                </w:tcPr>
                <w:p w14:paraId="1D7B20C0">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10</w:t>
                  </w:r>
                </w:p>
              </w:tc>
              <w:tc>
                <w:tcPr>
                  <w:tcW w:w="843" w:type="pct"/>
                  <w:vAlign w:val="center"/>
                </w:tcPr>
                <w:p w14:paraId="750724E5">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水环切粒机</w:t>
                  </w:r>
                </w:p>
              </w:tc>
              <w:tc>
                <w:tcPr>
                  <w:tcW w:w="683" w:type="pct"/>
                  <w:vAlign w:val="center"/>
                </w:tcPr>
                <w:p w14:paraId="49C2460C">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SH-500</w:t>
                  </w:r>
                </w:p>
              </w:tc>
              <w:tc>
                <w:tcPr>
                  <w:tcW w:w="740" w:type="pct"/>
                  <w:vAlign w:val="center"/>
                </w:tcPr>
                <w:p w14:paraId="7099B320">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7.5kW</w:t>
                  </w:r>
                </w:p>
              </w:tc>
              <w:tc>
                <w:tcPr>
                  <w:tcW w:w="1152" w:type="pct"/>
                  <w:vAlign w:val="center"/>
                </w:tcPr>
                <w:p w14:paraId="2B58A518">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97" w:type="pct"/>
                  <w:vAlign w:val="center"/>
                </w:tcPr>
                <w:p w14:paraId="08C00B1B">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4#厂房</w:t>
                  </w:r>
                </w:p>
              </w:tc>
              <w:tc>
                <w:tcPr>
                  <w:tcW w:w="409" w:type="pct"/>
                  <w:vAlign w:val="center"/>
                </w:tcPr>
                <w:p w14:paraId="2A378ACE">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新建</w:t>
                  </w:r>
                </w:p>
              </w:tc>
            </w:tr>
          </w:tbl>
          <w:p w14:paraId="19828F4D">
            <w:pPr>
              <w:adjustRightInd w:val="0"/>
              <w:snapToGrid w:val="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主要设备产能匹配性分析见</w:t>
            </w:r>
            <w:r>
              <w:rPr>
                <w:rFonts w:hint="eastAsia" w:ascii="Times New Roman" w:hAnsi="Times New Roman" w:eastAsia="宋体" w:cs="Times New Roman"/>
                <w:color w:val="000000" w:themeColor="text1"/>
                <w:lang w:val="en-US" w:eastAsia="zh-CN"/>
              </w:rPr>
              <w:t>续</w:t>
            </w:r>
            <w:r>
              <w:rPr>
                <w:rFonts w:hint="default" w:ascii="Times New Roman" w:hAnsi="Times New Roman" w:eastAsia="宋体" w:cs="Times New Roman"/>
                <w:color w:val="000000" w:themeColor="text1"/>
              </w:rPr>
              <w:t>表2-</w:t>
            </w:r>
            <w:r>
              <w:rPr>
                <w:rFonts w:hint="eastAsia" w:ascii="Times New Roman" w:hAnsi="Times New Roman" w:eastAsia="宋体" w:cs="Times New Roman"/>
                <w:color w:val="000000" w:themeColor="text1"/>
                <w:lang w:val="en-US" w:eastAsia="zh-CN"/>
              </w:rPr>
              <w:t>7</w:t>
            </w:r>
            <w:r>
              <w:rPr>
                <w:rFonts w:hint="default" w:ascii="Times New Roman" w:hAnsi="Times New Roman" w:eastAsia="宋体" w:cs="Times New Roman"/>
                <w:color w:val="000000" w:themeColor="text1"/>
              </w:rPr>
              <w:t>。</w:t>
            </w:r>
          </w:p>
          <w:p w14:paraId="56421EAF">
            <w:pPr>
              <w:pStyle w:val="46"/>
              <w:keepNext w:val="0"/>
              <w:keepLines w:val="0"/>
              <w:pageBreakBefore w:val="0"/>
              <w:kinsoku/>
              <w:wordWrap/>
              <w:overflowPunct/>
              <w:topLinePunct w:val="0"/>
              <w:autoSpaceDE/>
              <w:autoSpaceDN/>
              <w:bidi w:val="0"/>
              <w:spacing w:before="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r>
              <w:rPr>
                <w:rFonts w:hint="eastAsia" w:ascii="Times New Roman" w:hAnsi="Times New Roman" w:eastAsia="宋体" w:cs="Times New Roman"/>
                <w:b/>
                <w:color w:val="000000" w:themeColor="text1"/>
                <w:sz w:val="21"/>
                <w:szCs w:val="21"/>
                <w:lang w:val="en-US" w:eastAsia="zh-CN"/>
              </w:rPr>
              <w:t>续</w:t>
            </w: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7</w:t>
            </w:r>
            <w:r>
              <w:rPr>
                <w:rFonts w:hint="default" w:ascii="Times New Roman" w:hAnsi="Times New Roman" w:eastAsia="宋体" w:cs="Times New Roman"/>
                <w:b/>
                <w:color w:val="000000" w:themeColor="text1"/>
                <w:sz w:val="21"/>
                <w:szCs w:val="21"/>
              </w:rPr>
              <w:t xml:space="preserve">  主要设备产能匹配性分析一览表</w:t>
            </w:r>
          </w:p>
          <w:tbl>
            <w:tblPr>
              <w:tblStyle w:val="131"/>
              <w:tblW w:w="7835" w:type="dxa"/>
              <w:jc w:val="center"/>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Layout w:type="fixed"/>
              <w:tblCellMar>
                <w:top w:w="0" w:type="dxa"/>
                <w:left w:w="0" w:type="dxa"/>
                <w:bottom w:w="0" w:type="dxa"/>
                <w:right w:w="0" w:type="dxa"/>
              </w:tblCellMar>
            </w:tblPr>
            <w:tblGrid>
              <w:gridCol w:w="486"/>
              <w:gridCol w:w="944"/>
              <w:gridCol w:w="622"/>
              <w:gridCol w:w="1681"/>
              <w:gridCol w:w="654"/>
              <w:gridCol w:w="752"/>
              <w:gridCol w:w="900"/>
              <w:gridCol w:w="957"/>
              <w:gridCol w:w="839"/>
            </w:tblGrid>
            <w:tr w14:paraId="77955F0F">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798" w:hRule="atLeast"/>
                <w:jc w:val="center"/>
              </w:trPr>
              <w:tc>
                <w:tcPr>
                  <w:tcW w:w="486" w:type="dxa"/>
                  <w:tcBorders>
                    <w:tl2br w:val="nil"/>
                    <w:tr2bl w:val="nil"/>
                  </w:tcBorders>
                  <w:vAlign w:val="center"/>
                </w:tcPr>
                <w:p w14:paraId="6EBAD3DB">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themeColor="text1"/>
                      <w:spacing w:val="8"/>
                      <w:sz w:val="21"/>
                      <w:szCs w:val="21"/>
                      <w:lang w:val="en-US" w:eastAsia="zh-CN"/>
                    </w:rPr>
                  </w:pPr>
                  <w:r>
                    <w:rPr>
                      <w:rFonts w:hint="default" w:ascii="Times New Roman" w:hAnsi="Times New Roman" w:eastAsia="宋体" w:cs="Times New Roman"/>
                      <w:b/>
                      <w:bCs/>
                      <w:color w:val="000000" w:themeColor="text1"/>
                      <w:spacing w:val="8"/>
                      <w:sz w:val="21"/>
                      <w:szCs w:val="21"/>
                      <w:lang w:val="en-US" w:eastAsia="zh-CN"/>
                    </w:rPr>
                    <w:t>序号</w:t>
                  </w:r>
                </w:p>
              </w:tc>
              <w:tc>
                <w:tcPr>
                  <w:tcW w:w="944" w:type="dxa"/>
                  <w:tcBorders>
                    <w:tl2br w:val="nil"/>
                    <w:tr2bl w:val="nil"/>
                  </w:tcBorders>
                  <w:vAlign w:val="center"/>
                </w:tcPr>
                <w:p w14:paraId="6F554566">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设备名称</w:t>
                  </w:r>
                </w:p>
              </w:tc>
              <w:tc>
                <w:tcPr>
                  <w:tcW w:w="622" w:type="dxa"/>
                  <w:tcBorders>
                    <w:tl2br w:val="nil"/>
                    <w:tr2bl w:val="nil"/>
                  </w:tcBorders>
                  <w:vAlign w:val="center"/>
                </w:tcPr>
                <w:p w14:paraId="5A3EE8AD">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型号</w:t>
                  </w:r>
                </w:p>
              </w:tc>
              <w:tc>
                <w:tcPr>
                  <w:tcW w:w="1681" w:type="dxa"/>
                  <w:tcBorders>
                    <w:tl2br w:val="nil"/>
                    <w:tr2bl w:val="nil"/>
                  </w:tcBorders>
                  <w:vAlign w:val="center"/>
                </w:tcPr>
                <w:p w14:paraId="2B9B641B">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单台设备生产能力</w:t>
                  </w:r>
                </w:p>
              </w:tc>
              <w:tc>
                <w:tcPr>
                  <w:tcW w:w="654" w:type="dxa"/>
                  <w:tcBorders>
                    <w:tl2br w:val="nil"/>
                    <w:tr2bl w:val="nil"/>
                  </w:tcBorders>
                  <w:vAlign w:val="center"/>
                </w:tcPr>
                <w:p w14:paraId="50538BAE">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设备数量</w:t>
                  </w:r>
                </w:p>
              </w:tc>
              <w:tc>
                <w:tcPr>
                  <w:tcW w:w="752" w:type="dxa"/>
                  <w:tcBorders>
                    <w:tl2br w:val="nil"/>
                    <w:tr2bl w:val="nil"/>
                  </w:tcBorders>
                  <w:vAlign w:val="center"/>
                </w:tcPr>
                <w:p w14:paraId="0AEAC68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themeColor="text1"/>
                      <w:spacing w:val="1"/>
                      <w:sz w:val="21"/>
                      <w:szCs w:val="21"/>
                    </w:rPr>
                  </w:pPr>
                  <w:r>
                    <w:rPr>
                      <w:rFonts w:hint="default" w:ascii="Times New Roman" w:hAnsi="Times New Roman" w:eastAsia="宋体" w:cs="Times New Roman"/>
                      <w:b/>
                      <w:bCs/>
                      <w:color w:val="000000" w:themeColor="text1"/>
                      <w:spacing w:val="1"/>
                      <w:sz w:val="21"/>
                      <w:szCs w:val="21"/>
                    </w:rPr>
                    <w:t>年运</w:t>
                  </w:r>
                </w:p>
                <w:p w14:paraId="7B7A13D8">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行时间</w:t>
                  </w:r>
                </w:p>
              </w:tc>
              <w:tc>
                <w:tcPr>
                  <w:tcW w:w="900" w:type="dxa"/>
                  <w:tcBorders>
                    <w:tl2br w:val="nil"/>
                    <w:tr2bl w:val="nil"/>
                  </w:tcBorders>
                  <w:vAlign w:val="center"/>
                </w:tcPr>
                <w:p w14:paraId="75ABE520">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themeColor="text1"/>
                      <w:spacing w:val="1"/>
                      <w:sz w:val="21"/>
                      <w:szCs w:val="21"/>
                    </w:rPr>
                  </w:pPr>
                  <w:r>
                    <w:rPr>
                      <w:rFonts w:hint="default" w:ascii="Times New Roman" w:hAnsi="Times New Roman" w:eastAsia="宋体" w:cs="Times New Roman"/>
                      <w:b/>
                      <w:bCs/>
                      <w:color w:val="000000" w:themeColor="text1"/>
                      <w:spacing w:val="1"/>
                      <w:sz w:val="21"/>
                      <w:szCs w:val="21"/>
                    </w:rPr>
                    <w:t>设备可</w:t>
                  </w:r>
                </w:p>
                <w:p w14:paraId="5E1C472B">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达生产能力</w:t>
                  </w:r>
                </w:p>
              </w:tc>
              <w:tc>
                <w:tcPr>
                  <w:tcW w:w="957" w:type="dxa"/>
                  <w:tcBorders>
                    <w:tl2br w:val="nil"/>
                    <w:tr2bl w:val="nil"/>
                  </w:tcBorders>
                  <w:vAlign w:val="center"/>
                </w:tcPr>
                <w:p w14:paraId="1A77564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000000" w:themeColor="text1"/>
                      <w:spacing w:val="1"/>
                      <w:sz w:val="21"/>
                      <w:szCs w:val="21"/>
                    </w:rPr>
                  </w:pPr>
                  <w:r>
                    <w:rPr>
                      <w:rFonts w:hint="default" w:ascii="Times New Roman" w:hAnsi="Times New Roman" w:eastAsia="宋体" w:cs="Times New Roman"/>
                      <w:b/>
                      <w:bCs/>
                      <w:color w:val="000000" w:themeColor="text1"/>
                      <w:spacing w:val="1"/>
                      <w:sz w:val="21"/>
                      <w:szCs w:val="21"/>
                    </w:rPr>
                    <w:t>本项目</w:t>
                  </w:r>
                </w:p>
                <w:p w14:paraId="2D2CED05">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设计产能</w:t>
                  </w:r>
                </w:p>
              </w:tc>
              <w:tc>
                <w:tcPr>
                  <w:tcW w:w="839" w:type="dxa"/>
                  <w:tcBorders>
                    <w:tl2br w:val="nil"/>
                    <w:tr2bl w:val="nil"/>
                  </w:tcBorders>
                  <w:vAlign w:val="center"/>
                </w:tcPr>
                <w:p w14:paraId="197D8AF3">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pacing w:val="8"/>
                      <w:sz w:val="21"/>
                      <w:szCs w:val="21"/>
                    </w:rPr>
                  </w:pPr>
                  <w:r>
                    <w:rPr>
                      <w:rFonts w:hint="default" w:ascii="Times New Roman" w:hAnsi="Times New Roman" w:eastAsia="宋体" w:cs="Times New Roman"/>
                      <w:b/>
                      <w:bCs/>
                      <w:color w:val="000000" w:themeColor="text1"/>
                      <w:spacing w:val="1"/>
                      <w:sz w:val="21"/>
                      <w:szCs w:val="21"/>
                    </w:rPr>
                    <w:t>是否满足</w:t>
                  </w:r>
                </w:p>
              </w:tc>
            </w:tr>
            <w:tr w14:paraId="7DFC7716">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1036" w:hRule="atLeast"/>
                <w:jc w:val="center"/>
              </w:trPr>
              <w:tc>
                <w:tcPr>
                  <w:tcW w:w="486" w:type="dxa"/>
                  <w:tcBorders>
                    <w:tl2br w:val="nil"/>
                    <w:tr2bl w:val="nil"/>
                  </w:tcBorders>
                  <w:vAlign w:val="center"/>
                </w:tcPr>
                <w:p w14:paraId="09EC04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40922EB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944" w:type="dxa"/>
                  <w:tcBorders>
                    <w:tl2br w:val="nil"/>
                    <w:tr2bl w:val="nil"/>
                  </w:tcBorders>
                  <w:vAlign w:val="center"/>
                </w:tcPr>
                <w:p w14:paraId="0AED91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060DF2B2">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pacing w:val="6"/>
                      <w:sz w:val="21"/>
                      <w:szCs w:val="21"/>
                      <w:lang w:val="en-US" w:eastAsia="zh-CN"/>
                    </w:rPr>
                    <w:t>造粒机</w:t>
                  </w:r>
                </w:p>
              </w:tc>
              <w:tc>
                <w:tcPr>
                  <w:tcW w:w="622" w:type="dxa"/>
                  <w:tcBorders>
                    <w:tl2br w:val="nil"/>
                    <w:tr2bl w:val="nil"/>
                  </w:tcBorders>
                  <w:vAlign w:val="center"/>
                </w:tcPr>
                <w:p w14:paraId="3EA417A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p>
                <w:p w14:paraId="497704C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AK 28/15</w:t>
                  </w:r>
                </w:p>
              </w:tc>
              <w:tc>
                <w:tcPr>
                  <w:tcW w:w="1681" w:type="dxa"/>
                  <w:tcBorders>
                    <w:tl2br w:val="nil"/>
                    <w:tr2bl w:val="nil"/>
                  </w:tcBorders>
                  <w:vAlign w:val="center"/>
                </w:tcPr>
                <w:p w14:paraId="052275E3">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8"/>
                      <w:sz w:val="21"/>
                      <w:szCs w:val="21"/>
                    </w:rPr>
                    <w:t>每批次混料量约</w:t>
                  </w:r>
                </w:p>
                <w:p w14:paraId="29849801">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4"/>
                      <w:sz w:val="21"/>
                      <w:szCs w:val="21"/>
                      <w:lang w:val="en-US" w:eastAsia="zh-CN"/>
                    </w:rPr>
                    <w:t>50</w:t>
                  </w:r>
                  <w:r>
                    <w:rPr>
                      <w:rFonts w:hint="default" w:ascii="Times New Roman" w:hAnsi="Times New Roman" w:eastAsia="宋体" w:cs="Times New Roman"/>
                      <w:color w:val="000000" w:themeColor="text1"/>
                      <w:spacing w:val="4"/>
                      <w:sz w:val="21"/>
                      <w:szCs w:val="21"/>
                    </w:rPr>
                    <w:t>0</w:t>
                  </w:r>
                  <w:r>
                    <w:rPr>
                      <w:rFonts w:hint="default" w:ascii="Times New Roman" w:hAnsi="Times New Roman" w:eastAsia="宋体" w:cs="Times New Roman"/>
                      <w:color w:val="000000" w:themeColor="text1"/>
                      <w:sz w:val="21"/>
                      <w:szCs w:val="21"/>
                    </w:rPr>
                    <w:t>kg</w:t>
                  </w:r>
                  <w:r>
                    <w:rPr>
                      <w:rFonts w:hint="default" w:ascii="Times New Roman" w:hAnsi="Times New Roman" w:eastAsia="宋体" w:cs="Times New Roman"/>
                      <w:color w:val="000000" w:themeColor="text1"/>
                      <w:spacing w:val="-21"/>
                      <w:sz w:val="21"/>
                      <w:szCs w:val="21"/>
                    </w:rPr>
                    <w:t xml:space="preserve"> </w:t>
                  </w:r>
                  <w:r>
                    <w:rPr>
                      <w:rFonts w:hint="default" w:ascii="Times New Roman" w:hAnsi="Times New Roman" w:eastAsia="宋体" w:cs="Times New Roman"/>
                      <w:color w:val="000000" w:themeColor="text1"/>
                      <w:spacing w:val="4"/>
                      <w:sz w:val="21"/>
                      <w:szCs w:val="21"/>
                    </w:rPr>
                    <w:t>，时间约</w:t>
                  </w:r>
                </w:p>
                <w:p w14:paraId="62908C51">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20</w:t>
                  </w:r>
                  <w:r>
                    <w:rPr>
                      <w:rFonts w:hint="default" w:ascii="Times New Roman" w:hAnsi="Times New Roman" w:eastAsia="宋体" w:cs="Times New Roman"/>
                      <w:color w:val="000000" w:themeColor="text1"/>
                      <w:sz w:val="21"/>
                      <w:szCs w:val="21"/>
                    </w:rPr>
                    <w:t>min</w:t>
                  </w:r>
                  <w:r>
                    <w:rPr>
                      <w:rFonts w:hint="default" w:ascii="Times New Roman" w:hAnsi="Times New Roman" w:eastAsia="宋体" w:cs="Times New Roman"/>
                      <w:color w:val="000000" w:themeColor="text1"/>
                      <w:spacing w:val="-21"/>
                      <w:sz w:val="21"/>
                      <w:szCs w:val="21"/>
                    </w:rPr>
                    <w:t xml:space="preserve"> </w:t>
                  </w:r>
                  <w:r>
                    <w:rPr>
                      <w:rFonts w:hint="default" w:ascii="Times New Roman" w:hAnsi="Times New Roman" w:eastAsia="宋体" w:cs="Times New Roman"/>
                      <w:color w:val="000000" w:themeColor="text1"/>
                      <w:spacing w:val="3"/>
                      <w:sz w:val="21"/>
                      <w:szCs w:val="21"/>
                    </w:rPr>
                    <w:t>，单台设备</w:t>
                  </w:r>
                </w:p>
                <w:p w14:paraId="3C91BAB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产能</w:t>
                  </w:r>
                  <w:r>
                    <w:rPr>
                      <w:rFonts w:hint="default" w:ascii="Times New Roman" w:hAnsi="Times New Roman" w:eastAsia="宋体" w:cs="Times New Roman"/>
                      <w:color w:val="000000" w:themeColor="text1"/>
                      <w:spacing w:val="-35"/>
                      <w:sz w:val="21"/>
                      <w:szCs w:val="21"/>
                    </w:rPr>
                    <w:t xml:space="preserve"> </w:t>
                  </w:r>
                  <w:r>
                    <w:rPr>
                      <w:rFonts w:hint="eastAsia" w:ascii="Times New Roman" w:hAnsi="Times New Roman" w:cs="Times New Roman"/>
                      <w:color w:val="000000" w:themeColor="text1"/>
                      <w:spacing w:val="4"/>
                      <w:sz w:val="21"/>
                      <w:szCs w:val="21"/>
                      <w:lang w:val="en-US" w:eastAsia="zh-CN"/>
                    </w:rPr>
                    <w:t>150</w:t>
                  </w:r>
                  <w:r>
                    <w:rPr>
                      <w:rFonts w:hint="default" w:ascii="Times New Roman" w:hAnsi="Times New Roman" w:eastAsia="宋体" w:cs="Times New Roman"/>
                      <w:color w:val="000000" w:themeColor="text1"/>
                      <w:spacing w:val="4"/>
                      <w:sz w:val="21"/>
                      <w:szCs w:val="21"/>
                    </w:rPr>
                    <w:t>0</w:t>
                  </w:r>
                  <w:r>
                    <w:rPr>
                      <w:rFonts w:hint="default" w:ascii="Times New Roman" w:hAnsi="Times New Roman" w:eastAsia="宋体" w:cs="Times New Roman"/>
                      <w:color w:val="000000" w:themeColor="text1"/>
                      <w:sz w:val="21"/>
                      <w:szCs w:val="21"/>
                    </w:rPr>
                    <w:t>kg</w:t>
                  </w:r>
                  <w:r>
                    <w:rPr>
                      <w:rFonts w:hint="default" w:ascii="Times New Roman" w:hAnsi="Times New Roman" w:eastAsia="宋体" w:cs="Times New Roman"/>
                      <w:color w:val="000000" w:themeColor="text1"/>
                      <w:spacing w:val="4"/>
                      <w:sz w:val="21"/>
                      <w:szCs w:val="21"/>
                    </w:rPr>
                    <w:t>/h</w:t>
                  </w:r>
                </w:p>
              </w:tc>
              <w:tc>
                <w:tcPr>
                  <w:tcW w:w="654" w:type="dxa"/>
                  <w:tcBorders>
                    <w:tl2br w:val="nil"/>
                    <w:tr2bl w:val="nil"/>
                  </w:tcBorders>
                  <w:vAlign w:val="center"/>
                </w:tcPr>
                <w:p w14:paraId="17C11DA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2EF9666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台</w:t>
                  </w:r>
                </w:p>
              </w:tc>
              <w:tc>
                <w:tcPr>
                  <w:tcW w:w="752" w:type="dxa"/>
                  <w:tcBorders>
                    <w:tl2br w:val="nil"/>
                    <w:tr2bl w:val="nil"/>
                  </w:tcBorders>
                  <w:vAlign w:val="center"/>
                </w:tcPr>
                <w:p w14:paraId="09C6BF8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1494D41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2400h</w:t>
                  </w:r>
                </w:p>
              </w:tc>
              <w:tc>
                <w:tcPr>
                  <w:tcW w:w="900" w:type="dxa"/>
                  <w:tcBorders>
                    <w:tl2br w:val="nil"/>
                    <w:tr2bl w:val="nil"/>
                  </w:tcBorders>
                  <w:vAlign w:val="center"/>
                </w:tcPr>
                <w:p w14:paraId="6A3317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4994D92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1"/>
                      <w:sz w:val="21"/>
                      <w:szCs w:val="21"/>
                      <w:lang w:val="en-US" w:eastAsia="zh-CN"/>
                    </w:rPr>
                    <w:t>1800</w:t>
                  </w:r>
                  <w:r>
                    <w:rPr>
                      <w:rFonts w:hint="default" w:ascii="Times New Roman" w:hAnsi="Times New Roman" w:eastAsia="宋体" w:cs="Times New Roman"/>
                      <w:color w:val="000000" w:themeColor="text1"/>
                      <w:spacing w:val="-1"/>
                      <w:sz w:val="21"/>
                      <w:szCs w:val="21"/>
                    </w:rPr>
                    <w:t>t/a</w:t>
                  </w:r>
                </w:p>
              </w:tc>
              <w:tc>
                <w:tcPr>
                  <w:tcW w:w="957" w:type="dxa"/>
                  <w:tcBorders>
                    <w:tl2br w:val="nil"/>
                    <w:tr2bl w:val="nil"/>
                  </w:tcBorders>
                  <w:vAlign w:val="center"/>
                </w:tcPr>
                <w:p w14:paraId="49FB9F2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14E0C48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z w:val="21"/>
                      <w:szCs w:val="21"/>
                      <w:lang w:val="en-US" w:eastAsia="zh-CN"/>
                    </w:rPr>
                    <w:t>1350</w:t>
                  </w:r>
                  <w:r>
                    <w:rPr>
                      <w:rFonts w:hint="default" w:ascii="Times New Roman" w:hAnsi="Times New Roman" w:eastAsia="宋体" w:cs="Times New Roman"/>
                      <w:color w:val="000000" w:themeColor="text1"/>
                      <w:sz w:val="21"/>
                      <w:szCs w:val="21"/>
                    </w:rPr>
                    <w:t>t/a</w:t>
                  </w:r>
                </w:p>
              </w:tc>
              <w:tc>
                <w:tcPr>
                  <w:tcW w:w="839" w:type="dxa"/>
                  <w:tcBorders>
                    <w:tl2br w:val="nil"/>
                    <w:tr2bl w:val="nil"/>
                  </w:tcBorders>
                  <w:vAlign w:val="center"/>
                </w:tcPr>
                <w:p w14:paraId="1B2C79F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5B1EA567">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w:t>
                  </w:r>
                </w:p>
              </w:tc>
            </w:tr>
            <w:tr w14:paraId="00A5CC1F">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1036" w:hRule="atLeast"/>
                <w:jc w:val="center"/>
              </w:trPr>
              <w:tc>
                <w:tcPr>
                  <w:tcW w:w="486" w:type="dxa"/>
                  <w:tcBorders>
                    <w:tl2br w:val="nil"/>
                    <w:tr2bl w:val="nil"/>
                  </w:tcBorders>
                  <w:vAlign w:val="center"/>
                </w:tcPr>
                <w:p w14:paraId="28E66B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2</w:t>
                  </w:r>
                </w:p>
              </w:tc>
              <w:tc>
                <w:tcPr>
                  <w:tcW w:w="944" w:type="dxa"/>
                  <w:tcBorders>
                    <w:tl2br w:val="nil"/>
                    <w:tr2bl w:val="nil"/>
                  </w:tcBorders>
                  <w:vAlign w:val="center"/>
                </w:tcPr>
                <w:p w14:paraId="3B62244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540088D0">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spacing w:val="6"/>
                      <w:sz w:val="21"/>
                      <w:szCs w:val="21"/>
                      <w:lang w:val="en-US" w:eastAsia="zh-CN"/>
                    </w:rPr>
                  </w:pPr>
                  <w:r>
                    <w:rPr>
                      <w:rFonts w:hint="eastAsia" w:ascii="Times New Roman" w:hAnsi="Times New Roman" w:cs="Times New Roman"/>
                      <w:color w:val="000000" w:themeColor="text1"/>
                      <w:spacing w:val="6"/>
                      <w:sz w:val="21"/>
                      <w:szCs w:val="21"/>
                      <w:lang w:val="en-US" w:eastAsia="zh-CN"/>
                    </w:rPr>
                    <w:t>混料机</w:t>
                  </w:r>
                </w:p>
              </w:tc>
              <w:tc>
                <w:tcPr>
                  <w:tcW w:w="622" w:type="dxa"/>
                  <w:tcBorders>
                    <w:tl2br w:val="nil"/>
                    <w:tr2bl w:val="nil"/>
                  </w:tcBorders>
                  <w:vAlign w:val="center"/>
                </w:tcPr>
                <w:p w14:paraId="35C9608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p>
                <w:p w14:paraId="18B2D49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DXF-300</w:t>
                  </w:r>
                </w:p>
              </w:tc>
              <w:tc>
                <w:tcPr>
                  <w:tcW w:w="1681" w:type="dxa"/>
                  <w:tcBorders>
                    <w:tl2br w:val="nil"/>
                    <w:tr2bl w:val="nil"/>
                  </w:tcBorders>
                  <w:vAlign w:val="center"/>
                </w:tcPr>
                <w:p w14:paraId="1D0E8271">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8"/>
                      <w:sz w:val="21"/>
                      <w:szCs w:val="21"/>
                    </w:rPr>
                    <w:t>每批次混料量约</w:t>
                  </w:r>
                </w:p>
                <w:p w14:paraId="742D08C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4"/>
                      <w:sz w:val="21"/>
                      <w:szCs w:val="21"/>
                      <w:lang w:val="en-US" w:eastAsia="zh-CN"/>
                    </w:rPr>
                    <w:t>50</w:t>
                  </w:r>
                  <w:r>
                    <w:rPr>
                      <w:rFonts w:hint="default" w:ascii="Times New Roman" w:hAnsi="Times New Roman" w:eastAsia="宋体" w:cs="Times New Roman"/>
                      <w:color w:val="000000" w:themeColor="text1"/>
                      <w:spacing w:val="4"/>
                      <w:sz w:val="21"/>
                      <w:szCs w:val="21"/>
                    </w:rPr>
                    <w:t>0</w:t>
                  </w:r>
                  <w:r>
                    <w:rPr>
                      <w:rFonts w:hint="default" w:ascii="Times New Roman" w:hAnsi="Times New Roman" w:eastAsia="宋体" w:cs="Times New Roman"/>
                      <w:color w:val="000000" w:themeColor="text1"/>
                      <w:sz w:val="21"/>
                      <w:szCs w:val="21"/>
                    </w:rPr>
                    <w:t>kg</w:t>
                  </w:r>
                  <w:r>
                    <w:rPr>
                      <w:rFonts w:hint="default" w:ascii="Times New Roman" w:hAnsi="Times New Roman" w:eastAsia="宋体" w:cs="Times New Roman"/>
                      <w:color w:val="000000" w:themeColor="text1"/>
                      <w:spacing w:val="-21"/>
                      <w:sz w:val="21"/>
                      <w:szCs w:val="21"/>
                    </w:rPr>
                    <w:t xml:space="preserve"> </w:t>
                  </w:r>
                  <w:r>
                    <w:rPr>
                      <w:rFonts w:hint="default" w:ascii="Times New Roman" w:hAnsi="Times New Roman" w:eastAsia="宋体" w:cs="Times New Roman"/>
                      <w:color w:val="000000" w:themeColor="text1"/>
                      <w:spacing w:val="4"/>
                      <w:sz w:val="21"/>
                      <w:szCs w:val="21"/>
                    </w:rPr>
                    <w:t>，时间约</w:t>
                  </w:r>
                </w:p>
                <w:p w14:paraId="2BFA8D4B">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20</w:t>
                  </w:r>
                  <w:r>
                    <w:rPr>
                      <w:rFonts w:hint="default" w:ascii="Times New Roman" w:hAnsi="Times New Roman" w:eastAsia="宋体" w:cs="Times New Roman"/>
                      <w:color w:val="000000" w:themeColor="text1"/>
                      <w:sz w:val="21"/>
                      <w:szCs w:val="21"/>
                    </w:rPr>
                    <w:t>min</w:t>
                  </w:r>
                  <w:r>
                    <w:rPr>
                      <w:rFonts w:hint="default" w:ascii="Times New Roman" w:hAnsi="Times New Roman" w:eastAsia="宋体" w:cs="Times New Roman"/>
                      <w:color w:val="000000" w:themeColor="text1"/>
                      <w:spacing w:val="-21"/>
                      <w:sz w:val="21"/>
                      <w:szCs w:val="21"/>
                    </w:rPr>
                    <w:t xml:space="preserve"> </w:t>
                  </w:r>
                  <w:r>
                    <w:rPr>
                      <w:rFonts w:hint="default" w:ascii="Times New Roman" w:hAnsi="Times New Roman" w:eastAsia="宋体" w:cs="Times New Roman"/>
                      <w:color w:val="000000" w:themeColor="text1"/>
                      <w:spacing w:val="3"/>
                      <w:sz w:val="21"/>
                      <w:szCs w:val="21"/>
                    </w:rPr>
                    <w:t>，单台设备</w:t>
                  </w:r>
                </w:p>
                <w:p w14:paraId="5E46E01F">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产能</w:t>
                  </w:r>
                  <w:r>
                    <w:rPr>
                      <w:rFonts w:hint="default" w:ascii="Times New Roman" w:hAnsi="Times New Roman" w:eastAsia="宋体" w:cs="Times New Roman"/>
                      <w:color w:val="000000" w:themeColor="text1"/>
                      <w:spacing w:val="-35"/>
                      <w:sz w:val="21"/>
                      <w:szCs w:val="21"/>
                    </w:rPr>
                    <w:t xml:space="preserve"> </w:t>
                  </w:r>
                  <w:r>
                    <w:rPr>
                      <w:rFonts w:hint="eastAsia" w:ascii="Times New Roman" w:hAnsi="Times New Roman" w:cs="Times New Roman"/>
                      <w:color w:val="000000" w:themeColor="text1"/>
                      <w:spacing w:val="4"/>
                      <w:sz w:val="21"/>
                      <w:szCs w:val="21"/>
                      <w:lang w:val="en-US" w:eastAsia="zh-CN"/>
                    </w:rPr>
                    <w:t>150</w:t>
                  </w:r>
                  <w:r>
                    <w:rPr>
                      <w:rFonts w:hint="default" w:ascii="Times New Roman" w:hAnsi="Times New Roman" w:eastAsia="宋体" w:cs="Times New Roman"/>
                      <w:color w:val="000000" w:themeColor="text1"/>
                      <w:spacing w:val="4"/>
                      <w:sz w:val="21"/>
                      <w:szCs w:val="21"/>
                    </w:rPr>
                    <w:t>0</w:t>
                  </w:r>
                  <w:r>
                    <w:rPr>
                      <w:rFonts w:hint="default" w:ascii="Times New Roman" w:hAnsi="Times New Roman" w:eastAsia="宋体" w:cs="Times New Roman"/>
                      <w:color w:val="000000" w:themeColor="text1"/>
                      <w:sz w:val="21"/>
                      <w:szCs w:val="21"/>
                    </w:rPr>
                    <w:t>kg</w:t>
                  </w:r>
                  <w:r>
                    <w:rPr>
                      <w:rFonts w:hint="default" w:ascii="Times New Roman" w:hAnsi="Times New Roman" w:eastAsia="宋体" w:cs="Times New Roman"/>
                      <w:color w:val="000000" w:themeColor="text1"/>
                      <w:spacing w:val="4"/>
                      <w:sz w:val="21"/>
                      <w:szCs w:val="21"/>
                    </w:rPr>
                    <w:t>/h</w:t>
                  </w:r>
                </w:p>
              </w:tc>
              <w:tc>
                <w:tcPr>
                  <w:tcW w:w="654" w:type="dxa"/>
                  <w:tcBorders>
                    <w:tl2br w:val="nil"/>
                    <w:tr2bl w:val="nil"/>
                  </w:tcBorders>
                  <w:vAlign w:val="center"/>
                </w:tcPr>
                <w:p w14:paraId="3B827A3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1C4638F2">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台</w:t>
                  </w:r>
                </w:p>
              </w:tc>
              <w:tc>
                <w:tcPr>
                  <w:tcW w:w="752" w:type="dxa"/>
                  <w:tcBorders>
                    <w:tl2br w:val="nil"/>
                    <w:tr2bl w:val="nil"/>
                  </w:tcBorders>
                  <w:vAlign w:val="center"/>
                </w:tcPr>
                <w:p w14:paraId="2EEABEE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76BB7E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2400h</w:t>
                  </w:r>
                </w:p>
              </w:tc>
              <w:tc>
                <w:tcPr>
                  <w:tcW w:w="900" w:type="dxa"/>
                  <w:tcBorders>
                    <w:tl2br w:val="nil"/>
                    <w:tr2bl w:val="nil"/>
                  </w:tcBorders>
                  <w:vAlign w:val="center"/>
                </w:tcPr>
                <w:p w14:paraId="64BDC44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5B1B15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1800</w:t>
                  </w:r>
                  <w:r>
                    <w:rPr>
                      <w:rFonts w:hint="default" w:ascii="Times New Roman" w:hAnsi="Times New Roman" w:eastAsia="宋体" w:cs="Times New Roman"/>
                      <w:color w:val="000000" w:themeColor="text1"/>
                      <w:spacing w:val="-1"/>
                      <w:sz w:val="21"/>
                      <w:szCs w:val="21"/>
                    </w:rPr>
                    <w:t>t/a</w:t>
                  </w:r>
                </w:p>
              </w:tc>
              <w:tc>
                <w:tcPr>
                  <w:tcW w:w="957" w:type="dxa"/>
                  <w:tcBorders>
                    <w:tl2br w:val="nil"/>
                    <w:tr2bl w:val="nil"/>
                  </w:tcBorders>
                  <w:vAlign w:val="center"/>
                </w:tcPr>
                <w:p w14:paraId="01356EB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6427BB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r>
                    <w:rPr>
                      <w:rFonts w:hint="eastAsia" w:ascii="Times New Roman" w:hAnsi="Times New Roman" w:cs="Times New Roman"/>
                      <w:color w:val="000000" w:themeColor="text1"/>
                      <w:sz w:val="21"/>
                      <w:szCs w:val="21"/>
                      <w:lang w:val="en-US" w:eastAsia="zh-CN"/>
                    </w:rPr>
                    <w:t>500</w:t>
                  </w:r>
                  <w:r>
                    <w:rPr>
                      <w:rFonts w:hint="default" w:ascii="Times New Roman" w:hAnsi="Times New Roman" w:eastAsia="宋体" w:cs="Times New Roman"/>
                      <w:color w:val="000000" w:themeColor="text1"/>
                      <w:sz w:val="21"/>
                      <w:szCs w:val="21"/>
                    </w:rPr>
                    <w:t>t/a</w:t>
                  </w:r>
                </w:p>
              </w:tc>
              <w:tc>
                <w:tcPr>
                  <w:tcW w:w="839" w:type="dxa"/>
                  <w:tcBorders>
                    <w:tl2br w:val="nil"/>
                    <w:tr2bl w:val="nil"/>
                  </w:tcBorders>
                  <w:vAlign w:val="center"/>
                </w:tcPr>
                <w:p w14:paraId="5D539D3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p>
                <w:p w14:paraId="44C463BD">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w:t>
                  </w:r>
                </w:p>
              </w:tc>
            </w:tr>
            <w:tr w14:paraId="695BC76C">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522" w:hRule="atLeast"/>
                <w:jc w:val="center"/>
              </w:trPr>
              <w:tc>
                <w:tcPr>
                  <w:tcW w:w="486" w:type="dxa"/>
                  <w:tcBorders>
                    <w:tl2br w:val="nil"/>
                    <w:tr2bl w:val="nil"/>
                  </w:tcBorders>
                  <w:vAlign w:val="center"/>
                </w:tcPr>
                <w:p w14:paraId="24D2DAD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944" w:type="dxa"/>
                  <w:tcBorders>
                    <w:tl2br w:val="nil"/>
                    <w:tr2bl w:val="nil"/>
                  </w:tcBorders>
                  <w:vAlign w:val="center"/>
                </w:tcPr>
                <w:p w14:paraId="755BEB9B">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6"/>
                      <w:sz w:val="21"/>
                      <w:szCs w:val="21"/>
                    </w:rPr>
                    <w:t>挤出机</w:t>
                  </w:r>
                </w:p>
              </w:tc>
              <w:tc>
                <w:tcPr>
                  <w:tcW w:w="622" w:type="dxa"/>
                  <w:tcBorders>
                    <w:tl2br w:val="nil"/>
                    <w:tr2bl w:val="nil"/>
                  </w:tcBorders>
                  <w:vAlign w:val="center"/>
                </w:tcPr>
                <w:p w14:paraId="6F0C0BD6">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eastAsia" w:cs="Times New Roman"/>
                      <w:color w:val="000000" w:themeColor="text1"/>
                      <w:sz w:val="21"/>
                      <w:szCs w:val="21"/>
                      <w:lang w:val="en-US" w:eastAsia="zh-CN"/>
                    </w:rPr>
                    <w:t>V-700</w:t>
                  </w:r>
                </w:p>
              </w:tc>
              <w:tc>
                <w:tcPr>
                  <w:tcW w:w="1681" w:type="dxa"/>
                  <w:tcBorders>
                    <w:tl2br w:val="nil"/>
                    <w:tr2bl w:val="nil"/>
                  </w:tcBorders>
                  <w:vAlign w:val="center"/>
                </w:tcPr>
                <w:p w14:paraId="2154E4E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1"/>
                      <w:sz w:val="21"/>
                      <w:szCs w:val="21"/>
                      <w:lang w:val="en-US" w:eastAsia="zh-CN"/>
                    </w:rPr>
                    <w:t>650</w:t>
                  </w:r>
                  <w:r>
                    <w:rPr>
                      <w:rFonts w:hint="default" w:ascii="Times New Roman" w:hAnsi="Times New Roman" w:eastAsia="宋体" w:cs="Times New Roman"/>
                      <w:color w:val="000000" w:themeColor="text1"/>
                      <w:sz w:val="21"/>
                      <w:szCs w:val="21"/>
                    </w:rPr>
                    <w:t>kg</w:t>
                  </w:r>
                  <w:r>
                    <w:rPr>
                      <w:rFonts w:hint="default" w:ascii="Times New Roman" w:hAnsi="Times New Roman" w:eastAsia="宋体" w:cs="Times New Roman"/>
                      <w:color w:val="000000" w:themeColor="text1"/>
                      <w:spacing w:val="1"/>
                      <w:sz w:val="21"/>
                      <w:szCs w:val="21"/>
                    </w:rPr>
                    <w:t>/h</w:t>
                  </w:r>
                </w:p>
              </w:tc>
              <w:tc>
                <w:tcPr>
                  <w:tcW w:w="654" w:type="dxa"/>
                  <w:tcBorders>
                    <w:tl2br w:val="nil"/>
                    <w:tr2bl w:val="nil"/>
                  </w:tcBorders>
                  <w:vAlign w:val="center"/>
                </w:tcPr>
                <w:p w14:paraId="15612DBD">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1</w:t>
                  </w:r>
                  <w:r>
                    <w:rPr>
                      <w:rFonts w:hint="default" w:ascii="Times New Roman" w:hAnsi="Times New Roman" w:eastAsia="宋体" w:cs="Times New Roman"/>
                      <w:color w:val="000000" w:themeColor="text1"/>
                      <w:spacing w:val="-3"/>
                      <w:sz w:val="21"/>
                      <w:szCs w:val="21"/>
                    </w:rPr>
                    <w:t>台</w:t>
                  </w:r>
                </w:p>
              </w:tc>
              <w:tc>
                <w:tcPr>
                  <w:tcW w:w="752" w:type="dxa"/>
                  <w:tcBorders>
                    <w:tl2br w:val="nil"/>
                    <w:tr2bl w:val="nil"/>
                  </w:tcBorders>
                  <w:vAlign w:val="center"/>
                </w:tcPr>
                <w:p w14:paraId="1B3DF29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2400h</w:t>
                  </w:r>
                </w:p>
              </w:tc>
              <w:tc>
                <w:tcPr>
                  <w:tcW w:w="900" w:type="dxa"/>
                  <w:tcBorders>
                    <w:tl2br w:val="nil"/>
                    <w:tr2bl w:val="nil"/>
                  </w:tcBorders>
                  <w:vAlign w:val="center"/>
                </w:tcPr>
                <w:p w14:paraId="5990A13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r>
                    <w:rPr>
                      <w:rFonts w:hint="eastAsia" w:ascii="Times New Roman" w:hAnsi="Times New Roman" w:cs="Times New Roman"/>
                      <w:color w:val="000000" w:themeColor="text1"/>
                      <w:sz w:val="21"/>
                      <w:szCs w:val="21"/>
                      <w:lang w:val="en-US" w:eastAsia="zh-CN"/>
                    </w:rPr>
                    <w:t>560</w:t>
                  </w:r>
                  <w:r>
                    <w:rPr>
                      <w:rFonts w:hint="default" w:ascii="Times New Roman" w:hAnsi="Times New Roman" w:eastAsia="宋体" w:cs="Times New Roman"/>
                      <w:color w:val="000000" w:themeColor="text1"/>
                      <w:sz w:val="21"/>
                      <w:szCs w:val="21"/>
                    </w:rPr>
                    <w:t>t/a</w:t>
                  </w:r>
                </w:p>
              </w:tc>
              <w:tc>
                <w:tcPr>
                  <w:tcW w:w="957" w:type="dxa"/>
                  <w:tcBorders>
                    <w:tl2br w:val="nil"/>
                    <w:tr2bl w:val="nil"/>
                  </w:tcBorders>
                  <w:vAlign w:val="center"/>
                </w:tcPr>
                <w:p w14:paraId="58959707">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r>
                    <w:rPr>
                      <w:rFonts w:hint="eastAsia" w:ascii="Times New Roman" w:hAnsi="Times New Roman" w:cs="Times New Roman"/>
                      <w:color w:val="000000" w:themeColor="text1"/>
                      <w:sz w:val="21"/>
                      <w:szCs w:val="21"/>
                      <w:lang w:val="en-US" w:eastAsia="zh-CN"/>
                    </w:rPr>
                    <w:t>500</w:t>
                  </w:r>
                  <w:r>
                    <w:rPr>
                      <w:rFonts w:hint="default" w:ascii="Times New Roman" w:hAnsi="Times New Roman" w:eastAsia="宋体" w:cs="Times New Roman"/>
                      <w:color w:val="000000" w:themeColor="text1"/>
                      <w:sz w:val="21"/>
                      <w:szCs w:val="21"/>
                    </w:rPr>
                    <w:t>t/a</w:t>
                  </w:r>
                </w:p>
              </w:tc>
              <w:tc>
                <w:tcPr>
                  <w:tcW w:w="839" w:type="dxa"/>
                  <w:tcBorders>
                    <w:tl2br w:val="nil"/>
                    <w:tr2bl w:val="nil"/>
                  </w:tcBorders>
                  <w:vAlign w:val="center"/>
                </w:tcPr>
                <w:p w14:paraId="452A1937">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是</w:t>
                  </w:r>
                </w:p>
              </w:tc>
            </w:tr>
          </w:tbl>
          <w:p w14:paraId="0A3FBC60">
            <w:pPr>
              <w:pStyle w:val="46"/>
              <w:keepNext w:val="0"/>
              <w:keepLines w:val="0"/>
              <w:pageBreakBefore w:val="0"/>
              <w:widowControl w:val="0"/>
              <w:kinsoku/>
              <w:wordWrap/>
              <w:overflowPunct/>
              <w:topLinePunct w:val="0"/>
              <w:autoSpaceDE/>
              <w:autoSpaceDN/>
              <w:bidi w:val="0"/>
              <w:adjustRightInd/>
              <w:snapToGrid/>
              <w:spacing w:before="157" w:beforeLines="5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8</w:t>
            </w:r>
            <w:r>
              <w:rPr>
                <w:rFonts w:hint="default" w:ascii="Times New Roman" w:hAnsi="Times New Roman" w:eastAsia="宋体" w:cs="Times New Roman"/>
                <w:b/>
                <w:color w:val="000000" w:themeColor="text1"/>
                <w:sz w:val="21"/>
                <w:szCs w:val="21"/>
              </w:rPr>
              <w:t xml:space="preserve"> </w:t>
            </w:r>
            <w:r>
              <w:rPr>
                <w:rFonts w:hint="eastAsia" w:ascii="宋体" w:hAnsi="宋体" w:eastAsia="宋体" w:cs="宋体"/>
                <w:b/>
                <w:color w:val="000000" w:themeColor="text1"/>
                <w:sz w:val="21"/>
                <w:szCs w:val="21"/>
              </w:rPr>
              <w:t xml:space="preserve"> </w:t>
            </w:r>
            <w:r>
              <w:rPr>
                <w:rFonts w:hint="eastAsia" w:hAnsi="宋体" w:eastAsia="宋体" w:cs="宋体"/>
                <w:b/>
                <w:color w:val="000000" w:themeColor="text1"/>
                <w:sz w:val="21"/>
                <w:szCs w:val="21"/>
                <w:lang w:val="en-US" w:eastAsia="zh-CN"/>
              </w:rPr>
              <w:t>扩建</w:t>
            </w:r>
            <w:r>
              <w:rPr>
                <w:rFonts w:hint="eastAsia" w:ascii="宋体" w:hAnsi="宋体" w:eastAsia="宋体" w:cs="宋体"/>
                <w:b/>
                <w:color w:val="000000" w:themeColor="text1"/>
                <w:sz w:val="21"/>
                <w:szCs w:val="21"/>
                <w:lang w:val="en-US" w:eastAsia="zh-CN"/>
              </w:rPr>
              <w:t>后</w:t>
            </w:r>
            <w:r>
              <w:rPr>
                <w:rFonts w:hint="eastAsia" w:hAnsi="宋体" w:eastAsia="宋体" w:cs="宋体"/>
                <w:b/>
                <w:color w:val="000000" w:themeColor="text1"/>
                <w:sz w:val="21"/>
                <w:szCs w:val="21"/>
                <w:lang w:val="en-US" w:eastAsia="zh-CN"/>
              </w:rPr>
              <w:t>全厂</w:t>
            </w:r>
            <w:r>
              <w:rPr>
                <w:rFonts w:hint="eastAsia" w:ascii="宋体" w:hAnsi="宋体" w:eastAsia="宋体" w:cs="宋体"/>
                <w:b/>
                <w:color w:val="000000" w:themeColor="text1"/>
                <w:sz w:val="21"/>
                <w:szCs w:val="21"/>
              </w:rPr>
              <w:t>主要生产设备</w:t>
            </w:r>
            <w:r>
              <w:rPr>
                <w:rFonts w:hint="eastAsia" w:ascii="宋体" w:hAnsi="宋体" w:eastAsia="宋体" w:cs="宋体"/>
                <w:b/>
                <w:color w:val="000000" w:themeColor="text1"/>
                <w:sz w:val="21"/>
                <w:szCs w:val="21"/>
                <w:lang w:val="en-US" w:eastAsia="zh-CN"/>
              </w:rPr>
              <w:t>变化</w:t>
            </w:r>
            <w:r>
              <w:rPr>
                <w:rFonts w:hint="eastAsia" w:ascii="宋体" w:hAnsi="宋体" w:eastAsia="宋体" w:cs="宋体"/>
                <w:b/>
                <w:color w:val="000000" w:themeColor="text1"/>
                <w:sz w:val="21"/>
                <w:szCs w:val="21"/>
              </w:rPr>
              <w:t>一览表</w:t>
            </w:r>
          </w:p>
          <w:tbl>
            <w:tblPr>
              <w:tblStyle w:val="34"/>
              <w:tblW w:w="500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460"/>
              <w:gridCol w:w="1412"/>
              <w:gridCol w:w="1093"/>
              <w:gridCol w:w="1188"/>
              <w:gridCol w:w="1109"/>
              <w:gridCol w:w="1109"/>
            </w:tblGrid>
            <w:tr w14:paraId="0CCC7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84" w:type="pct"/>
                  <w:vAlign w:val="center"/>
                </w:tcPr>
                <w:p w14:paraId="744CD343">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914" w:type="pct"/>
                  <w:vAlign w:val="center"/>
                </w:tcPr>
                <w:p w14:paraId="16FA720F">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设备名称</w:t>
                  </w:r>
                </w:p>
              </w:tc>
              <w:tc>
                <w:tcPr>
                  <w:tcW w:w="884" w:type="pct"/>
                  <w:vAlign w:val="center"/>
                </w:tcPr>
                <w:p w14:paraId="56BD93A5">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型号</w:t>
                  </w:r>
                </w:p>
              </w:tc>
              <w:tc>
                <w:tcPr>
                  <w:tcW w:w="684" w:type="pct"/>
                  <w:vAlign w:val="center"/>
                </w:tcPr>
                <w:p w14:paraId="52DED78A">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eastAsia" w:cs="Times New Roman"/>
                      <w:b/>
                      <w:bCs/>
                      <w:color w:val="000000" w:themeColor="text1"/>
                      <w:sz w:val="21"/>
                      <w:szCs w:val="21"/>
                      <w:lang w:val="en-US" w:eastAsia="zh-CN"/>
                    </w:rPr>
                  </w:pPr>
                  <w:r>
                    <w:rPr>
                      <w:rFonts w:hint="eastAsia" w:cs="Times New Roman"/>
                      <w:b/>
                      <w:bCs/>
                      <w:color w:val="000000" w:themeColor="text1"/>
                      <w:sz w:val="21"/>
                      <w:szCs w:val="21"/>
                      <w:lang w:val="en-US" w:eastAsia="zh-CN"/>
                    </w:rPr>
                    <w:t>现有项目设备数量</w:t>
                  </w:r>
                </w:p>
                <w:p w14:paraId="3CF4D295">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（台/套）</w:t>
                  </w:r>
                </w:p>
              </w:tc>
              <w:tc>
                <w:tcPr>
                  <w:tcW w:w="743" w:type="pct"/>
                  <w:vAlign w:val="center"/>
                </w:tcPr>
                <w:p w14:paraId="3AD6717F">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val="en-US" w:eastAsia="zh-CN"/>
                    </w:rPr>
                    <w:t>扩建项目设备</w:t>
                  </w:r>
                  <w:r>
                    <w:rPr>
                      <w:rFonts w:hint="default" w:ascii="Times New Roman" w:hAnsi="Times New Roman" w:eastAsia="宋体" w:cs="Times New Roman"/>
                      <w:b/>
                      <w:bCs/>
                      <w:color w:val="000000" w:themeColor="text1"/>
                      <w:sz w:val="21"/>
                      <w:szCs w:val="21"/>
                    </w:rPr>
                    <w:t>数量</w:t>
                  </w:r>
                </w:p>
                <w:p w14:paraId="4D5EA557">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eastAsia" w:ascii="Times New Roman" w:hAnsi="Times New Roman" w:eastAsia="宋体" w:cs="Times New Roman"/>
                      <w:b/>
                      <w:bCs/>
                      <w:color w:val="000000" w:themeColor="text1"/>
                      <w:sz w:val="21"/>
                      <w:szCs w:val="21"/>
                      <w:lang w:eastAsia="zh-CN"/>
                    </w:rPr>
                  </w:pP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台/套</w:t>
                  </w:r>
                  <w:r>
                    <w:rPr>
                      <w:rFonts w:hint="eastAsia" w:cs="Times New Roman"/>
                      <w:b/>
                      <w:bCs/>
                      <w:color w:val="000000" w:themeColor="text1"/>
                      <w:sz w:val="21"/>
                      <w:szCs w:val="21"/>
                      <w:lang w:eastAsia="zh-CN"/>
                    </w:rPr>
                    <w:t>）</w:t>
                  </w:r>
                </w:p>
              </w:tc>
              <w:tc>
                <w:tcPr>
                  <w:tcW w:w="694" w:type="pct"/>
                  <w:vAlign w:val="center"/>
                </w:tcPr>
                <w:p w14:paraId="3481F647">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扩建后全厂设备数量</w:t>
                  </w: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台/套</w:t>
                  </w:r>
                  <w:r>
                    <w:rPr>
                      <w:rFonts w:hint="eastAsia" w:cs="Times New Roman"/>
                      <w:b/>
                      <w:bCs/>
                      <w:color w:val="000000" w:themeColor="text1"/>
                      <w:sz w:val="21"/>
                      <w:szCs w:val="21"/>
                      <w:lang w:eastAsia="zh-CN"/>
                    </w:rPr>
                    <w:t>）</w:t>
                  </w:r>
                </w:p>
              </w:tc>
              <w:tc>
                <w:tcPr>
                  <w:tcW w:w="694" w:type="pct"/>
                  <w:vAlign w:val="center"/>
                </w:tcPr>
                <w:p w14:paraId="2CF4E077">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增减量（</w:t>
                  </w: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台/套</w:t>
                  </w:r>
                  <w:r>
                    <w:rPr>
                      <w:rFonts w:hint="eastAsia" w:cs="Times New Roman"/>
                      <w:b/>
                      <w:bCs/>
                      <w:color w:val="000000" w:themeColor="text1"/>
                      <w:sz w:val="21"/>
                      <w:szCs w:val="21"/>
                      <w:lang w:eastAsia="zh-CN"/>
                    </w:rPr>
                    <w:t>）</w:t>
                  </w:r>
                  <w:r>
                    <w:rPr>
                      <w:rFonts w:hint="eastAsia" w:cs="Times New Roman"/>
                      <w:b/>
                      <w:bCs/>
                      <w:color w:val="000000" w:themeColor="text1"/>
                      <w:sz w:val="21"/>
                      <w:szCs w:val="21"/>
                      <w:lang w:val="en-US" w:eastAsia="zh-CN"/>
                    </w:rPr>
                    <w:t>）</w:t>
                  </w:r>
                </w:p>
              </w:tc>
            </w:tr>
            <w:tr w14:paraId="34EBA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84" w:type="pct"/>
                  <w:vAlign w:val="center"/>
                </w:tcPr>
                <w:p w14:paraId="4F7F8BD4">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914" w:type="pct"/>
                  <w:vAlign w:val="center"/>
                </w:tcPr>
                <w:p w14:paraId="0CDA7FB2">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通风机</w:t>
                  </w:r>
                </w:p>
              </w:tc>
              <w:tc>
                <w:tcPr>
                  <w:tcW w:w="884" w:type="pct"/>
                  <w:vAlign w:val="center"/>
                </w:tcPr>
                <w:p w14:paraId="1211B530">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Q235带风峰挡板</w:t>
                  </w:r>
                </w:p>
              </w:tc>
              <w:tc>
                <w:tcPr>
                  <w:tcW w:w="684" w:type="pct"/>
                  <w:vAlign w:val="center"/>
                </w:tcPr>
                <w:p w14:paraId="28741F62">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131367E6">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694" w:type="pct"/>
                  <w:vAlign w:val="center"/>
                </w:tcPr>
                <w:p w14:paraId="164461E8">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6EF1AD43">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1F7E4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6281D3E0">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914" w:type="pct"/>
                  <w:vAlign w:val="center"/>
                </w:tcPr>
                <w:p w14:paraId="199F44B8">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热风炉</w:t>
                  </w:r>
                </w:p>
              </w:tc>
              <w:tc>
                <w:tcPr>
                  <w:tcW w:w="884" w:type="pct"/>
                  <w:vAlign w:val="center"/>
                </w:tcPr>
                <w:p w14:paraId="4E6C2D1C">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400万Kcal/h</w:t>
                  </w:r>
                </w:p>
              </w:tc>
              <w:tc>
                <w:tcPr>
                  <w:tcW w:w="684" w:type="pct"/>
                  <w:vAlign w:val="center"/>
                </w:tcPr>
                <w:p w14:paraId="1599BC37">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21FC608B">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60538463">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2</w:t>
                  </w:r>
                </w:p>
              </w:tc>
              <w:tc>
                <w:tcPr>
                  <w:tcW w:w="694" w:type="pct"/>
                  <w:vAlign w:val="center"/>
                </w:tcPr>
                <w:p w14:paraId="30D69F4D">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2E3E4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2F9E382B">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914" w:type="pct"/>
                  <w:vAlign w:val="center"/>
                </w:tcPr>
                <w:p w14:paraId="1EC7F45F">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吨袋卸料机</w:t>
                  </w:r>
                </w:p>
              </w:tc>
              <w:tc>
                <w:tcPr>
                  <w:tcW w:w="884" w:type="pct"/>
                  <w:vAlign w:val="center"/>
                </w:tcPr>
                <w:p w14:paraId="107A0607">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5t</w:t>
                  </w:r>
                </w:p>
              </w:tc>
              <w:tc>
                <w:tcPr>
                  <w:tcW w:w="684" w:type="pct"/>
                  <w:vAlign w:val="center"/>
                </w:tcPr>
                <w:p w14:paraId="564B37A3">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3BC7627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0</w:t>
                  </w:r>
                </w:p>
              </w:tc>
              <w:tc>
                <w:tcPr>
                  <w:tcW w:w="694" w:type="pct"/>
                  <w:vAlign w:val="center"/>
                </w:tcPr>
                <w:p w14:paraId="3C72AB7D">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51F0C773">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73EB6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21816110">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914" w:type="pct"/>
                  <w:vAlign w:val="center"/>
                </w:tcPr>
                <w:p w14:paraId="049265F8">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混料机</w:t>
                  </w:r>
                </w:p>
              </w:tc>
              <w:tc>
                <w:tcPr>
                  <w:tcW w:w="884" w:type="pct"/>
                  <w:vAlign w:val="center"/>
                </w:tcPr>
                <w:p w14:paraId="53D5D6E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DXF-300</w:t>
                  </w:r>
                </w:p>
              </w:tc>
              <w:tc>
                <w:tcPr>
                  <w:tcW w:w="684" w:type="pct"/>
                  <w:vAlign w:val="center"/>
                </w:tcPr>
                <w:p w14:paraId="05D7EE38">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59A5A4C7">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6AA63C8B">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2</w:t>
                  </w:r>
                </w:p>
              </w:tc>
              <w:tc>
                <w:tcPr>
                  <w:tcW w:w="694" w:type="pct"/>
                  <w:vAlign w:val="center"/>
                </w:tcPr>
                <w:p w14:paraId="760FD48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417D5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47EF9758">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914" w:type="pct"/>
                  <w:vAlign w:val="center"/>
                </w:tcPr>
                <w:p w14:paraId="6616C88F">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闪蒸干燥机（天然气）</w:t>
                  </w:r>
                </w:p>
              </w:tc>
              <w:tc>
                <w:tcPr>
                  <w:tcW w:w="884" w:type="pct"/>
                  <w:vAlign w:val="center"/>
                </w:tcPr>
                <w:p w14:paraId="0E560BD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1850型</w:t>
                  </w:r>
                </w:p>
              </w:tc>
              <w:tc>
                <w:tcPr>
                  <w:tcW w:w="684" w:type="pct"/>
                  <w:vAlign w:val="center"/>
                </w:tcPr>
                <w:p w14:paraId="2FF6AD39">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4CCAB774">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0</w:t>
                  </w:r>
                </w:p>
              </w:tc>
              <w:tc>
                <w:tcPr>
                  <w:tcW w:w="694" w:type="pct"/>
                  <w:vAlign w:val="center"/>
                </w:tcPr>
                <w:p w14:paraId="400CBA13">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418059E4">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2A622E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5EBAF6E7">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914" w:type="pct"/>
                  <w:vAlign w:val="center"/>
                </w:tcPr>
                <w:p w14:paraId="6E0DB4AD">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微粉碎机</w:t>
                  </w:r>
                </w:p>
              </w:tc>
              <w:tc>
                <w:tcPr>
                  <w:tcW w:w="884" w:type="pct"/>
                  <w:vAlign w:val="center"/>
                </w:tcPr>
                <w:p w14:paraId="72754694">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JCW610-V1</w:t>
                  </w:r>
                </w:p>
              </w:tc>
              <w:tc>
                <w:tcPr>
                  <w:tcW w:w="684" w:type="pct"/>
                  <w:vAlign w:val="center"/>
                </w:tcPr>
                <w:p w14:paraId="0C022B19">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743" w:type="pct"/>
                  <w:vAlign w:val="center"/>
                </w:tcPr>
                <w:p w14:paraId="6408EC3D">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0</w:t>
                  </w:r>
                </w:p>
              </w:tc>
              <w:tc>
                <w:tcPr>
                  <w:tcW w:w="694" w:type="pct"/>
                  <w:vAlign w:val="center"/>
                </w:tcPr>
                <w:p w14:paraId="629EB796">
                  <w:pPr>
                    <w:pStyle w:val="55"/>
                    <w:ind w:left="0" w:leftChars="0"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p>
              </w:tc>
              <w:tc>
                <w:tcPr>
                  <w:tcW w:w="694" w:type="pct"/>
                  <w:vAlign w:val="center"/>
                </w:tcPr>
                <w:p w14:paraId="7B6B8FA0">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082F4D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84" w:type="pct"/>
                  <w:vAlign w:val="center"/>
                </w:tcPr>
                <w:p w14:paraId="3077FCF5">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w:t>
                  </w:r>
                </w:p>
              </w:tc>
              <w:tc>
                <w:tcPr>
                  <w:tcW w:w="914" w:type="pct"/>
                  <w:vAlign w:val="center"/>
                </w:tcPr>
                <w:p w14:paraId="4B15DCA7">
                  <w:pPr>
                    <w:pStyle w:val="55"/>
                    <w:ind w:left="0"/>
                    <w:rPr>
                      <w:rFonts w:hint="default"/>
                      <w:color w:val="000000" w:themeColor="text1"/>
                      <w:lang w:val="en-US" w:eastAsia="zh-CN"/>
                    </w:rPr>
                  </w:pPr>
                  <w:r>
                    <w:rPr>
                      <w:rFonts w:hint="eastAsia"/>
                      <w:color w:val="000000" w:themeColor="text1"/>
                      <w:lang w:val="en-US" w:eastAsia="zh-CN"/>
                    </w:rPr>
                    <w:t>包装机</w:t>
                  </w:r>
                </w:p>
              </w:tc>
              <w:tc>
                <w:tcPr>
                  <w:tcW w:w="884" w:type="pct"/>
                  <w:vAlign w:val="center"/>
                </w:tcPr>
                <w:p w14:paraId="7516C43A">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ZX350</w:t>
                  </w:r>
                </w:p>
              </w:tc>
              <w:tc>
                <w:tcPr>
                  <w:tcW w:w="684" w:type="pct"/>
                  <w:vAlign w:val="center"/>
                </w:tcPr>
                <w:p w14:paraId="092124E5">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743" w:type="pct"/>
                  <w:vAlign w:val="center"/>
                </w:tcPr>
                <w:p w14:paraId="266E9C92">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07FB2858">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694" w:type="pct"/>
                  <w:vAlign w:val="center"/>
                </w:tcPr>
                <w:p w14:paraId="3B235AB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47839F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84" w:type="pct"/>
                  <w:vAlign w:val="center"/>
                </w:tcPr>
                <w:p w14:paraId="1BD51B70">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w:t>
                  </w:r>
                </w:p>
              </w:tc>
              <w:tc>
                <w:tcPr>
                  <w:tcW w:w="914" w:type="pct"/>
                  <w:vAlign w:val="center"/>
                </w:tcPr>
                <w:p w14:paraId="606E2541">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布袋除尘器</w:t>
                  </w:r>
                </w:p>
              </w:tc>
              <w:tc>
                <w:tcPr>
                  <w:tcW w:w="884" w:type="pct"/>
                  <w:vAlign w:val="center"/>
                </w:tcPr>
                <w:p w14:paraId="275F4615">
                  <w:pPr>
                    <w:pStyle w:val="55"/>
                    <w:ind w:left="0"/>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D-80</w:t>
                  </w:r>
                </w:p>
              </w:tc>
              <w:tc>
                <w:tcPr>
                  <w:tcW w:w="684" w:type="pct"/>
                  <w:vAlign w:val="center"/>
                </w:tcPr>
                <w:p w14:paraId="5FDAD17D">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743" w:type="pct"/>
                  <w:vAlign w:val="center"/>
                </w:tcPr>
                <w:p w14:paraId="71E0C3B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c>
                <w:tcPr>
                  <w:tcW w:w="694" w:type="pct"/>
                  <w:vAlign w:val="center"/>
                </w:tcPr>
                <w:p w14:paraId="00BCDCC1">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4</w:t>
                  </w:r>
                </w:p>
              </w:tc>
              <w:tc>
                <w:tcPr>
                  <w:tcW w:w="694" w:type="pct"/>
                  <w:vAlign w:val="center"/>
                </w:tcPr>
                <w:p w14:paraId="50CA9433">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+2</w:t>
                  </w:r>
                </w:p>
              </w:tc>
            </w:tr>
            <w:tr w14:paraId="17272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4" w:type="pct"/>
                  <w:vAlign w:val="center"/>
                </w:tcPr>
                <w:p w14:paraId="12AC0B4A">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w:t>
                  </w:r>
                </w:p>
              </w:tc>
              <w:tc>
                <w:tcPr>
                  <w:tcW w:w="914" w:type="pct"/>
                  <w:vAlign w:val="center"/>
                </w:tcPr>
                <w:p w14:paraId="318BDBC7">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电干燥机</w:t>
                  </w:r>
                </w:p>
              </w:tc>
              <w:tc>
                <w:tcPr>
                  <w:tcW w:w="884" w:type="pct"/>
                  <w:vAlign w:val="center"/>
                </w:tcPr>
                <w:p w14:paraId="4D6E470D">
                  <w:pPr>
                    <w:pStyle w:val="55"/>
                    <w:ind w:left="0"/>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XSG</w:t>
                  </w:r>
                </w:p>
              </w:tc>
              <w:tc>
                <w:tcPr>
                  <w:tcW w:w="684" w:type="pct"/>
                  <w:vAlign w:val="center"/>
                </w:tcPr>
                <w:p w14:paraId="25508E59">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3E25FBEF">
                  <w:pPr>
                    <w:keepNext w:val="0"/>
                    <w:keepLines w:val="0"/>
                    <w:pageBreakBefore w:val="0"/>
                    <w:widowControl w:val="0"/>
                    <w:kinsoku/>
                    <w:wordWrap/>
                    <w:overflowPunct/>
                    <w:topLinePunct w:val="0"/>
                    <w:autoSpaceDE/>
                    <w:autoSpaceDN/>
                    <w:bidi w:val="0"/>
                    <w:adjustRightInd/>
                    <w:snapToGrid/>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008C2825">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11193A4F">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3C4887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4" w:type="pct"/>
                  <w:vAlign w:val="center"/>
                </w:tcPr>
                <w:p w14:paraId="0274C6CF">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10</w:t>
                  </w:r>
                </w:p>
              </w:tc>
              <w:tc>
                <w:tcPr>
                  <w:tcW w:w="914" w:type="pct"/>
                  <w:vAlign w:val="center"/>
                </w:tcPr>
                <w:p w14:paraId="39E27FC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空压机</w:t>
                  </w:r>
                </w:p>
              </w:tc>
              <w:tc>
                <w:tcPr>
                  <w:tcW w:w="884" w:type="pct"/>
                  <w:vAlign w:val="center"/>
                </w:tcPr>
                <w:p w14:paraId="3DC9E35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WOB-L</w:t>
                  </w:r>
                </w:p>
              </w:tc>
              <w:tc>
                <w:tcPr>
                  <w:tcW w:w="684" w:type="pct"/>
                  <w:vAlign w:val="center"/>
                </w:tcPr>
                <w:p w14:paraId="7D897B0E">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6017562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362CE98E">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615D039D">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33EEB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84" w:type="pct"/>
                  <w:vAlign w:val="center"/>
                </w:tcPr>
                <w:p w14:paraId="61D5DCCC">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11</w:t>
                  </w:r>
                </w:p>
              </w:tc>
              <w:tc>
                <w:tcPr>
                  <w:tcW w:w="914" w:type="pct"/>
                  <w:vAlign w:val="center"/>
                </w:tcPr>
                <w:p w14:paraId="3EB20CF9">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造粒机</w:t>
                  </w:r>
                </w:p>
              </w:tc>
              <w:tc>
                <w:tcPr>
                  <w:tcW w:w="884" w:type="pct"/>
                  <w:vAlign w:val="center"/>
                </w:tcPr>
                <w:p w14:paraId="40B63269">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AK 28/15</w:t>
                  </w:r>
                </w:p>
              </w:tc>
              <w:tc>
                <w:tcPr>
                  <w:tcW w:w="684" w:type="pct"/>
                  <w:vAlign w:val="center"/>
                </w:tcPr>
                <w:p w14:paraId="37F888A3">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74B7652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3EBF65E1">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248ABEE0">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1FDEE7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4" w:type="pct"/>
                  <w:vAlign w:val="center"/>
                </w:tcPr>
                <w:p w14:paraId="6440F67E">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12</w:t>
                  </w:r>
                </w:p>
              </w:tc>
              <w:tc>
                <w:tcPr>
                  <w:tcW w:w="914" w:type="pct"/>
                  <w:vAlign w:val="center"/>
                </w:tcPr>
                <w:p w14:paraId="6289322E">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挤出机</w:t>
                  </w:r>
                </w:p>
              </w:tc>
              <w:tc>
                <w:tcPr>
                  <w:tcW w:w="884" w:type="pct"/>
                  <w:vAlign w:val="center"/>
                </w:tcPr>
                <w:p w14:paraId="2668F771">
                  <w:pPr>
                    <w:pStyle w:val="55"/>
                    <w:ind w:left="0" w:leftChars="0" w:firstLine="0" w:firstLineChars="0"/>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V-611</w:t>
                  </w:r>
                </w:p>
              </w:tc>
              <w:tc>
                <w:tcPr>
                  <w:tcW w:w="684" w:type="pct"/>
                  <w:vAlign w:val="center"/>
                </w:tcPr>
                <w:p w14:paraId="4A3E7AE4">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1ED2535C">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0BF67861">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3C1D9B4A">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523F7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4" w:type="pct"/>
                  <w:vAlign w:val="center"/>
                </w:tcPr>
                <w:p w14:paraId="667E83C8">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13</w:t>
                  </w:r>
                </w:p>
              </w:tc>
              <w:tc>
                <w:tcPr>
                  <w:tcW w:w="914" w:type="pct"/>
                  <w:vAlign w:val="center"/>
                </w:tcPr>
                <w:p w14:paraId="70422B2D">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水环切粒机</w:t>
                  </w:r>
                </w:p>
              </w:tc>
              <w:tc>
                <w:tcPr>
                  <w:tcW w:w="884" w:type="pct"/>
                  <w:vAlign w:val="center"/>
                </w:tcPr>
                <w:p w14:paraId="287F1E34">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SH-500</w:t>
                  </w:r>
                </w:p>
              </w:tc>
              <w:tc>
                <w:tcPr>
                  <w:tcW w:w="684" w:type="pct"/>
                  <w:vAlign w:val="center"/>
                </w:tcPr>
                <w:p w14:paraId="135FBA0E">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4EF91D41">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7EE9CD22">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62ED78A4">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6F510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84" w:type="pct"/>
                  <w:vAlign w:val="center"/>
                </w:tcPr>
                <w:p w14:paraId="018CAA8F">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14</w:t>
                  </w:r>
                </w:p>
              </w:tc>
              <w:tc>
                <w:tcPr>
                  <w:tcW w:w="914" w:type="pct"/>
                  <w:vAlign w:val="center"/>
                </w:tcPr>
                <w:p w14:paraId="03120D3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旋窑烘干机</w:t>
                  </w:r>
                </w:p>
              </w:tc>
              <w:tc>
                <w:tcPr>
                  <w:tcW w:w="884" w:type="pct"/>
                  <w:vAlign w:val="center"/>
                </w:tcPr>
                <w:p w14:paraId="7B93C013">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XY-3000</w:t>
                  </w:r>
                </w:p>
              </w:tc>
              <w:tc>
                <w:tcPr>
                  <w:tcW w:w="684" w:type="pct"/>
                  <w:vAlign w:val="center"/>
                </w:tcPr>
                <w:p w14:paraId="52491CB9">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43" w:type="pct"/>
                  <w:vAlign w:val="center"/>
                </w:tcPr>
                <w:p w14:paraId="2716F958">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4BD651A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694" w:type="pct"/>
                  <w:vAlign w:val="center"/>
                </w:tcPr>
                <w:p w14:paraId="2415740C">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bl>
          <w:p w14:paraId="7D399D70">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6、人员规模及工作制度</w:t>
            </w:r>
          </w:p>
          <w:p w14:paraId="239E8E24">
            <w:pPr>
              <w:spacing w:line="360" w:lineRule="auto"/>
              <w:ind w:firstLine="480" w:firstLineChars="200"/>
              <w:rPr>
                <w:rFonts w:hint="eastAsia"/>
                <w:color w:val="000000" w:themeColor="text1"/>
                <w:sz w:val="24"/>
                <w:highlight w:val="none"/>
              </w:rPr>
            </w:pPr>
            <w:r>
              <w:rPr>
                <w:color w:val="000000" w:themeColor="text1"/>
                <w:sz w:val="24"/>
                <w:highlight w:val="none"/>
              </w:rPr>
              <w:t>职工人数：</w:t>
            </w:r>
            <w:r>
              <w:rPr>
                <w:rFonts w:hint="eastAsia"/>
                <w:color w:val="000000" w:themeColor="text1"/>
                <w:sz w:val="24"/>
                <w:highlight w:val="none"/>
              </w:rPr>
              <w:t>企业现有劳动定员</w:t>
            </w:r>
            <w:r>
              <w:rPr>
                <w:rFonts w:hint="eastAsia"/>
                <w:color w:val="000000" w:themeColor="text1"/>
                <w:sz w:val="24"/>
                <w:highlight w:val="none"/>
                <w:lang w:val="en-US" w:eastAsia="zh-CN"/>
              </w:rPr>
              <w:t>15</w:t>
            </w:r>
            <w:r>
              <w:rPr>
                <w:rFonts w:hint="eastAsia"/>
                <w:color w:val="000000" w:themeColor="text1"/>
                <w:sz w:val="24"/>
                <w:highlight w:val="none"/>
              </w:rPr>
              <w:t>人，本</w:t>
            </w:r>
            <w:r>
              <w:rPr>
                <w:rFonts w:hint="eastAsia"/>
                <w:color w:val="000000" w:themeColor="text1"/>
                <w:sz w:val="24"/>
                <w:highlight w:val="none"/>
                <w:lang w:val="en-US" w:eastAsia="zh-CN"/>
              </w:rPr>
              <w:t>次扩建项目</w:t>
            </w:r>
            <w:r>
              <w:rPr>
                <w:rFonts w:hint="eastAsia"/>
                <w:color w:val="000000" w:themeColor="text1"/>
                <w:sz w:val="24"/>
                <w:highlight w:val="none"/>
              </w:rPr>
              <w:t>不新增劳动定员，从现有员工中进行调配</w:t>
            </w:r>
            <w:r>
              <w:rPr>
                <w:rStyle w:val="41"/>
                <w:rFonts w:hint="eastAsia"/>
                <w:color w:val="000000" w:themeColor="text1"/>
                <w:kern w:val="0"/>
                <w:szCs w:val="20"/>
                <w:highlight w:val="none"/>
              </w:rPr>
              <w:t>。</w:t>
            </w:r>
          </w:p>
          <w:p w14:paraId="3ABF127A">
            <w:pPr>
              <w:spacing w:line="360" w:lineRule="auto"/>
              <w:ind w:firstLine="480" w:firstLineChars="200"/>
              <w:rPr>
                <w:color w:val="000000" w:themeColor="text1"/>
                <w:sz w:val="24"/>
                <w:highlight w:val="none"/>
              </w:rPr>
            </w:pPr>
            <w:r>
              <w:rPr>
                <w:color w:val="000000" w:themeColor="text1"/>
                <w:sz w:val="24"/>
                <w:highlight w:val="none"/>
              </w:rPr>
              <w:t>工作制度：</w:t>
            </w:r>
            <w:r>
              <w:rPr>
                <w:rFonts w:hint="eastAsia"/>
                <w:color w:val="000000" w:themeColor="text1"/>
                <w:sz w:val="24"/>
                <w:highlight w:val="none"/>
                <w:lang w:val="en-US" w:eastAsia="zh-CN"/>
              </w:rPr>
              <w:t>本次扩建项目不变动现有工作制度，现有</w:t>
            </w:r>
            <w:r>
              <w:rPr>
                <w:bCs/>
                <w:color w:val="000000" w:themeColor="text1"/>
                <w:sz w:val="24"/>
                <w:highlight w:val="none"/>
              </w:rPr>
              <w:t>项目年工作300天，</w:t>
            </w:r>
            <w:r>
              <w:rPr>
                <w:rFonts w:hint="eastAsia"/>
                <w:bCs/>
                <w:color w:val="000000" w:themeColor="text1"/>
                <w:sz w:val="24"/>
                <w:highlight w:val="none"/>
                <w:lang w:val="en-US" w:eastAsia="zh-CN"/>
              </w:rPr>
              <w:t>1</w:t>
            </w:r>
            <w:r>
              <w:rPr>
                <w:bCs/>
                <w:color w:val="000000" w:themeColor="text1"/>
                <w:sz w:val="24"/>
                <w:highlight w:val="none"/>
              </w:rPr>
              <w:t>班制，每班8小时</w:t>
            </w:r>
            <w:r>
              <w:rPr>
                <w:color w:val="000000" w:themeColor="text1"/>
                <w:sz w:val="24"/>
                <w:highlight w:val="none"/>
              </w:rPr>
              <w:t>，年工作时数为</w:t>
            </w:r>
            <w:r>
              <w:rPr>
                <w:rFonts w:hint="eastAsia"/>
                <w:color w:val="000000" w:themeColor="text1"/>
                <w:sz w:val="24"/>
                <w:highlight w:val="none"/>
                <w:lang w:val="en-US" w:eastAsia="zh-CN"/>
              </w:rPr>
              <w:t>2400</w:t>
            </w:r>
            <w:r>
              <w:rPr>
                <w:color w:val="000000" w:themeColor="text1"/>
                <w:sz w:val="24"/>
                <w:highlight w:val="none"/>
              </w:rPr>
              <w:t>小时。</w:t>
            </w:r>
          </w:p>
          <w:p w14:paraId="57C081A3">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7、公用及辅助工程</w:t>
            </w:r>
          </w:p>
          <w:p w14:paraId="7CB6A2AD">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zh-CN"/>
              </w:rPr>
              <w:t>1）给排水</w:t>
            </w:r>
          </w:p>
          <w:p w14:paraId="26613F9B">
            <w:pPr>
              <w:adjustRightInd w:val="0"/>
              <w:snapToGrid w:val="0"/>
              <w:spacing w:line="360" w:lineRule="auto"/>
              <w:ind w:firstLine="480" w:firstLineChars="200"/>
              <w:rPr>
                <w:rFonts w:hint="eastAsia"/>
                <w:color w:val="000000" w:themeColor="text1"/>
                <w:sz w:val="24"/>
                <w:highlight w:val="none"/>
              </w:rPr>
            </w:pPr>
            <w:r>
              <w:rPr>
                <w:rFonts w:hint="default" w:ascii="Times New Roman" w:hAnsi="Times New Roman" w:eastAsia="宋体" w:cs="Times New Roman"/>
                <w:color w:val="000000" w:themeColor="text1"/>
              </w:rPr>
              <w:t>给水系统：</w:t>
            </w:r>
            <w:r>
              <w:rPr>
                <w:color w:val="000000" w:themeColor="text1"/>
                <w:sz w:val="24"/>
                <w:highlight w:val="none"/>
              </w:rPr>
              <w:t>本项目位于</w:t>
            </w:r>
            <w:r>
              <w:rPr>
                <w:rFonts w:hint="eastAsia"/>
                <w:color w:val="000000" w:themeColor="text1"/>
                <w:sz w:val="24"/>
                <w:highlight w:val="none"/>
                <w:lang w:eastAsia="zh-CN"/>
              </w:rPr>
              <w:t>九江市柴桑区赤湖工业园兴业大道以南、通江东路以东</w:t>
            </w:r>
            <w:r>
              <w:rPr>
                <w:color w:val="000000" w:themeColor="text1"/>
                <w:sz w:val="24"/>
                <w:highlight w:val="none"/>
              </w:rPr>
              <w:t>，由</w:t>
            </w:r>
            <w:r>
              <w:rPr>
                <w:rFonts w:hint="eastAsia"/>
                <w:color w:val="000000" w:themeColor="text1"/>
                <w:sz w:val="24"/>
                <w:highlight w:val="none"/>
              </w:rPr>
              <w:t>园区</w:t>
            </w:r>
            <w:r>
              <w:rPr>
                <w:color w:val="000000" w:themeColor="text1"/>
                <w:sz w:val="24"/>
                <w:highlight w:val="none"/>
              </w:rPr>
              <w:t>自来水管网供水，供水量可以满足本项目的用水需求。项目用水</w:t>
            </w:r>
            <w:r>
              <w:rPr>
                <w:rFonts w:hint="eastAsia"/>
                <w:color w:val="000000" w:themeColor="text1"/>
                <w:sz w:val="24"/>
                <w:highlight w:val="none"/>
              </w:rPr>
              <w:t>主要为生产用水和生活用水，企业现有劳动定员1</w:t>
            </w:r>
            <w:r>
              <w:rPr>
                <w:rFonts w:hint="eastAsia"/>
                <w:color w:val="000000" w:themeColor="text1"/>
                <w:sz w:val="24"/>
                <w:highlight w:val="none"/>
                <w:lang w:val="en-US" w:eastAsia="zh-CN"/>
              </w:rPr>
              <w:t>5</w:t>
            </w:r>
            <w:r>
              <w:rPr>
                <w:rFonts w:hint="eastAsia"/>
                <w:color w:val="000000" w:themeColor="text1"/>
                <w:sz w:val="24"/>
                <w:highlight w:val="none"/>
              </w:rPr>
              <w:t>人，本</w:t>
            </w:r>
            <w:r>
              <w:rPr>
                <w:rFonts w:hint="eastAsia"/>
                <w:color w:val="000000" w:themeColor="text1"/>
                <w:sz w:val="24"/>
                <w:highlight w:val="none"/>
                <w:lang w:val="en-US" w:eastAsia="zh-CN"/>
              </w:rPr>
              <w:t>次扩建项目</w:t>
            </w:r>
            <w:r>
              <w:rPr>
                <w:rFonts w:hint="eastAsia"/>
                <w:color w:val="000000" w:themeColor="text1"/>
                <w:sz w:val="24"/>
                <w:highlight w:val="none"/>
              </w:rPr>
              <w:t>不新增劳动定员，从现有人员中进行调配，不新增生活用水量，</w:t>
            </w:r>
            <w:r>
              <w:rPr>
                <w:rFonts w:hint="eastAsia"/>
                <w:color w:val="000000" w:themeColor="text1"/>
                <w:sz w:val="24"/>
                <w:highlight w:val="none"/>
                <w:lang w:val="en-US" w:eastAsia="zh-CN"/>
              </w:rPr>
              <w:t>但需新增地面清洗用水。</w:t>
            </w:r>
            <w:r>
              <w:rPr>
                <w:rFonts w:hint="eastAsia"/>
                <w:color w:val="000000" w:themeColor="text1"/>
                <w:sz w:val="24"/>
                <w:highlight w:val="none"/>
              </w:rPr>
              <w:t>本次</w:t>
            </w:r>
            <w:r>
              <w:rPr>
                <w:rFonts w:hint="eastAsia"/>
                <w:color w:val="000000" w:themeColor="text1"/>
                <w:sz w:val="24"/>
                <w:highlight w:val="none"/>
                <w:lang w:val="en-US" w:eastAsia="zh-CN"/>
              </w:rPr>
              <w:t>扩建</w:t>
            </w:r>
            <w:r>
              <w:rPr>
                <w:rFonts w:hint="eastAsia"/>
                <w:color w:val="000000" w:themeColor="text1"/>
                <w:sz w:val="24"/>
                <w:highlight w:val="none"/>
              </w:rPr>
              <w:t>新增生产用水量为</w:t>
            </w:r>
            <w:r>
              <w:rPr>
                <w:rFonts w:hint="eastAsia"/>
                <w:color w:val="000000" w:themeColor="text1"/>
                <w:sz w:val="24"/>
                <w:highlight w:val="none"/>
                <w:lang w:val="en-US" w:eastAsia="zh-CN"/>
              </w:rPr>
              <w:t>1110</w:t>
            </w:r>
            <w:r>
              <w:rPr>
                <w:rFonts w:hint="eastAsia"/>
                <w:color w:val="000000" w:themeColor="text1"/>
                <w:sz w:val="24"/>
                <w:highlight w:val="none"/>
              </w:rPr>
              <w:t>m</w:t>
            </w:r>
            <w:r>
              <w:rPr>
                <w:rFonts w:hint="eastAsia"/>
                <w:color w:val="000000" w:themeColor="text1"/>
                <w:sz w:val="24"/>
                <w:highlight w:val="none"/>
                <w:vertAlign w:val="superscript"/>
              </w:rPr>
              <w:t>3</w:t>
            </w:r>
            <w:r>
              <w:rPr>
                <w:rFonts w:hint="eastAsia"/>
                <w:color w:val="000000" w:themeColor="text1"/>
                <w:sz w:val="24"/>
                <w:highlight w:val="none"/>
              </w:rPr>
              <w:t>/a。</w:t>
            </w:r>
          </w:p>
          <w:p w14:paraId="1D82C7AC">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排水系统：</w:t>
            </w:r>
            <w:r>
              <w:rPr>
                <w:rFonts w:hint="eastAsia" w:cs="Times New Roman"/>
                <w:color w:val="000000" w:themeColor="text1"/>
                <w:lang w:val="en-US" w:eastAsia="zh-CN"/>
              </w:rPr>
              <w:t>本次扩建工程</w:t>
            </w:r>
            <w:r>
              <w:rPr>
                <w:rFonts w:hint="default" w:ascii="Times New Roman" w:hAnsi="Times New Roman" w:eastAsia="宋体" w:cs="Times New Roman"/>
                <w:color w:val="000000" w:themeColor="text1"/>
              </w:rPr>
              <w:t>的排水方式不发生变化。厂区采用雨污分流排水系统，厂内分别设置雨水排水管网和污水排水管网。（1）场地及路面雨水由水沟及路边水井收集后集中排入雨水管，排入附近园区</w:t>
            </w:r>
            <w:r>
              <w:rPr>
                <w:rFonts w:hint="eastAsia" w:cs="Times New Roman"/>
                <w:color w:val="000000" w:themeColor="text1"/>
                <w:lang w:val="en-US" w:eastAsia="zh-CN"/>
              </w:rPr>
              <w:t>雨</w:t>
            </w:r>
            <w:r>
              <w:rPr>
                <w:rFonts w:hint="default" w:ascii="Times New Roman" w:hAnsi="Times New Roman" w:eastAsia="宋体" w:cs="Times New Roman"/>
                <w:color w:val="000000" w:themeColor="text1"/>
              </w:rPr>
              <w:t>水管网。（2）项目</w:t>
            </w:r>
            <w:r>
              <w:rPr>
                <w:rFonts w:hint="eastAsia" w:cs="Times New Roman"/>
                <w:color w:val="000000" w:themeColor="text1"/>
                <w:lang w:val="en-US" w:eastAsia="zh-CN"/>
              </w:rPr>
              <w:t>废水经场内化粪池处理达赤湖工业园污水处理厂接管标准后通过园区污水管网汇入赤湖工业园污水处理厂深度处理，</w:t>
            </w:r>
            <w:r>
              <w:rPr>
                <w:rFonts w:hint="default" w:ascii="Times New Roman" w:hAnsi="Times New Roman" w:eastAsia="宋体" w:cs="Times New Roman"/>
                <w:color w:val="000000" w:themeColor="text1"/>
              </w:rPr>
              <w:t>经</w:t>
            </w:r>
            <w:r>
              <w:rPr>
                <w:rFonts w:hint="eastAsia" w:cs="Times New Roman"/>
                <w:color w:val="000000" w:themeColor="text1"/>
                <w:lang w:val="en-US" w:eastAsia="zh-CN"/>
              </w:rPr>
              <w:t>赤湖工业园污水处理厂</w:t>
            </w:r>
            <w:r>
              <w:rPr>
                <w:rFonts w:hint="default" w:ascii="Times New Roman" w:hAnsi="Times New Roman" w:eastAsia="宋体" w:cs="Times New Roman"/>
                <w:color w:val="000000" w:themeColor="text1"/>
              </w:rPr>
              <w:t>处理</w:t>
            </w:r>
            <w:r>
              <w:rPr>
                <w:rFonts w:hint="eastAsia" w:cs="Times New Roman"/>
                <w:color w:val="000000" w:themeColor="text1"/>
                <w:lang w:eastAsia="zh-CN"/>
              </w:rPr>
              <w:t>达到</w:t>
            </w:r>
            <w:r>
              <w:rPr>
                <w:rFonts w:hint="default" w:ascii="Times New Roman" w:hAnsi="Times New Roman" w:eastAsia="宋体" w:cs="Times New Roman"/>
                <w:color w:val="000000" w:themeColor="text1"/>
              </w:rPr>
              <w:t>《城镇污水处理厂污染物排放标准》（GB18918-2002）中的</w:t>
            </w:r>
            <w:r>
              <w:rPr>
                <w:rFonts w:hint="eastAsia" w:cs="Times New Roman"/>
                <w:color w:val="000000" w:themeColor="text1"/>
                <w:lang w:eastAsia="zh-CN"/>
              </w:rPr>
              <w:t>一级A</w:t>
            </w:r>
            <w:r>
              <w:rPr>
                <w:rFonts w:hint="default" w:ascii="Times New Roman" w:hAnsi="Times New Roman" w:eastAsia="宋体" w:cs="Times New Roman"/>
                <w:color w:val="000000" w:themeColor="text1"/>
              </w:rPr>
              <w:t>标准</w:t>
            </w:r>
            <w:r>
              <w:rPr>
                <w:rFonts w:hint="eastAsia" w:cs="Times New Roman"/>
                <w:color w:val="000000" w:themeColor="text1"/>
                <w:lang w:val="en-US" w:eastAsia="zh-CN"/>
              </w:rPr>
              <w:t>后，尾水</w:t>
            </w:r>
            <w:r>
              <w:rPr>
                <w:rFonts w:hint="default" w:ascii="Times New Roman" w:hAnsi="Times New Roman" w:eastAsia="宋体" w:cs="Times New Roman"/>
                <w:color w:val="000000" w:themeColor="text1"/>
              </w:rPr>
              <w:t>排放</w:t>
            </w:r>
            <w:r>
              <w:rPr>
                <w:rFonts w:hint="eastAsia" w:cs="Times New Roman"/>
                <w:color w:val="000000" w:themeColor="text1"/>
                <w:lang w:val="en-US" w:eastAsia="zh-CN"/>
              </w:rPr>
              <w:t>至长江。</w:t>
            </w:r>
          </w:p>
          <w:p w14:paraId="633AD123">
            <w:pPr>
              <w:pStyle w:val="179"/>
              <w:rPr>
                <w:rFonts w:hint="default" w:ascii="Times New Roman" w:hAnsi="Times New Roman" w:cs="Times New Roman"/>
                <w:color w:val="000000" w:themeColor="text1"/>
              </w:rPr>
            </w:pPr>
            <w:r>
              <w:rPr>
                <w:rFonts w:hint="default" w:ascii="Times New Roman" w:hAnsi="Times New Roman" w:cs="Times New Roman"/>
                <w:color w:val="000000" w:themeColor="text1"/>
              </w:rPr>
              <w:t>扩建项目总用水量</w:t>
            </w:r>
            <w:r>
              <w:rPr>
                <w:rStyle w:val="180"/>
                <w:rFonts w:hint="default" w:ascii="Times New Roman" w:hAnsi="Times New Roman" w:cs="Times New Roman"/>
                <w:bCs w:val="0"/>
                <w:color w:val="000000" w:themeColor="text1"/>
              </w:rPr>
              <w:t>为</w:t>
            </w:r>
            <w:r>
              <w:rPr>
                <w:rStyle w:val="180"/>
                <w:rFonts w:hint="eastAsia" w:ascii="Times New Roman" w:hAnsi="Times New Roman" w:cs="Times New Roman"/>
                <w:bCs w:val="0"/>
                <w:color w:val="000000" w:themeColor="text1"/>
                <w:lang w:val="en-US" w:eastAsia="zh-CN"/>
              </w:rPr>
              <w:t>49785m</w:t>
            </w:r>
            <w:r>
              <w:rPr>
                <w:rStyle w:val="180"/>
                <w:rFonts w:hint="eastAsia" w:ascii="Times New Roman" w:hAnsi="Times New Roman" w:cs="Times New Roman"/>
                <w:bCs w:val="0"/>
                <w:color w:val="000000" w:themeColor="text1"/>
                <w:vertAlign w:val="superscript"/>
                <w:lang w:val="en-US" w:eastAsia="zh-CN"/>
              </w:rPr>
              <w:t>3</w:t>
            </w:r>
            <w:r>
              <w:rPr>
                <w:rStyle w:val="180"/>
                <w:rFonts w:hint="eastAsia" w:ascii="Times New Roman" w:hAnsi="Times New Roman" w:cs="Times New Roman"/>
                <w:bCs w:val="0"/>
                <w:color w:val="000000" w:themeColor="text1"/>
                <w:lang w:val="en-US" w:eastAsia="zh-CN"/>
              </w:rPr>
              <w:t>/a</w:t>
            </w:r>
            <w:r>
              <w:rPr>
                <w:rStyle w:val="180"/>
                <w:rFonts w:hint="default" w:ascii="Times New Roman" w:hAnsi="Times New Roman" w:cs="Times New Roman"/>
                <w:bCs w:val="0"/>
                <w:color w:val="000000" w:themeColor="text1"/>
              </w:rPr>
              <w:t>，其中</w:t>
            </w:r>
            <w:r>
              <w:rPr>
                <w:rFonts w:hint="default" w:ascii="Times New Roman" w:hAnsi="Times New Roman" w:cs="Times New Roman"/>
                <w:color w:val="000000" w:themeColor="text1"/>
              </w:rPr>
              <w:t>新鲜水量为</w:t>
            </w:r>
            <w:r>
              <w:rPr>
                <w:rFonts w:hint="eastAsia" w:ascii="Times New Roman" w:hAnsi="Times New Roman" w:cs="Times New Roman"/>
                <w:color w:val="000000" w:themeColor="text1"/>
                <w:lang w:val="en-US" w:eastAsia="zh-CN"/>
              </w:rPr>
              <w:t>1110</w:t>
            </w:r>
            <w:r>
              <w:rPr>
                <w:rStyle w:val="180"/>
                <w:rFonts w:hint="eastAsia" w:ascii="Times New Roman" w:hAnsi="Times New Roman" w:cs="Times New Roman"/>
                <w:bCs w:val="0"/>
                <w:color w:val="000000" w:themeColor="text1"/>
                <w:lang w:val="en-US" w:eastAsia="zh-CN"/>
              </w:rPr>
              <w:t>m</w:t>
            </w:r>
            <w:r>
              <w:rPr>
                <w:rStyle w:val="180"/>
                <w:rFonts w:hint="eastAsia" w:ascii="Times New Roman" w:hAnsi="Times New Roman" w:cs="Times New Roman"/>
                <w:bCs w:val="0"/>
                <w:color w:val="000000" w:themeColor="text1"/>
                <w:vertAlign w:val="superscript"/>
                <w:lang w:val="en-US" w:eastAsia="zh-CN"/>
              </w:rPr>
              <w:t>3</w:t>
            </w:r>
            <w:r>
              <w:rPr>
                <w:rStyle w:val="180"/>
                <w:rFonts w:hint="eastAsia" w:ascii="Times New Roman" w:hAnsi="Times New Roman" w:cs="Times New Roman"/>
                <w:bCs w:val="0"/>
                <w:color w:val="000000" w:themeColor="text1"/>
                <w:lang w:val="en-US" w:eastAsia="zh-CN"/>
              </w:rPr>
              <w:t>/a</w:t>
            </w:r>
            <w:r>
              <w:rPr>
                <w:rFonts w:hint="default" w:ascii="Times New Roman" w:hAnsi="Times New Roman" w:cs="Times New Roman"/>
                <w:color w:val="000000" w:themeColor="text1"/>
              </w:rPr>
              <w:t>，循环水量为</w:t>
            </w:r>
            <w:r>
              <w:rPr>
                <w:rFonts w:hint="eastAsia" w:ascii="Times New Roman" w:hAnsi="Times New Roman" w:cs="Times New Roman"/>
                <w:color w:val="000000" w:themeColor="text1"/>
                <w:lang w:val="en-US" w:eastAsia="zh-CN"/>
              </w:rPr>
              <w:t>48000t/a</w:t>
            </w:r>
            <w:r>
              <w:rPr>
                <w:rFonts w:hint="default" w:ascii="Times New Roman" w:hAnsi="Times New Roman" w:cs="Times New Roman"/>
                <w:color w:val="000000" w:themeColor="text1"/>
              </w:rPr>
              <w:t>，水循环利用率为</w:t>
            </w:r>
            <w:r>
              <w:rPr>
                <w:rFonts w:hint="eastAsia" w:ascii="Times New Roman" w:hAnsi="Times New Roman" w:cs="Times New Roman"/>
                <w:color w:val="000000" w:themeColor="text1"/>
                <w:lang w:val="en-US" w:eastAsia="zh-CN"/>
              </w:rPr>
              <w:t>96.41</w:t>
            </w:r>
            <w:r>
              <w:rPr>
                <w:rFonts w:hint="default" w:ascii="Times New Roman" w:hAnsi="Times New Roman" w:cs="Times New Roman"/>
                <w:color w:val="000000" w:themeColor="text1"/>
              </w:rPr>
              <w:t>%。</w:t>
            </w:r>
          </w:p>
          <w:p w14:paraId="59DEACDB">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项目水平衡图具体如下图：</w:t>
            </w:r>
          </w:p>
          <w:p w14:paraId="218C53CF">
            <w:pPr>
              <w:spacing w:line="240" w:lineRule="auto"/>
              <w:ind w:firstLine="0" w:firstLineChars="0"/>
              <w:jc w:val="center"/>
              <w:rPr>
                <w:rFonts w:hint="default" w:ascii="Times New Roman" w:hAnsi="Times New Roman" w:eastAsia="宋体" w:cs="Times New Roman"/>
                <w:color w:val="000000" w:themeColor="text1"/>
                <w:lang w:eastAsia="zh-CN"/>
              </w:rPr>
            </w:pPr>
            <w:r>
              <w:rPr>
                <w:color w:val="000000" w:themeColor="text1"/>
                <w:highlight w:val="none"/>
              </w:rPr>
              <w:object>
                <v:shape id="_x0000_i1025" o:spt="75" type="#_x0000_t75" style="height:189.95pt;width:401.35pt;" o:ole="t" filled="f" o:preferrelative="t" stroked="f" coordsize="21600,21600">
                  <v:path/>
                  <v:fill on="f" focussize="0,0"/>
                  <v:stroke on="f"/>
                  <v:imagedata r:id="rId16" o:title=""/>
                  <o:lock v:ext="edit" aspectratio="t"/>
                  <w10:wrap type="none"/>
                  <w10:anchorlock/>
                </v:shape>
                <o:OLEObject Type="Embed" ProgID="Visio.Drawing.11" ShapeID="_x0000_i1025" DrawAspect="Content" ObjectID="_1468075725" r:id="rId15">
                  <o:LockedField>false</o:LockedField>
                </o:OLEObject>
              </w:object>
            </w:r>
          </w:p>
          <w:p w14:paraId="283C7284">
            <w:pPr>
              <w:ind w:firstLine="42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 xml:space="preserve">图2-1  </w:t>
            </w:r>
            <w:r>
              <w:rPr>
                <w:rFonts w:hint="eastAsia" w:cs="Times New Roman"/>
                <w:b/>
                <w:bCs/>
                <w:color w:val="000000" w:themeColor="text1"/>
                <w:sz w:val="21"/>
                <w:szCs w:val="21"/>
                <w:lang w:val="en-US" w:eastAsia="zh-CN"/>
              </w:rPr>
              <w:t>扩建项目</w:t>
            </w:r>
            <w:r>
              <w:rPr>
                <w:rFonts w:hint="default" w:ascii="Times New Roman" w:hAnsi="Times New Roman" w:eastAsia="宋体" w:cs="Times New Roman"/>
                <w:b/>
                <w:bCs/>
                <w:color w:val="000000" w:themeColor="text1"/>
                <w:sz w:val="21"/>
                <w:szCs w:val="21"/>
              </w:rPr>
              <w:t>运营期水平衡图（t/</w:t>
            </w:r>
            <w:r>
              <w:rPr>
                <w:rFonts w:hint="eastAsia" w:cs="Times New Roman"/>
                <w:b/>
                <w:bCs/>
                <w:color w:val="000000" w:themeColor="text1"/>
                <w:sz w:val="21"/>
                <w:szCs w:val="21"/>
                <w:lang w:val="en-US" w:eastAsia="zh-CN"/>
              </w:rPr>
              <w:t>a</w:t>
            </w:r>
            <w:r>
              <w:rPr>
                <w:rFonts w:hint="default" w:ascii="Times New Roman" w:hAnsi="Times New Roman" w:eastAsia="宋体" w:cs="Times New Roman"/>
                <w:b/>
                <w:bCs/>
                <w:color w:val="000000" w:themeColor="text1"/>
                <w:sz w:val="21"/>
                <w:szCs w:val="21"/>
              </w:rPr>
              <w:t>）</w:t>
            </w:r>
          </w:p>
          <w:p w14:paraId="70DB49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rPr>
            </w:pPr>
            <w:r>
              <w:rPr>
                <w:color w:val="000000" w:themeColor="text1"/>
                <w:highlight w:val="none"/>
              </w:rPr>
              <w:object>
                <v:shape id="_x0000_i1026" o:spt="75" type="#_x0000_t75" style="height:333.4pt;width:386.8pt;" o:ole="t" filled="f" o:preferrelative="t" stroked="f" coordsize="21600,21600">
                  <v:path/>
                  <v:fill on="f" focussize="0,0"/>
                  <v:stroke on="f"/>
                  <v:imagedata r:id="rId18" o:title=""/>
                  <o:lock v:ext="edit" aspectratio="t"/>
                  <w10:wrap type="none"/>
                  <w10:anchorlock/>
                </v:shape>
                <o:OLEObject Type="Embed" ProgID="Visio.Drawing.11" ShapeID="_x0000_i1026" DrawAspect="Content" ObjectID="_1468075726" r:id="rId17">
                  <o:LockedField>false</o:LockedField>
                </o:OLEObject>
              </w:object>
            </w:r>
          </w:p>
          <w:p w14:paraId="29C9E4AD">
            <w:pPr>
              <w:ind w:firstLine="42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图2-</w:t>
            </w:r>
            <w:r>
              <w:rPr>
                <w:rFonts w:hint="eastAsia"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扩建后全厂项目</w:t>
            </w:r>
            <w:r>
              <w:rPr>
                <w:rFonts w:hint="default" w:ascii="Times New Roman" w:hAnsi="Times New Roman" w:eastAsia="宋体" w:cs="Times New Roman"/>
                <w:b/>
                <w:bCs/>
                <w:color w:val="000000" w:themeColor="text1"/>
                <w:sz w:val="21"/>
                <w:szCs w:val="21"/>
              </w:rPr>
              <w:t>运营期水平衡图（t/</w:t>
            </w:r>
            <w:r>
              <w:rPr>
                <w:rFonts w:hint="eastAsia" w:cs="Times New Roman"/>
                <w:b/>
                <w:bCs/>
                <w:color w:val="000000" w:themeColor="text1"/>
                <w:sz w:val="21"/>
                <w:szCs w:val="21"/>
                <w:lang w:val="en-US" w:eastAsia="zh-CN"/>
              </w:rPr>
              <w:t>a</w:t>
            </w:r>
            <w:r>
              <w:rPr>
                <w:rFonts w:hint="default" w:ascii="Times New Roman" w:hAnsi="Times New Roman" w:eastAsia="宋体" w:cs="Times New Roman"/>
                <w:b/>
                <w:bCs/>
                <w:color w:val="000000" w:themeColor="text1"/>
                <w:sz w:val="21"/>
                <w:szCs w:val="21"/>
              </w:rPr>
              <w:t>）</w:t>
            </w:r>
          </w:p>
          <w:p w14:paraId="2FC37A75">
            <w:pPr>
              <w:adjustRightInd w:val="0"/>
              <w:snapToGrid w:val="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2）供电</w:t>
            </w:r>
          </w:p>
          <w:p w14:paraId="52EAE640">
            <w:pPr>
              <w:widowControl/>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供电从市政供电网接入。厂内所有建筑按三级防雷建筑物进行设计，在屋顶设避雷带或利用金属屋面</w:t>
            </w:r>
            <w:r>
              <w:rPr>
                <w:rFonts w:hint="eastAsia" w:cs="Times New Roman"/>
                <w:color w:val="000000" w:themeColor="text1"/>
                <w:lang w:eastAsia="zh-CN"/>
              </w:rPr>
              <w:t>防止</w:t>
            </w:r>
            <w:r>
              <w:rPr>
                <w:rFonts w:hint="default" w:ascii="Times New Roman" w:hAnsi="Times New Roman" w:eastAsia="宋体" w:cs="Times New Roman"/>
                <w:color w:val="000000" w:themeColor="text1"/>
              </w:rPr>
              <w:t>击雷，利用柱内钢筋或钢柱作防雷引下线，利用结构基础内钢筋环形连接作接地装置，接地装置的接地电阻不大于1Ω，本项目全年用电量为</w:t>
            </w:r>
            <w:r>
              <w:rPr>
                <w:rFonts w:hint="eastAsia" w:cs="Times New Roman"/>
                <w:color w:val="000000" w:themeColor="text1"/>
                <w:lang w:val="en-US" w:eastAsia="zh-CN"/>
              </w:rPr>
              <w:t>50</w:t>
            </w:r>
            <w:r>
              <w:rPr>
                <w:rFonts w:hint="default" w:ascii="Times New Roman" w:hAnsi="Times New Roman" w:eastAsia="宋体" w:cs="Times New Roman"/>
                <w:color w:val="000000" w:themeColor="text1"/>
              </w:rPr>
              <w:t>万度。</w:t>
            </w:r>
          </w:p>
          <w:p w14:paraId="3A69B462">
            <w:pPr>
              <w:widowControl/>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3）储运工程</w:t>
            </w:r>
          </w:p>
          <w:p w14:paraId="5505549C">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zh-CN"/>
              </w:rPr>
              <w:t>本项目所用原料全部来自市面采购。采购的原材料放置在原料仓库，生产车间用于生产，成品暂时堆放在成品仓库，客户订单完成后立即运走。项目原辅料和成品分别以汽车运输方式进厂出厂</w:t>
            </w:r>
            <w:r>
              <w:rPr>
                <w:rFonts w:hint="default" w:ascii="Times New Roman" w:hAnsi="Times New Roman" w:eastAsia="宋体" w:cs="Times New Roman"/>
                <w:color w:val="000000" w:themeColor="text1"/>
              </w:rPr>
              <w:t>。</w:t>
            </w:r>
          </w:p>
        </w:tc>
      </w:tr>
      <w:tr w14:paraId="3D34E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76" w:hRule="atLeast"/>
          <w:jc w:val="center"/>
        </w:trPr>
        <w:tc>
          <w:tcPr>
            <w:tcW w:w="795" w:type="dxa"/>
            <w:vAlign w:val="center"/>
          </w:tcPr>
          <w:p w14:paraId="11F8F3D8">
            <w:pPr>
              <w:pStyle w:val="2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30"/>
                <w:szCs w:val="30"/>
              </w:rPr>
              <w:t>工艺流程和产排污环节</w:t>
            </w:r>
          </w:p>
        </w:tc>
        <w:tc>
          <w:tcPr>
            <w:tcW w:w="8189" w:type="dxa"/>
          </w:tcPr>
          <w:p w14:paraId="53B6BE22">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一、施工期工艺流程</w:t>
            </w:r>
          </w:p>
          <w:p w14:paraId="6CC1AA3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kern w:val="0"/>
                <w:sz w:val="24"/>
                <w:szCs w:val="24"/>
                <w:lang w:bidi="ar"/>
              </w:rPr>
              <w:t>本项目涉及场地平场，然后在平整的净地上依照施工图进行施工、建设。建设内容包括</w:t>
            </w:r>
            <w:r>
              <w:rPr>
                <w:rFonts w:hint="eastAsia" w:cs="Times New Roman"/>
                <w:color w:val="000000" w:themeColor="text1"/>
                <w:kern w:val="0"/>
                <w:sz w:val="24"/>
                <w:szCs w:val="24"/>
                <w:lang w:val="en-US" w:eastAsia="zh-CN" w:bidi="ar"/>
              </w:rPr>
              <w:t>3</w:t>
            </w:r>
            <w:r>
              <w:rPr>
                <w:rFonts w:hint="eastAsia" w:ascii="Times New Roman" w:hAnsi="Times New Roman" w:eastAsia="宋体" w:cs="Times New Roman"/>
                <w:color w:val="000000" w:themeColor="text1"/>
                <w:kern w:val="0"/>
                <w:sz w:val="24"/>
                <w:szCs w:val="24"/>
                <w:lang w:val="en-US" w:eastAsia="zh-CN" w:bidi="ar"/>
              </w:rPr>
              <w:t>栋</w:t>
            </w:r>
            <w:r>
              <w:rPr>
                <w:rFonts w:hint="default" w:ascii="Times New Roman" w:hAnsi="Times New Roman" w:eastAsia="宋体" w:cs="Times New Roman"/>
                <w:color w:val="000000" w:themeColor="text1"/>
                <w:kern w:val="0"/>
                <w:sz w:val="24"/>
                <w:szCs w:val="24"/>
                <w:lang w:val="en-US" w:eastAsia="zh-CN" w:bidi="ar"/>
              </w:rPr>
              <w:t>厂房</w:t>
            </w:r>
            <w:r>
              <w:rPr>
                <w:rFonts w:hint="eastAsia" w:cs="Times New Roman"/>
                <w:color w:val="000000" w:themeColor="text1"/>
                <w:kern w:val="0"/>
                <w:sz w:val="24"/>
                <w:szCs w:val="24"/>
                <w:lang w:val="en-US" w:eastAsia="zh-CN" w:bidi="ar"/>
              </w:rPr>
              <w:t>、一栋办公楼</w:t>
            </w:r>
            <w:r>
              <w:rPr>
                <w:rFonts w:hint="eastAsia" w:ascii="Times New Roman" w:hAnsi="Times New Roman" w:eastAsia="宋体"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bidi="ar"/>
              </w:rPr>
              <w:t>为地上建筑，地基开挖土方回填于厂区四周绿化。施工期施工工艺流程及产排污节点，详见下图。</w:t>
            </w:r>
          </w:p>
          <w:p w14:paraId="6F826B5A">
            <w:pPr>
              <w:pStyle w:val="19"/>
              <w:numPr>
                <w:ilvl w:val="0"/>
                <w:numId w:val="0"/>
              </w:numPr>
              <w:jc w:val="center"/>
              <w:rPr>
                <w:rFonts w:hint="eastAsia" w:eastAsia="宋体"/>
                <w:color w:val="000000" w:themeColor="text1"/>
                <w:lang w:eastAsia="zh-CN"/>
              </w:rPr>
            </w:pPr>
            <w:r>
              <w:rPr>
                <w:rFonts w:hint="eastAsia" w:eastAsia="宋体"/>
                <w:color w:val="000000" w:themeColor="text1"/>
                <w:lang w:eastAsia="zh-CN"/>
              </w:rPr>
              <w:drawing>
                <wp:inline distT="0" distB="0" distL="114300" distR="114300">
                  <wp:extent cx="4564380" cy="898525"/>
                  <wp:effectExtent l="0" t="0" r="7620" b="15875"/>
                  <wp:docPr id="10" name="图片 3" descr="施工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施工期工艺流程图"/>
                          <pic:cNvPicPr>
                            <a:picLocks noChangeAspect="1"/>
                          </pic:cNvPicPr>
                        </pic:nvPicPr>
                        <pic:blipFill>
                          <a:blip r:embed="rId19"/>
                          <a:stretch>
                            <a:fillRect/>
                          </a:stretch>
                        </pic:blipFill>
                        <pic:spPr>
                          <a:xfrm>
                            <a:off x="0" y="0"/>
                            <a:ext cx="4564380" cy="898525"/>
                          </a:xfrm>
                          <a:prstGeom prst="rect">
                            <a:avLst/>
                          </a:prstGeom>
                          <a:noFill/>
                          <a:ln>
                            <a:noFill/>
                          </a:ln>
                        </pic:spPr>
                      </pic:pic>
                    </a:graphicData>
                  </a:graphic>
                </wp:inline>
              </w:drawing>
            </w:r>
          </w:p>
          <w:p w14:paraId="4544EE9E">
            <w:pPr>
              <w:keepNext w:val="0"/>
              <w:keepLines w:val="0"/>
              <w:widowControl/>
              <w:suppressLineNumbers w:val="0"/>
              <w:spacing w:before="0" w:beforeAutospacing="0" w:after="0" w:afterAutospacing="0"/>
              <w:ind w:left="0" w:right="0" w:firstLine="480"/>
              <w:jc w:val="center"/>
              <w:rPr>
                <w:rFonts w:hint="eastAsia"/>
                <w:color w:val="000000" w:themeColor="text1"/>
                <w:lang w:eastAsia="zh-CN"/>
              </w:rPr>
            </w:pPr>
            <w:r>
              <w:rPr>
                <w:rFonts w:hint="default" w:ascii="Times New Roman" w:hAnsi="Times New Roman" w:eastAsia="宋体" w:cs="Times New Roman"/>
                <w:color w:val="000000" w:themeColor="text1"/>
                <w:kern w:val="0"/>
                <w:lang w:bidi="ar"/>
              </w:rPr>
              <w:t xml:space="preserve"> </w:t>
            </w:r>
            <w:r>
              <w:rPr>
                <w:rFonts w:hint="default" w:ascii="Times New Roman" w:hAnsi="Times New Roman" w:eastAsia="宋体" w:cs="Times New Roman"/>
                <w:b/>
                <w:color w:val="000000" w:themeColor="text1"/>
                <w:kern w:val="0"/>
                <w:lang w:bidi="ar"/>
              </w:rPr>
              <w:t xml:space="preserve">图 </w:t>
            </w:r>
            <w:r>
              <w:rPr>
                <w:rFonts w:hint="default" w:ascii="Times New Roman" w:hAnsi="Times New Roman" w:eastAsia="宋体" w:cs="Times New Roman"/>
                <w:b/>
                <w:bCs/>
                <w:color w:val="000000" w:themeColor="text1"/>
                <w:sz w:val="21"/>
                <w:szCs w:val="21"/>
              </w:rPr>
              <w:t>2-</w:t>
            </w:r>
            <w:r>
              <w:rPr>
                <w:rFonts w:hint="eastAsia" w:cs="Times New Roman"/>
                <w:b/>
                <w:bCs/>
                <w:color w:val="000000" w:themeColor="text1"/>
                <w:sz w:val="21"/>
                <w:szCs w:val="21"/>
                <w:lang w:val="en-US" w:eastAsia="zh-CN"/>
              </w:rPr>
              <w:t>3</w:t>
            </w:r>
            <w:r>
              <w:rPr>
                <w:rFonts w:hint="default" w:ascii="Times New Roman" w:hAnsi="Times New Roman" w:eastAsia="宋体" w:cs="Times New Roman"/>
                <w:color w:val="000000" w:themeColor="text1"/>
                <w:kern w:val="0"/>
                <w:lang w:bidi="ar"/>
              </w:rPr>
              <w:t xml:space="preserve"> </w:t>
            </w:r>
            <w:r>
              <w:rPr>
                <w:rFonts w:hint="default" w:ascii="Times New Roman" w:hAnsi="Times New Roman" w:eastAsia="宋体" w:cs="Times New Roman"/>
                <w:b/>
                <w:color w:val="000000" w:themeColor="text1"/>
                <w:kern w:val="0"/>
                <w:lang w:bidi="ar"/>
              </w:rPr>
              <w:t>施工工艺流程及产排污节点示意图</w:t>
            </w:r>
          </w:p>
          <w:p w14:paraId="5412A20F">
            <w:pPr>
              <w:pStyle w:val="170"/>
              <w:keepNext w:val="0"/>
              <w:keepLines w:val="0"/>
              <w:pageBreakBefore w:val="0"/>
              <w:widowControl w:val="0"/>
              <w:kinsoku/>
              <w:wordWrap/>
              <w:overflowPunct/>
              <w:topLinePunct w:val="0"/>
              <w:autoSpaceDE/>
              <w:autoSpaceDN/>
              <w:bidi w:val="0"/>
              <w:adjustRightInd/>
              <w:snapToGrid/>
              <w:spacing w:line="365" w:lineRule="auto"/>
              <w:ind w:left="0" w:right="0" w:firstLine="460"/>
              <w:jc w:val="both"/>
              <w:textAlignment w:val="auto"/>
              <w:rPr>
                <w:color w:val="000000" w:themeColor="text1"/>
              </w:rPr>
            </w:pPr>
            <w:r>
              <w:rPr>
                <w:rFonts w:hint="default" w:ascii="Times New Roman" w:hAnsi="Times New Roman" w:eastAsia="宋体" w:cs="Times New Roman"/>
                <w:color w:val="000000" w:themeColor="text1"/>
                <w:kern w:val="2"/>
                <w:sz w:val="24"/>
                <w:szCs w:val="24"/>
                <w:lang w:val="en-US" w:eastAsia="zh-CN" w:bidi="ar-SA"/>
              </w:rPr>
              <w:t>施工期产生的大气污染物主要为运输车辆扬尘</w:t>
            </w:r>
            <w:r>
              <w:rPr>
                <w:rFonts w:hint="eastAsia" w:ascii="Times New Roman" w:hAnsi="Times New Roman" w:cs="Times New Roman"/>
                <w:color w:val="000000" w:themeColor="text1"/>
                <w:kern w:val="2"/>
                <w:sz w:val="24"/>
                <w:szCs w:val="24"/>
                <w:lang w:val="en-US" w:eastAsia="zh-CN" w:bidi="ar-SA"/>
              </w:rPr>
              <w:t>、</w:t>
            </w:r>
            <w:r>
              <w:rPr>
                <w:rFonts w:hint="default" w:ascii="Times New Roman" w:hAnsi="Times New Roman" w:eastAsia="宋体" w:cs="Times New Roman"/>
                <w:color w:val="000000" w:themeColor="text1"/>
                <w:kern w:val="2"/>
                <w:sz w:val="24"/>
                <w:szCs w:val="24"/>
                <w:lang w:val="en-US" w:eastAsia="zh-CN" w:bidi="ar-SA"/>
              </w:rPr>
              <w:t>噪声和部分废弃物料和少量生活垃圾。</w:t>
            </w:r>
            <w:r>
              <w:rPr>
                <w:rFonts w:hint="eastAsia" w:ascii="Times New Roman" w:hAnsi="Times New Roman" w:cs="Times New Roman"/>
                <w:color w:val="000000" w:themeColor="text1"/>
                <w:kern w:val="2"/>
                <w:sz w:val="24"/>
                <w:szCs w:val="24"/>
                <w:lang w:val="en-US" w:eastAsia="zh-CN" w:bidi="ar-SA"/>
              </w:rPr>
              <w:t>本次扩建项目</w:t>
            </w:r>
            <w:r>
              <w:rPr>
                <w:rFonts w:hint="default" w:ascii="Times New Roman" w:hAnsi="Times New Roman" w:eastAsia="宋体" w:cs="Times New Roman"/>
                <w:color w:val="000000" w:themeColor="text1"/>
                <w:kern w:val="2"/>
                <w:sz w:val="24"/>
                <w:szCs w:val="24"/>
                <w:lang w:val="en-US" w:eastAsia="zh-CN" w:bidi="ar-SA"/>
              </w:rPr>
              <w:t>施工期较短，施工期影响将随施工期的结束而消失，施工期对周围环境的影响较小。</w:t>
            </w:r>
          </w:p>
          <w:p w14:paraId="7925D832">
            <w:pPr>
              <w:pStyle w:val="16"/>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二、运营期工艺流程图：</w:t>
            </w:r>
          </w:p>
          <w:p w14:paraId="48DF62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color w:val="000000" w:themeColor="text1"/>
              </w:rPr>
              <w:object>
                <v:shape id="_x0000_i1027" o:spt="75" type="#_x0000_t75" style="height:358.65pt;width:239.85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0E2E6D87">
            <w:pPr>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图2-</w:t>
            </w:r>
            <w:r>
              <w:rPr>
                <w:rFonts w:hint="eastAsia" w:cs="Times New Roman"/>
                <w:b/>
                <w:bCs/>
                <w:color w:val="000000" w:themeColor="text1"/>
                <w:sz w:val="21"/>
                <w:szCs w:val="21"/>
                <w:lang w:val="en-US" w:eastAsia="zh-CN"/>
              </w:rPr>
              <w:t>4</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扩建项目</w:t>
            </w:r>
            <w:r>
              <w:rPr>
                <w:rFonts w:hint="default" w:ascii="Times New Roman" w:hAnsi="Times New Roman" w:eastAsia="宋体" w:cs="Times New Roman"/>
                <w:b/>
                <w:bCs/>
                <w:color w:val="000000" w:themeColor="text1"/>
                <w:sz w:val="21"/>
                <w:szCs w:val="21"/>
              </w:rPr>
              <w:t>运营期工艺流程及产污节点图</w:t>
            </w:r>
          </w:p>
          <w:p w14:paraId="7C67030A">
            <w:pPr>
              <w:ind w:firstLine="482"/>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rPr>
              <w:t>生产工艺简述：</w:t>
            </w:r>
          </w:p>
          <w:p w14:paraId="08E4551C">
            <w:pPr>
              <w:keepNext w:val="0"/>
              <w:keepLines w:val="0"/>
              <w:widowControl/>
              <w:suppressLineNumbers w:val="0"/>
              <w:jc w:val="both"/>
              <w:rPr>
                <w:color w:val="000000" w:themeColor="text1"/>
              </w:rPr>
            </w:pPr>
            <w:r>
              <w:rPr>
                <w:rFonts w:hint="eastAsia" w:cs="Times New Roman"/>
                <w:b/>
                <w:bCs/>
                <w:color w:val="000000" w:themeColor="text1"/>
                <w:lang w:val="en-US" w:eastAsia="zh-CN"/>
              </w:rPr>
              <w:t>造粒</w:t>
            </w:r>
            <w:r>
              <w:rPr>
                <w:rFonts w:hint="default" w:ascii="Times New Roman" w:hAnsi="Times New Roman" w:cs="Times New Roman"/>
                <w:b/>
                <w:bCs/>
                <w:color w:val="000000" w:themeColor="text1"/>
                <w:lang w:val="en-US" w:eastAsia="zh-CN"/>
              </w:rPr>
              <w:t>：</w:t>
            </w:r>
            <w:r>
              <w:rPr>
                <w:rFonts w:hint="eastAsia" w:ascii="Times New Roman" w:hAnsi="Times New Roman" w:eastAsia="宋体" w:cs="Times New Roman"/>
                <w:color w:val="000000" w:themeColor="text1"/>
                <w:sz w:val="24"/>
                <w:lang w:val="en-US" w:eastAsia="zh-CN"/>
              </w:rPr>
              <w:t>将原料</w:t>
            </w:r>
            <w:r>
              <w:rPr>
                <w:rFonts w:hint="eastAsia" w:cs="Times New Roman"/>
                <w:color w:val="000000" w:themeColor="text1"/>
                <w:sz w:val="24"/>
                <w:lang w:val="en-US" w:eastAsia="zh-CN"/>
              </w:rPr>
              <w:t>用皮带（皮带设置封闭罩）密闭送入</w:t>
            </w:r>
            <w:r>
              <w:rPr>
                <w:rFonts w:hint="eastAsia" w:ascii="Times New Roman" w:hAnsi="Times New Roman" w:eastAsia="宋体" w:cs="Times New Roman"/>
                <w:color w:val="000000" w:themeColor="text1"/>
                <w:sz w:val="24"/>
                <w:lang w:val="en-US" w:eastAsia="zh-CN"/>
              </w:rPr>
              <w:t>造粒机中进行混合、成型，本项目入场原料含水率50%，原料</w:t>
            </w:r>
            <w:r>
              <w:rPr>
                <w:rFonts w:hint="eastAsia" w:cs="Times New Roman"/>
                <w:color w:val="000000" w:themeColor="text1"/>
                <w:sz w:val="24"/>
                <w:lang w:val="en-US" w:eastAsia="zh-CN"/>
              </w:rPr>
              <w:t>呈</w:t>
            </w:r>
            <w:r>
              <w:rPr>
                <w:rFonts w:hint="eastAsia" w:ascii="Times New Roman" w:hAnsi="Times New Roman" w:eastAsia="宋体" w:cs="Times New Roman"/>
                <w:color w:val="000000" w:themeColor="text1"/>
                <w:sz w:val="24"/>
                <w:lang w:val="en-US" w:eastAsia="zh-CN"/>
              </w:rPr>
              <w:t>颗粒状，为饼状原料，</w:t>
            </w:r>
            <w:r>
              <w:rPr>
                <w:rFonts w:hint="eastAsia" w:cs="Times New Roman"/>
                <w:color w:val="000000" w:themeColor="text1"/>
                <w:sz w:val="24"/>
                <w:lang w:val="en-US" w:eastAsia="zh-CN"/>
              </w:rPr>
              <w:t>投料过程</w:t>
            </w:r>
            <w:r>
              <w:rPr>
                <w:rFonts w:hint="eastAsia" w:ascii="Times New Roman" w:hAnsi="Times New Roman" w:eastAsia="宋体" w:cs="Times New Roman"/>
                <w:color w:val="000000" w:themeColor="text1"/>
                <w:sz w:val="24"/>
                <w:lang w:val="en-US" w:eastAsia="zh-CN"/>
              </w:rPr>
              <w:t>不易起尘。该过程通过机械搅拌和挤压作用</w:t>
            </w:r>
            <w:r>
              <w:rPr>
                <w:rFonts w:hint="eastAsia" w:cs="Times New Roman"/>
                <w:color w:val="000000" w:themeColor="text1"/>
                <w:sz w:val="24"/>
                <w:lang w:val="en-US" w:eastAsia="zh-CN"/>
              </w:rPr>
              <w:t>（常温常压）</w:t>
            </w:r>
            <w:r>
              <w:rPr>
                <w:rFonts w:hint="eastAsia" w:ascii="Times New Roman" w:hAnsi="Times New Roman" w:eastAsia="宋体" w:cs="Times New Roman"/>
                <w:color w:val="000000" w:themeColor="text1"/>
                <w:sz w:val="24"/>
                <w:lang w:val="en-US" w:eastAsia="zh-CN"/>
              </w:rPr>
              <w:t>，使物料均匀混合并形成具有一定形状和尺寸的颗粒。在此过程中会产生G1颗粒物和噪声</w:t>
            </w:r>
            <w:r>
              <w:rPr>
                <w:rFonts w:hint="default" w:ascii="Times New Roman" w:hAnsi="Times New Roman" w:eastAsia="宋体" w:cs="Times New Roman"/>
                <w:color w:val="000000" w:themeColor="text1"/>
                <w:sz w:val="24"/>
                <w:lang w:val="en-US" w:eastAsia="zh-CN"/>
              </w:rPr>
              <w:t>N</w:t>
            </w:r>
            <w:r>
              <w:rPr>
                <w:rFonts w:hint="eastAsia" w:ascii="Times New Roman" w:hAnsi="Times New Roman" w:eastAsia="宋体" w:cs="Times New Roman"/>
                <w:color w:val="000000" w:themeColor="text1"/>
                <w:sz w:val="24"/>
                <w:lang w:val="en-US" w:eastAsia="zh-CN"/>
              </w:rPr>
              <w:t>1。</w:t>
            </w:r>
          </w:p>
          <w:p w14:paraId="57D58ADC">
            <w:pPr>
              <w:keepNext w:val="0"/>
              <w:keepLines w:val="0"/>
              <w:widowControl/>
              <w:suppressLineNumbers w:val="0"/>
              <w:jc w:val="both"/>
              <w:rPr>
                <w:rFonts w:hint="default" w:ascii="Times New Roman" w:hAnsi="Times New Roman" w:cs="Times New Roman"/>
                <w:color w:val="000000" w:themeColor="text1"/>
                <w:sz w:val="24"/>
                <w:lang w:val="en-US" w:eastAsia="zh-CN"/>
              </w:rPr>
            </w:pPr>
            <w:r>
              <w:rPr>
                <w:rFonts w:hint="eastAsia" w:ascii="Times New Roman" w:hAnsi="Times New Roman" w:eastAsia="宋体" w:cs="Times New Roman"/>
                <w:b/>
                <w:bCs/>
                <w:color w:val="000000" w:themeColor="text1"/>
                <w:sz w:val="24"/>
                <w:lang w:val="en-US" w:eastAsia="zh-CN"/>
              </w:rPr>
              <w:t>烘干：</w:t>
            </w:r>
            <w:r>
              <w:rPr>
                <w:rFonts w:hint="eastAsia" w:ascii="Times New Roman" w:hAnsi="Times New Roman" w:eastAsia="宋体" w:cs="Times New Roman"/>
                <w:b w:val="0"/>
                <w:bCs w:val="0"/>
                <w:color w:val="000000" w:themeColor="text1"/>
                <w:sz w:val="24"/>
                <w:lang w:val="en-US" w:eastAsia="zh-CN"/>
              </w:rPr>
              <w:t>造粒完成的物料放料至移动受料斗，然后通过设备连接的提升机转移至旋窑烘干机。</w:t>
            </w:r>
            <w:r>
              <w:rPr>
                <w:rFonts w:hint="eastAsia" w:ascii="Times New Roman" w:hAnsi="Times New Roman" w:eastAsia="宋体" w:cs="Times New Roman"/>
                <w:color w:val="000000" w:themeColor="text1"/>
                <w:sz w:val="24"/>
                <w:lang w:val="en-US" w:eastAsia="zh-CN"/>
              </w:rPr>
              <w:t>烘干机使用天然气为燃料，</w:t>
            </w:r>
            <w:r>
              <w:rPr>
                <w:rFonts w:hint="eastAsia" w:cs="Times New Roman"/>
                <w:color w:val="000000" w:themeColor="text1"/>
                <w:sz w:val="24"/>
                <w:lang w:val="en-US" w:eastAsia="zh-CN"/>
              </w:rPr>
              <w:t>利用热风炉的热风</w:t>
            </w:r>
            <w:r>
              <w:rPr>
                <w:rFonts w:hint="eastAsia" w:ascii="Times New Roman" w:hAnsi="Times New Roman" w:eastAsia="宋体" w:cs="Times New Roman"/>
                <w:color w:val="000000" w:themeColor="text1"/>
                <w:sz w:val="24"/>
                <w:lang w:val="en-US" w:eastAsia="zh-CN"/>
              </w:rPr>
              <w:t>对物料进行烘干</w:t>
            </w:r>
            <w:r>
              <w:rPr>
                <w:rFonts w:hint="eastAsia" w:cs="Times New Roman"/>
                <w:color w:val="000000" w:themeColor="text1"/>
                <w:sz w:val="24"/>
                <w:lang w:val="en-US" w:eastAsia="zh-CN"/>
              </w:rPr>
              <w:t>（间接加热的方式）</w:t>
            </w:r>
            <w:r>
              <w:rPr>
                <w:rFonts w:hint="eastAsia" w:ascii="Times New Roman" w:hAnsi="Times New Roman" w:eastAsia="宋体" w:cs="Times New Roman"/>
                <w:color w:val="000000" w:themeColor="text1"/>
                <w:sz w:val="24"/>
                <w:lang w:val="en-US" w:eastAsia="zh-CN"/>
              </w:rPr>
              <w:t>，蒸发水分，最终形成</w:t>
            </w:r>
            <w:r>
              <w:rPr>
                <w:rFonts w:hint="eastAsia" w:cs="Times New Roman"/>
                <w:color w:val="000000" w:themeColor="text1"/>
                <w:sz w:val="24"/>
                <w:lang w:val="en-US" w:eastAsia="zh-CN"/>
              </w:rPr>
              <w:t>本项目需使用原料炭黑（含水率2%）</w:t>
            </w:r>
            <w:r>
              <w:rPr>
                <w:rFonts w:hint="eastAsia" w:ascii="Times New Roman" w:hAnsi="Times New Roman" w:eastAsia="宋体" w:cs="Times New Roman"/>
                <w:color w:val="000000" w:themeColor="text1"/>
                <w:sz w:val="24"/>
                <w:lang w:val="en-US" w:eastAsia="zh-CN"/>
              </w:rPr>
              <w:t>，在此过程中会产生</w:t>
            </w:r>
            <w:r>
              <w:rPr>
                <w:rFonts w:hint="eastAsia" w:cs="Times New Roman"/>
                <w:color w:val="000000" w:themeColor="text1"/>
                <w:sz w:val="24"/>
                <w:lang w:val="en-US" w:eastAsia="zh-CN"/>
              </w:rPr>
              <w:t>颗粒物、</w:t>
            </w:r>
            <w:r>
              <w:rPr>
                <w:rFonts w:hint="eastAsia" w:ascii="Times New Roman" w:hAnsi="Times New Roman" w:eastAsia="宋体" w:cs="Times New Roman"/>
                <w:color w:val="000000" w:themeColor="text1"/>
                <w:sz w:val="24"/>
                <w:lang w:val="en-US" w:eastAsia="zh-CN"/>
              </w:rPr>
              <w:t>水蒸气和燃烧废气</w:t>
            </w:r>
            <w:r>
              <w:rPr>
                <w:rFonts w:hint="default" w:ascii="Times New Roman" w:hAnsi="Times New Roman" w:eastAsia="宋体" w:cs="Times New Roman"/>
                <w:color w:val="000000" w:themeColor="text1"/>
                <w:sz w:val="24"/>
                <w:lang w:val="en-US" w:eastAsia="zh-CN"/>
              </w:rPr>
              <w:t>G</w:t>
            </w:r>
            <w:r>
              <w:rPr>
                <w:rFonts w:hint="eastAsia" w:ascii="Times New Roman" w:hAnsi="Times New Roman" w:eastAsia="宋体" w:cs="Times New Roman"/>
                <w:color w:val="000000" w:themeColor="text1"/>
                <w:sz w:val="24"/>
                <w:lang w:val="en-US" w:eastAsia="zh-CN"/>
              </w:rPr>
              <w:t>2和噪声</w:t>
            </w:r>
            <w:r>
              <w:rPr>
                <w:rFonts w:hint="default" w:ascii="Times New Roman" w:hAnsi="Times New Roman" w:eastAsia="宋体" w:cs="Times New Roman"/>
                <w:color w:val="000000" w:themeColor="text1"/>
                <w:sz w:val="24"/>
                <w:lang w:val="en-US" w:eastAsia="zh-CN"/>
              </w:rPr>
              <w:t>N</w:t>
            </w:r>
            <w:r>
              <w:rPr>
                <w:rFonts w:hint="eastAsia" w:ascii="Times New Roman" w:hAnsi="Times New Roman" w:eastAsia="宋体" w:cs="Times New Roman"/>
                <w:color w:val="000000" w:themeColor="text1"/>
                <w:sz w:val="24"/>
                <w:lang w:val="en-US" w:eastAsia="zh-CN"/>
              </w:rPr>
              <w:t>2。</w:t>
            </w:r>
            <w:r>
              <w:rPr>
                <w:rFonts w:hint="eastAsia" w:cs="Times New Roman"/>
                <w:color w:val="000000" w:themeColor="text1"/>
                <w:sz w:val="24"/>
                <w:lang w:val="en-US" w:eastAsia="zh-CN"/>
              </w:rPr>
              <w:t>烘干废气和天然气燃烧尾气一起进布袋除尘器处理后通</w:t>
            </w:r>
            <w:r>
              <w:rPr>
                <w:rFonts w:hint="eastAsia" w:ascii="Times New Roman" w:hAnsi="Times New Roman" w:cs="Times New Roman"/>
                <w:color w:val="000000" w:themeColor="text1"/>
                <w:sz w:val="24"/>
                <w:lang w:val="en-US" w:eastAsia="zh-CN"/>
              </w:rPr>
              <w:t>过20</w:t>
            </w:r>
            <w:r>
              <w:rPr>
                <w:rFonts w:hint="default" w:ascii="Times New Roman" w:hAnsi="Times New Roman" w:cs="Times New Roman"/>
                <w:color w:val="000000" w:themeColor="text1"/>
                <w:sz w:val="24"/>
                <w:lang w:val="en-US" w:eastAsia="zh-CN"/>
              </w:rPr>
              <w:t>m高排气筒</w:t>
            </w:r>
            <w:r>
              <w:rPr>
                <w:rFonts w:hint="eastAsia" w:ascii="Times New Roman" w:hAnsi="Times New Roman" w:cs="Times New Roman"/>
                <w:color w:val="000000" w:themeColor="text1"/>
                <w:sz w:val="24"/>
                <w:lang w:val="en-US" w:eastAsia="zh-CN"/>
              </w:rPr>
              <w:t>（DA001）</w:t>
            </w:r>
            <w:r>
              <w:rPr>
                <w:rFonts w:hint="default" w:ascii="Times New Roman" w:hAnsi="Times New Roman" w:cs="Times New Roman"/>
                <w:color w:val="000000" w:themeColor="text1"/>
                <w:sz w:val="24"/>
                <w:lang w:val="en-US" w:eastAsia="zh-CN"/>
              </w:rPr>
              <w:t>高空排放。</w:t>
            </w:r>
          </w:p>
          <w:p w14:paraId="7E6FE5A0">
            <w:pPr>
              <w:keepNext w:val="0"/>
              <w:keepLines w:val="0"/>
              <w:pageBreakBefore w:val="0"/>
              <w:widowControl/>
              <w:numPr>
                <w:ilvl w:val="0"/>
                <w:numId w:val="0"/>
              </w:numPr>
              <w:suppressLineNumbers w:val="0"/>
              <w:kinsoku/>
              <w:wordWrap/>
              <w:overflowPunct/>
              <w:topLinePunct w:val="0"/>
              <w:autoSpaceDE/>
              <w:autoSpaceDN/>
              <w:bidi w:val="0"/>
              <w:spacing w:line="360" w:lineRule="auto"/>
              <w:ind w:firstLine="482" w:firstLineChars="200"/>
              <w:jc w:val="both"/>
              <w:textAlignment w:val="auto"/>
              <w:rPr>
                <w:rFonts w:hint="default" w:ascii="Times New Roman" w:hAnsi="Times New Roman" w:eastAsia="宋体" w:cs="Times New Roman"/>
                <w:color w:val="000000" w:themeColor="text1"/>
                <w:kern w:val="0"/>
                <w:sz w:val="24"/>
                <w:szCs w:val="24"/>
                <w:lang w:val="en-US" w:eastAsia="zh-CN" w:bidi="ar"/>
              </w:rPr>
            </w:pPr>
            <w:r>
              <w:rPr>
                <w:rFonts w:hint="eastAsia" w:cs="Times New Roman"/>
                <w:b/>
                <w:bCs/>
                <w:color w:val="000000" w:themeColor="text1"/>
                <w:sz w:val="24"/>
                <w:lang w:val="en-US" w:eastAsia="zh-CN"/>
              </w:rPr>
              <w:t>混合：</w:t>
            </w:r>
            <w:r>
              <w:rPr>
                <w:rFonts w:hint="default" w:ascii="Times New Roman" w:hAnsi="Times New Roman" w:eastAsia="宋体" w:cs="Times New Roman"/>
                <w:color w:val="000000" w:themeColor="text1"/>
                <w:kern w:val="0"/>
                <w:sz w:val="24"/>
                <w:szCs w:val="24"/>
                <w:lang w:val="en-US" w:eastAsia="zh-CN" w:bidi="ar"/>
              </w:rPr>
              <w:t>将外购的聚乙烯粒子</w:t>
            </w:r>
            <w:r>
              <w:rPr>
                <w:rFonts w:hint="eastAsia" w:cs="Times New Roman"/>
                <w:color w:val="000000" w:themeColor="text1"/>
                <w:kern w:val="0"/>
                <w:sz w:val="24"/>
                <w:szCs w:val="24"/>
                <w:lang w:val="en-US" w:eastAsia="zh-CN" w:bidi="ar"/>
              </w:rPr>
              <w:t>、EVA粒子以及烘干后的炭黑</w:t>
            </w:r>
            <w:r>
              <w:rPr>
                <w:rFonts w:hint="default" w:ascii="Times New Roman" w:hAnsi="Times New Roman" w:eastAsia="宋体" w:cs="Times New Roman"/>
                <w:color w:val="000000" w:themeColor="text1"/>
                <w:kern w:val="0"/>
                <w:sz w:val="24"/>
                <w:szCs w:val="24"/>
                <w:lang w:val="en-US" w:eastAsia="zh-CN" w:bidi="ar"/>
              </w:rPr>
              <w:t>按比例</w:t>
            </w:r>
            <w:r>
              <w:rPr>
                <w:rFonts w:hint="eastAsia" w:cs="Times New Roman"/>
                <w:color w:val="000000" w:themeColor="text1"/>
                <w:kern w:val="0"/>
                <w:sz w:val="24"/>
                <w:szCs w:val="24"/>
                <w:lang w:val="en-US" w:eastAsia="zh-CN" w:bidi="ar"/>
              </w:rPr>
              <w:t>（0.35:0.20:0.45）</w:t>
            </w:r>
            <w:r>
              <w:rPr>
                <w:rFonts w:hint="default" w:ascii="Times New Roman" w:hAnsi="Times New Roman" w:eastAsia="宋体" w:cs="Times New Roman"/>
                <w:color w:val="000000" w:themeColor="text1"/>
                <w:kern w:val="0"/>
                <w:sz w:val="24"/>
                <w:szCs w:val="24"/>
                <w:lang w:val="en-US" w:eastAsia="zh-CN" w:bidi="ar"/>
              </w:rPr>
              <w:t>投入</w:t>
            </w:r>
            <w:r>
              <w:rPr>
                <w:rFonts w:hint="eastAsia" w:cs="Times New Roman"/>
                <w:color w:val="000000" w:themeColor="text1"/>
                <w:kern w:val="0"/>
                <w:sz w:val="24"/>
                <w:szCs w:val="24"/>
                <w:lang w:val="en-US" w:eastAsia="zh-CN" w:bidi="ar"/>
              </w:rPr>
              <w:t>混料机混合搅拌</w:t>
            </w:r>
            <w:r>
              <w:rPr>
                <w:rFonts w:hint="default" w:ascii="Times New Roman" w:hAnsi="Times New Roman" w:eastAsia="宋体" w:cs="Times New Roman"/>
                <w:color w:val="000000" w:themeColor="text1"/>
                <w:kern w:val="0"/>
                <w:sz w:val="24"/>
                <w:szCs w:val="24"/>
                <w:lang w:val="en-US" w:eastAsia="zh-CN" w:bidi="ar"/>
              </w:rPr>
              <w:t>。在此过程中会产生</w:t>
            </w:r>
            <w:r>
              <w:rPr>
                <w:rFonts w:hint="eastAsia" w:cs="Times New Roman"/>
                <w:color w:val="000000" w:themeColor="text1"/>
                <w:kern w:val="0"/>
                <w:sz w:val="24"/>
                <w:szCs w:val="24"/>
                <w:lang w:val="en-US" w:eastAsia="zh-CN" w:bidi="ar"/>
              </w:rPr>
              <w:t>噪声N3和G3投料粉尘、搅拌粉尘，主要为</w:t>
            </w:r>
            <w:r>
              <w:rPr>
                <w:rFonts w:hint="default" w:ascii="Times New Roman" w:hAnsi="Times New Roman" w:eastAsia="宋体" w:cs="Times New Roman"/>
                <w:color w:val="000000" w:themeColor="text1"/>
                <w:kern w:val="0"/>
                <w:sz w:val="24"/>
                <w:szCs w:val="24"/>
                <w:lang w:val="en-US" w:eastAsia="zh-CN" w:bidi="ar"/>
              </w:rPr>
              <w:t>炭黑尘，</w:t>
            </w:r>
            <w:r>
              <w:rPr>
                <w:rFonts w:hint="eastAsia" w:cs="Times New Roman"/>
                <w:color w:val="000000" w:themeColor="text1"/>
                <w:kern w:val="0"/>
                <w:sz w:val="24"/>
                <w:szCs w:val="24"/>
                <w:lang w:val="en-US" w:eastAsia="zh-CN" w:bidi="ar"/>
              </w:rPr>
              <w:t>在投料口罩设置集气罩，同时将投料的装置设置单独隔离罩，就投料工序设置二次密闭</w:t>
            </w:r>
            <w:r>
              <w:rPr>
                <w:rFonts w:hint="eastAsia" w:cs="Times New Roman"/>
                <w:color w:val="000000" w:themeColor="text1"/>
                <w:sz w:val="24"/>
                <w:lang w:val="en-US" w:eastAsia="zh-CN"/>
              </w:rPr>
              <w:t>，</w:t>
            </w:r>
            <w:r>
              <w:rPr>
                <w:rFonts w:hint="eastAsia" w:cs="Times New Roman"/>
                <w:color w:val="000000" w:themeColor="text1"/>
                <w:kern w:val="0"/>
                <w:sz w:val="24"/>
                <w:szCs w:val="24"/>
                <w:lang w:val="en-US" w:eastAsia="zh-CN" w:bidi="ar"/>
              </w:rPr>
              <w:t>混料机通过负压收集废气，</w:t>
            </w:r>
            <w:r>
              <w:rPr>
                <w:rFonts w:hint="default" w:ascii="Times New Roman" w:hAnsi="Times New Roman" w:eastAsia="宋体" w:cs="Times New Roman"/>
                <w:color w:val="000000" w:themeColor="text1"/>
                <w:kern w:val="0"/>
                <w:sz w:val="24"/>
                <w:szCs w:val="24"/>
                <w:lang w:val="en-US" w:eastAsia="zh-CN" w:bidi="ar"/>
              </w:rPr>
              <w:t>粉尘</w:t>
            </w:r>
            <w:r>
              <w:rPr>
                <w:rFonts w:hint="eastAsia" w:ascii="Times New Roman" w:hAnsi="Times New Roman" w:eastAsia="宋体" w:cs="Times New Roman"/>
                <w:color w:val="000000" w:themeColor="text1"/>
                <w:kern w:val="0"/>
                <w:sz w:val="24"/>
                <w:szCs w:val="24"/>
                <w:lang w:val="en-US" w:eastAsia="zh-CN" w:bidi="ar"/>
              </w:rPr>
              <w:t>收集进入</w:t>
            </w:r>
            <w:r>
              <w:rPr>
                <w:rFonts w:hint="eastAsia" w:cs="Times New Roman"/>
                <w:color w:val="000000" w:themeColor="text1"/>
                <w:kern w:val="0"/>
                <w:sz w:val="24"/>
                <w:szCs w:val="24"/>
                <w:lang w:val="en-US" w:eastAsia="zh-CN" w:bidi="ar"/>
              </w:rPr>
              <w:t>布袋</w:t>
            </w:r>
            <w:r>
              <w:rPr>
                <w:rFonts w:hint="default" w:ascii="Times New Roman" w:hAnsi="Times New Roman" w:eastAsia="宋体" w:cs="Times New Roman"/>
                <w:color w:val="000000" w:themeColor="text1"/>
                <w:kern w:val="0"/>
                <w:sz w:val="24"/>
                <w:szCs w:val="24"/>
                <w:lang w:val="en-US" w:eastAsia="zh-CN" w:bidi="ar"/>
              </w:rPr>
              <w:t>除尘器处理后</w:t>
            </w:r>
            <w:r>
              <w:rPr>
                <w:rFonts w:hint="eastAsia" w:ascii="Times New Roman" w:hAnsi="Times New Roman" w:eastAsia="宋体" w:cs="Times New Roman"/>
                <w:color w:val="000000" w:themeColor="text1"/>
                <w:kern w:val="0"/>
                <w:sz w:val="24"/>
                <w:szCs w:val="24"/>
                <w:lang w:val="en-US" w:eastAsia="zh-CN" w:bidi="ar"/>
              </w:rPr>
              <w:t>最终</w:t>
            </w:r>
            <w:r>
              <w:rPr>
                <w:rFonts w:hint="default" w:ascii="Times New Roman" w:hAnsi="Times New Roman" w:eastAsia="宋体" w:cs="Times New Roman"/>
                <w:color w:val="000000" w:themeColor="text1"/>
                <w:kern w:val="0"/>
                <w:sz w:val="24"/>
                <w:szCs w:val="24"/>
                <w:lang w:val="en-US" w:eastAsia="zh-CN" w:bidi="ar"/>
              </w:rPr>
              <w:t>通</w:t>
            </w:r>
            <w:r>
              <w:rPr>
                <w:rFonts w:hint="eastAsia" w:ascii="Times New Roman" w:hAnsi="Times New Roman" w:eastAsia="宋体" w:cs="Times New Roman"/>
                <w:color w:val="000000" w:themeColor="text1"/>
                <w:kern w:val="0"/>
                <w:sz w:val="24"/>
                <w:szCs w:val="24"/>
                <w:lang w:val="en-US" w:eastAsia="zh-CN" w:bidi="ar"/>
              </w:rPr>
              <w:t>过</w:t>
            </w:r>
            <w:r>
              <w:rPr>
                <w:rFonts w:hint="eastAsia" w:cs="Times New Roman"/>
                <w:color w:val="000000" w:themeColor="text1"/>
                <w:kern w:val="0"/>
                <w:sz w:val="24"/>
                <w:szCs w:val="24"/>
                <w:lang w:val="en-US" w:eastAsia="zh-CN" w:bidi="ar"/>
              </w:rPr>
              <w:t>20</w:t>
            </w:r>
            <w:r>
              <w:rPr>
                <w:rFonts w:hint="default" w:ascii="Times New Roman" w:hAnsi="Times New Roman" w:eastAsia="宋体" w:cs="Times New Roman"/>
                <w:color w:val="000000" w:themeColor="text1"/>
                <w:kern w:val="0"/>
                <w:sz w:val="24"/>
                <w:szCs w:val="24"/>
                <w:lang w:val="en-US" w:eastAsia="zh-CN" w:bidi="ar"/>
              </w:rPr>
              <w:t>m高排气筒</w:t>
            </w:r>
            <w:r>
              <w:rPr>
                <w:rFonts w:hint="eastAsia" w:ascii="Times New Roman" w:hAnsi="Times New Roman" w:eastAsia="宋体" w:cs="Times New Roman"/>
                <w:color w:val="000000" w:themeColor="text1"/>
                <w:kern w:val="0"/>
                <w:sz w:val="24"/>
                <w:szCs w:val="24"/>
                <w:lang w:val="en-US" w:eastAsia="zh-CN" w:bidi="ar"/>
              </w:rPr>
              <w:t>（DA00</w:t>
            </w:r>
            <w:r>
              <w:rPr>
                <w:rFonts w:hint="eastAsia" w:cs="Times New Roman"/>
                <w:color w:val="000000" w:themeColor="text1"/>
                <w:kern w:val="0"/>
                <w:sz w:val="24"/>
                <w:szCs w:val="24"/>
                <w:lang w:val="en-US" w:eastAsia="zh-CN" w:bidi="ar"/>
              </w:rPr>
              <w:t>2</w:t>
            </w:r>
            <w:r>
              <w:rPr>
                <w:rFonts w:hint="eastAsia" w:ascii="Times New Roman" w:hAnsi="Times New Roman" w:eastAsia="宋体"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kern w:val="0"/>
                <w:sz w:val="24"/>
                <w:szCs w:val="24"/>
                <w:lang w:val="en-US" w:eastAsia="zh-CN" w:bidi="ar"/>
              </w:rPr>
              <w:t>高空排放</w:t>
            </w:r>
            <w:r>
              <w:rPr>
                <w:rFonts w:hint="eastAsia" w:ascii="Times New Roman" w:hAnsi="Times New Roman" w:eastAsia="宋体" w:cs="Times New Roman"/>
                <w:color w:val="000000" w:themeColor="text1"/>
                <w:kern w:val="0"/>
                <w:sz w:val="24"/>
                <w:szCs w:val="24"/>
                <w:lang w:val="en-US" w:eastAsia="zh-CN" w:bidi="ar"/>
              </w:rPr>
              <w:t>。</w:t>
            </w:r>
          </w:p>
          <w:p w14:paraId="6025B5F9">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rPr>
            </w:pPr>
            <w:r>
              <w:rPr>
                <w:rFonts w:hint="eastAsia" w:ascii="Times New Roman" w:hAnsi="Times New Roman" w:eastAsia="宋体" w:cs="Times New Roman"/>
                <w:b/>
                <w:bCs/>
                <w:color w:val="000000" w:themeColor="text1"/>
                <w:sz w:val="24"/>
                <w:lang w:val="en-US" w:eastAsia="zh-CN"/>
              </w:rPr>
              <w:t>挤出：</w:t>
            </w:r>
            <w:r>
              <w:rPr>
                <w:rFonts w:hint="default" w:ascii="Times New Roman" w:hAnsi="Times New Roman" w:eastAsia="宋体" w:cs="Times New Roman"/>
                <w:color w:val="000000" w:themeColor="text1"/>
                <w:kern w:val="0"/>
                <w:sz w:val="24"/>
                <w:szCs w:val="24"/>
                <w:lang w:val="en-US" w:eastAsia="zh-CN" w:bidi="ar"/>
              </w:rPr>
              <w:t>将原料混合均匀后，</w:t>
            </w:r>
            <w:r>
              <w:rPr>
                <w:rFonts w:hint="eastAsia" w:cs="Times New Roman"/>
                <w:color w:val="000000" w:themeColor="text1"/>
                <w:kern w:val="0"/>
                <w:sz w:val="24"/>
                <w:szCs w:val="24"/>
                <w:lang w:val="en-US" w:eastAsia="zh-CN" w:bidi="ar"/>
              </w:rPr>
              <w:t>通过提升机</w:t>
            </w:r>
            <w:r>
              <w:rPr>
                <w:rFonts w:hint="default" w:ascii="Times New Roman" w:hAnsi="Times New Roman" w:eastAsia="宋体" w:cs="Times New Roman"/>
                <w:color w:val="000000" w:themeColor="text1"/>
                <w:kern w:val="0"/>
                <w:sz w:val="24"/>
                <w:szCs w:val="24"/>
                <w:lang w:val="en-US" w:eastAsia="zh-CN" w:bidi="ar"/>
              </w:rPr>
              <w:t>投入</w:t>
            </w:r>
            <w:r>
              <w:rPr>
                <w:rFonts w:hint="eastAsia" w:cs="Times New Roman"/>
                <w:color w:val="000000" w:themeColor="text1"/>
                <w:kern w:val="0"/>
                <w:sz w:val="24"/>
                <w:szCs w:val="24"/>
                <w:lang w:val="en-US" w:eastAsia="zh-CN" w:bidi="ar"/>
              </w:rPr>
              <w:t>喂料机，然后由喂料机缓慢进入</w:t>
            </w:r>
            <w:r>
              <w:rPr>
                <w:rFonts w:hint="eastAsia" w:cs="Times New Roman"/>
                <w:color w:val="000000" w:themeColor="text1"/>
                <w:sz w:val="24"/>
                <w:lang w:val="en-US" w:eastAsia="zh-CN"/>
              </w:rPr>
              <w:t>挤出切粒一体机</w:t>
            </w:r>
            <w:r>
              <w:rPr>
                <w:rFonts w:hint="default" w:ascii="Times New Roman" w:hAnsi="Times New Roman" w:eastAsia="宋体" w:cs="Times New Roman"/>
                <w:color w:val="000000" w:themeColor="text1"/>
                <w:kern w:val="0"/>
                <w:sz w:val="24"/>
                <w:szCs w:val="24"/>
                <w:lang w:val="en-US" w:eastAsia="zh-CN" w:bidi="ar"/>
              </w:rPr>
              <w:t>，挤出过程中采用电加热，加热温度到1</w:t>
            </w:r>
            <w:r>
              <w:rPr>
                <w:rFonts w:hint="eastAsia" w:cs="Times New Roman"/>
                <w:color w:val="000000" w:themeColor="text1"/>
                <w:kern w:val="0"/>
                <w:sz w:val="24"/>
                <w:szCs w:val="24"/>
                <w:lang w:val="en-US" w:eastAsia="zh-CN" w:bidi="ar"/>
              </w:rPr>
              <w:t>55</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18</w:t>
            </w:r>
            <w:r>
              <w:rPr>
                <w:rFonts w:hint="default" w:ascii="Times New Roman" w:hAnsi="Times New Roman" w:eastAsia="宋体" w:cs="Times New Roman"/>
                <w:color w:val="000000" w:themeColor="text1"/>
                <w:kern w:val="0"/>
                <w:sz w:val="24"/>
                <w:szCs w:val="24"/>
                <w:lang w:val="en-US" w:eastAsia="zh-CN" w:bidi="ar"/>
              </w:rPr>
              <w:t>0℃挤出成</w:t>
            </w:r>
            <w:r>
              <w:rPr>
                <w:rFonts w:hint="eastAsia" w:cs="Times New Roman"/>
                <w:color w:val="000000" w:themeColor="text1"/>
                <w:kern w:val="0"/>
                <w:sz w:val="24"/>
                <w:szCs w:val="24"/>
                <w:lang w:val="en-US" w:eastAsia="zh-CN" w:bidi="ar"/>
              </w:rPr>
              <w:t>条。</w:t>
            </w:r>
            <w:r>
              <w:rPr>
                <w:rFonts w:hint="default" w:ascii="Times New Roman" w:hAnsi="Times New Roman" w:eastAsia="宋体" w:cs="Times New Roman"/>
                <w:color w:val="000000" w:themeColor="text1"/>
                <w:kern w:val="0"/>
                <w:sz w:val="24"/>
                <w:szCs w:val="24"/>
                <w:lang w:val="en-US" w:eastAsia="zh-CN" w:bidi="ar"/>
              </w:rPr>
              <w:t>在此过程中产生</w:t>
            </w:r>
            <w:r>
              <w:rPr>
                <w:rFonts w:hint="eastAsia" w:cs="Times New Roman"/>
                <w:color w:val="000000" w:themeColor="text1"/>
                <w:kern w:val="0"/>
                <w:sz w:val="24"/>
                <w:szCs w:val="24"/>
                <w:lang w:val="en-US" w:eastAsia="zh-CN" w:bidi="ar"/>
              </w:rPr>
              <w:t>G4</w:t>
            </w:r>
            <w:r>
              <w:rPr>
                <w:rFonts w:hint="default" w:ascii="Times New Roman" w:hAnsi="Times New Roman" w:eastAsia="宋体" w:cs="Times New Roman"/>
                <w:color w:val="000000" w:themeColor="text1"/>
                <w:kern w:val="0"/>
                <w:sz w:val="24"/>
                <w:szCs w:val="24"/>
                <w:lang w:val="en-US" w:eastAsia="zh-CN" w:bidi="ar"/>
              </w:rPr>
              <w:t>有机废气（</w:t>
            </w:r>
            <w:r>
              <w:rPr>
                <w:rFonts w:hint="eastAsia" w:ascii="Times New Roman" w:hAnsi="Times New Roman" w:eastAsia="宋体" w:cs="Times New Roman"/>
                <w:color w:val="000000" w:themeColor="text1"/>
                <w:kern w:val="0"/>
                <w:sz w:val="24"/>
                <w:szCs w:val="24"/>
                <w:lang w:val="en-US" w:eastAsia="zh-CN" w:bidi="ar"/>
              </w:rPr>
              <w:t>以</w:t>
            </w:r>
            <w:r>
              <w:rPr>
                <w:rFonts w:hint="default" w:ascii="Times New Roman" w:hAnsi="Times New Roman" w:eastAsia="宋体" w:cs="Times New Roman"/>
                <w:color w:val="000000" w:themeColor="text1"/>
                <w:kern w:val="0"/>
                <w:sz w:val="24"/>
                <w:szCs w:val="24"/>
                <w:lang w:val="en-US" w:eastAsia="zh-CN" w:bidi="ar"/>
              </w:rPr>
              <w:t>非甲烷总烃</w:t>
            </w:r>
            <w:r>
              <w:rPr>
                <w:rFonts w:hint="eastAsia" w:ascii="Times New Roman" w:hAnsi="Times New Roman" w:eastAsia="宋体" w:cs="Times New Roman"/>
                <w:color w:val="000000" w:themeColor="text1"/>
                <w:kern w:val="0"/>
                <w:sz w:val="24"/>
                <w:szCs w:val="24"/>
                <w:lang w:val="en-US" w:eastAsia="zh-CN" w:bidi="ar"/>
              </w:rPr>
              <w:t>计</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、颗粒物、水蒸气</w:t>
            </w:r>
            <w:r>
              <w:rPr>
                <w:rFonts w:hint="eastAsia" w:ascii="Times New Roman" w:hAnsi="Times New Roman" w:eastAsia="宋体" w:cs="Times New Roman"/>
                <w:color w:val="000000" w:themeColor="text1"/>
                <w:kern w:val="0"/>
                <w:sz w:val="24"/>
                <w:szCs w:val="24"/>
                <w:lang w:val="en-US" w:eastAsia="zh-CN" w:bidi="ar"/>
              </w:rPr>
              <w:t>以及</w:t>
            </w:r>
            <w:r>
              <w:rPr>
                <w:rFonts w:hint="eastAsia" w:cs="Times New Roman"/>
                <w:color w:val="000000" w:themeColor="text1"/>
                <w:kern w:val="0"/>
                <w:sz w:val="24"/>
                <w:szCs w:val="24"/>
                <w:lang w:val="en-US" w:eastAsia="zh-CN" w:bidi="ar"/>
              </w:rPr>
              <w:t>N4</w:t>
            </w:r>
            <w:r>
              <w:rPr>
                <w:rFonts w:hint="eastAsia" w:ascii="Times New Roman" w:hAnsi="Times New Roman" w:eastAsia="宋体" w:cs="Times New Roman"/>
                <w:color w:val="000000" w:themeColor="text1"/>
                <w:kern w:val="0"/>
                <w:sz w:val="24"/>
                <w:szCs w:val="24"/>
                <w:lang w:val="en-US" w:eastAsia="zh-CN" w:bidi="ar"/>
              </w:rPr>
              <w:t>机械噪声</w:t>
            </w:r>
            <w:r>
              <w:rPr>
                <w:rFonts w:hint="default" w:ascii="Times New Roman" w:hAnsi="Times New Roman" w:eastAsia="宋体"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在挤出出料口罩设置集气罩，同时将挤出的装置设置单独隔离罩，就挤出工序设置二次密闭</w:t>
            </w:r>
            <w:r>
              <w:rPr>
                <w:rFonts w:hint="eastAsia" w:cs="Times New Roman"/>
                <w:color w:val="000000" w:themeColor="text1"/>
                <w:sz w:val="24"/>
                <w:lang w:val="en-US" w:eastAsia="zh-CN"/>
              </w:rPr>
              <w:t>，</w:t>
            </w:r>
            <w:r>
              <w:rPr>
                <w:rFonts w:hint="eastAsia" w:ascii="Times New Roman" w:hAnsi="Times New Roman" w:eastAsia="宋体" w:cs="Times New Roman"/>
                <w:color w:val="000000" w:themeColor="text1"/>
                <w:kern w:val="0"/>
                <w:sz w:val="24"/>
                <w:szCs w:val="24"/>
                <w:lang w:val="en-US" w:eastAsia="zh-CN" w:bidi="ar"/>
              </w:rPr>
              <w:t>有机废气进入</w:t>
            </w:r>
            <w:r>
              <w:rPr>
                <w:rFonts w:hint="eastAsia" w:cs="Times New Roman"/>
                <w:color w:val="000000" w:themeColor="text1"/>
                <w:kern w:val="0"/>
                <w:sz w:val="24"/>
                <w:szCs w:val="24"/>
                <w:lang w:val="en-US" w:eastAsia="zh-CN" w:bidi="ar"/>
              </w:rPr>
              <w:t>冷凝+</w:t>
            </w:r>
            <w:r>
              <w:rPr>
                <w:rFonts w:hint="eastAsia" w:ascii="Times New Roman" w:hAnsi="Times New Roman" w:eastAsia="宋体" w:cs="Times New Roman"/>
                <w:color w:val="000000" w:themeColor="text1"/>
                <w:kern w:val="0"/>
                <w:sz w:val="24"/>
                <w:szCs w:val="24"/>
                <w:lang w:val="en-US" w:eastAsia="zh-CN" w:bidi="ar"/>
              </w:rPr>
              <w:t>活性炭吸附装置，最终</w:t>
            </w:r>
            <w:r>
              <w:rPr>
                <w:rFonts w:hint="default" w:ascii="Times New Roman" w:hAnsi="Times New Roman" w:eastAsia="宋体" w:cs="Times New Roman"/>
                <w:color w:val="000000" w:themeColor="text1"/>
                <w:kern w:val="0"/>
                <w:sz w:val="24"/>
                <w:szCs w:val="24"/>
                <w:lang w:val="en-US" w:eastAsia="zh-CN" w:bidi="ar"/>
              </w:rPr>
              <w:t>通</w:t>
            </w:r>
            <w:r>
              <w:rPr>
                <w:rFonts w:hint="eastAsia" w:ascii="Times New Roman" w:hAnsi="Times New Roman" w:eastAsia="宋体" w:cs="Times New Roman"/>
                <w:color w:val="000000" w:themeColor="text1"/>
                <w:kern w:val="0"/>
                <w:sz w:val="24"/>
                <w:szCs w:val="24"/>
                <w:lang w:val="en-US" w:eastAsia="zh-CN" w:bidi="ar"/>
              </w:rPr>
              <w:t>过</w:t>
            </w:r>
            <w:r>
              <w:rPr>
                <w:rFonts w:hint="eastAsia" w:cs="Times New Roman"/>
                <w:color w:val="000000" w:themeColor="text1"/>
                <w:kern w:val="0"/>
                <w:sz w:val="24"/>
                <w:szCs w:val="24"/>
                <w:lang w:val="en-US" w:eastAsia="zh-CN" w:bidi="ar"/>
              </w:rPr>
              <w:t>20</w:t>
            </w:r>
            <w:r>
              <w:rPr>
                <w:rFonts w:hint="default" w:ascii="Times New Roman" w:hAnsi="Times New Roman" w:eastAsia="宋体" w:cs="Times New Roman"/>
                <w:color w:val="000000" w:themeColor="text1"/>
                <w:kern w:val="0"/>
                <w:sz w:val="24"/>
                <w:szCs w:val="24"/>
                <w:lang w:val="en-US" w:eastAsia="zh-CN" w:bidi="ar"/>
              </w:rPr>
              <w:t>m高排气筒</w:t>
            </w:r>
            <w:r>
              <w:rPr>
                <w:rFonts w:hint="eastAsia" w:ascii="Times New Roman" w:hAnsi="Times New Roman" w:eastAsia="宋体" w:cs="Times New Roman"/>
                <w:color w:val="000000" w:themeColor="text1"/>
                <w:kern w:val="0"/>
                <w:sz w:val="24"/>
                <w:szCs w:val="24"/>
                <w:lang w:val="en-US" w:eastAsia="zh-CN" w:bidi="ar"/>
              </w:rPr>
              <w:t>（DA002）</w:t>
            </w:r>
            <w:r>
              <w:rPr>
                <w:rFonts w:hint="default" w:ascii="Times New Roman" w:hAnsi="Times New Roman" w:eastAsia="宋体" w:cs="Times New Roman"/>
                <w:color w:val="000000" w:themeColor="text1"/>
                <w:kern w:val="0"/>
                <w:sz w:val="24"/>
                <w:szCs w:val="24"/>
                <w:lang w:val="en-US" w:eastAsia="zh-CN" w:bidi="ar"/>
              </w:rPr>
              <w:t>高空排放。</w:t>
            </w:r>
          </w:p>
          <w:p w14:paraId="2E348D54">
            <w:pPr>
              <w:keepNext w:val="0"/>
              <w:keepLines w:val="0"/>
              <w:widowControl/>
              <w:suppressLineNumbers w:val="0"/>
              <w:jc w:val="both"/>
              <w:rPr>
                <w:rFonts w:hint="default" w:ascii="Times New Roman" w:hAnsi="Times New Roman" w:cs="Times New Roman"/>
                <w:b w:val="0"/>
                <w:bCs w:val="0"/>
                <w:color w:val="000000" w:themeColor="text1"/>
                <w:sz w:val="24"/>
                <w:szCs w:val="24"/>
                <w:lang w:val="en-US"/>
              </w:rPr>
            </w:pPr>
            <w:r>
              <w:rPr>
                <w:rFonts w:hint="eastAsia" w:ascii="Times New Roman" w:hAnsi="Times New Roman" w:eastAsia="宋体" w:cs="Times New Roman"/>
                <w:b/>
                <w:bCs/>
                <w:color w:val="000000" w:themeColor="text1"/>
                <w:sz w:val="24"/>
                <w:lang w:val="en-US" w:eastAsia="zh-CN"/>
              </w:rPr>
              <w:t>切粒：</w:t>
            </w:r>
            <w:r>
              <w:rPr>
                <w:rFonts w:hint="eastAsia" w:ascii="Times New Roman" w:hAnsi="Times New Roman" w:eastAsia="宋体" w:cs="Times New Roman"/>
                <w:b w:val="0"/>
                <w:bCs w:val="0"/>
                <w:color w:val="000000" w:themeColor="text1"/>
                <w:sz w:val="24"/>
                <w:lang w:val="en-US" w:eastAsia="zh-CN"/>
              </w:rPr>
              <w:t>挤出机尾部连接水环切粒机，本项目设置有500m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的循环水池，有泵与水环切粒机水箱</w:t>
            </w:r>
            <w:r>
              <w:rPr>
                <w:rFonts w:hint="eastAsia" w:cs="Times New Roman"/>
                <w:b w:val="0"/>
                <w:bCs w:val="0"/>
                <w:color w:val="000000" w:themeColor="text1"/>
                <w:sz w:val="24"/>
                <w:lang w:val="en-US" w:eastAsia="zh-CN"/>
              </w:rPr>
              <w:t>连接</w:t>
            </w:r>
            <w:r>
              <w:rPr>
                <w:rFonts w:hint="eastAsia" w:ascii="Times New Roman" w:hAnsi="Times New Roman" w:eastAsia="宋体" w:cs="Times New Roman"/>
                <w:b w:val="0"/>
                <w:bCs w:val="0"/>
                <w:color w:val="000000" w:themeColor="text1"/>
                <w:sz w:val="24"/>
                <w:lang w:val="en-US" w:eastAsia="zh-CN"/>
              </w:rPr>
              <w:t>，水环切粒机采用‌</w:t>
            </w:r>
            <w:r>
              <w:rPr>
                <w:rFonts w:hint="default" w:ascii="Times New Roman" w:hAnsi="Times New Roman" w:eastAsia="宋体" w:cs="Times New Roman"/>
                <w:b w:val="0"/>
                <w:bCs w:val="0"/>
                <w:color w:val="000000" w:themeColor="text1"/>
                <w:sz w:val="24"/>
                <w:lang w:val="en-US" w:eastAsia="zh-CN"/>
              </w:rPr>
              <w:t>水环冷却系统‌实现粒子冷却。熔融聚合物经</w:t>
            </w:r>
            <w:r>
              <w:rPr>
                <w:rFonts w:hint="eastAsia" w:ascii="Times New Roman" w:hAnsi="Times New Roman" w:eastAsia="宋体" w:cs="Times New Roman"/>
                <w:b w:val="0"/>
                <w:bCs w:val="0"/>
                <w:color w:val="000000" w:themeColor="text1"/>
                <w:sz w:val="24"/>
                <w:lang w:val="en-US" w:eastAsia="zh-CN"/>
              </w:rPr>
              <w:t>切刀</w:t>
            </w:r>
            <w:r>
              <w:rPr>
                <w:rFonts w:hint="default" w:ascii="Times New Roman" w:hAnsi="Times New Roman" w:eastAsia="宋体" w:cs="Times New Roman"/>
                <w:b w:val="0"/>
                <w:bCs w:val="0"/>
                <w:color w:val="000000" w:themeColor="text1"/>
                <w:sz w:val="24"/>
                <w:lang w:val="en-US" w:eastAsia="zh-CN"/>
              </w:rPr>
              <w:t>切割后，颗粒被甩入高速水流中，通过水流进行初步冷却形成</w:t>
            </w:r>
            <w:r>
              <w:rPr>
                <w:rFonts w:hint="eastAsia" w:ascii="Times New Roman" w:hAnsi="Times New Roman" w:eastAsia="宋体" w:cs="Times New Roman"/>
                <w:b w:val="0"/>
                <w:bCs w:val="0"/>
                <w:color w:val="000000" w:themeColor="text1"/>
                <w:sz w:val="24"/>
                <w:lang w:val="en-US" w:eastAsia="zh-CN"/>
              </w:rPr>
              <w:t>粒料水浆</w:t>
            </w:r>
            <w:r>
              <w:rPr>
                <w:rFonts w:hint="default" w:ascii="Times New Roman" w:hAnsi="Times New Roman" w:eastAsia="宋体" w:cs="Times New Roman"/>
                <w:b w:val="0"/>
                <w:bCs w:val="0"/>
                <w:color w:val="000000" w:themeColor="text1"/>
                <w:sz w:val="24"/>
                <w:lang w:val="en-US" w:eastAsia="zh-CN"/>
              </w:rPr>
              <w:t>，随后进入</w:t>
            </w:r>
            <w:r>
              <w:rPr>
                <w:rFonts w:hint="eastAsia" w:ascii="Times New Roman" w:hAnsi="Times New Roman" w:eastAsia="宋体" w:cs="Times New Roman"/>
                <w:b w:val="0"/>
                <w:bCs w:val="0"/>
                <w:color w:val="000000" w:themeColor="text1"/>
                <w:sz w:val="24"/>
                <w:lang w:val="en-US" w:eastAsia="zh-CN"/>
              </w:rPr>
              <w:t>离心干燥机</w:t>
            </w:r>
            <w:r>
              <w:rPr>
                <w:rFonts w:hint="default" w:ascii="Times New Roman" w:hAnsi="Times New Roman" w:eastAsia="宋体" w:cs="Times New Roman"/>
                <w:b w:val="0"/>
                <w:bCs w:val="0"/>
                <w:color w:val="000000" w:themeColor="text1"/>
                <w:sz w:val="24"/>
                <w:lang w:val="en-US" w:eastAsia="zh-CN"/>
              </w:rPr>
              <w:t>脱除水分</w:t>
            </w:r>
            <w:r>
              <w:rPr>
                <w:rFonts w:hint="eastAsia" w:ascii="Times New Roman" w:hAnsi="Times New Roman" w:eastAsia="宋体" w:cs="Times New Roman"/>
                <w:b w:val="0"/>
                <w:bCs w:val="0"/>
                <w:color w:val="000000" w:themeColor="text1"/>
                <w:sz w:val="24"/>
                <w:lang w:val="en-US" w:eastAsia="zh-CN"/>
              </w:rPr>
              <w:t>‌。其工作原理是通过水环作为介质将塑料条初步冷却固化，随后通过离心脱水机进行脱水干燥，最终实现产品的冷却和干燥。此过程会产生机械噪声N5。</w:t>
            </w:r>
          </w:p>
          <w:p w14:paraId="09CDB7D0">
            <w:pPr>
              <w:ind w:firstLine="480"/>
              <w:rPr>
                <w:rFonts w:hint="eastAsia" w:ascii="Times New Roman" w:hAnsi="Times New Roman" w:eastAsia="宋体" w:cs="Times New Roman"/>
                <w:b w:val="0"/>
                <w:bCs w:val="0"/>
                <w:color w:val="000000" w:themeColor="text1"/>
                <w:sz w:val="24"/>
                <w:lang w:val="en-US" w:eastAsia="zh-CN"/>
              </w:rPr>
            </w:pPr>
            <w:r>
              <w:rPr>
                <w:rFonts w:hint="eastAsia" w:cs="Times New Roman"/>
                <w:b/>
                <w:bCs/>
                <w:color w:val="000000" w:themeColor="text1"/>
                <w:lang w:val="en-US" w:eastAsia="zh-CN"/>
              </w:rPr>
              <w:t>离心脱水：</w:t>
            </w:r>
            <w:r>
              <w:rPr>
                <w:rFonts w:hint="eastAsia" w:cs="Times New Roman"/>
                <w:color w:val="000000" w:themeColor="text1"/>
                <w:lang w:val="en-US" w:eastAsia="zh-CN"/>
              </w:rPr>
              <w:t>切粒后的物料和水通过切粒机下方的物料槽划入离心脱水机进行脱水，脱出的水分进入设备下方隔离池（1m</w:t>
            </w:r>
            <w:r>
              <w:rPr>
                <w:rFonts w:hint="eastAsia" w:cs="Times New Roman"/>
                <w:color w:val="000000" w:themeColor="text1"/>
                <w:vertAlign w:val="superscript"/>
                <w:lang w:val="en-US" w:eastAsia="zh-CN"/>
              </w:rPr>
              <w:t>3</w:t>
            </w:r>
            <w:r>
              <w:rPr>
                <w:rFonts w:hint="eastAsia" w:cs="Times New Roman"/>
                <w:color w:val="000000" w:themeColor="text1"/>
                <w:lang w:val="en-US" w:eastAsia="zh-CN"/>
              </w:rPr>
              <w:t>），隔离池上方设置有300目的隔离网，将脱水废水中夹带的塑料粒（S1）收集返回挤出工序生产产品，因塑料不吸水，离心脱水隔离网上的塑料只在表面附着少量水分，直接返回于挤出工序，挤出温度较高，隔离池隔离出的塑料粒表面水分对挤出工序不会产生影响。隔离池下方的水通过泵回到循环水池。此过程循环水池不排水，定期添加新鲜水即可，</w:t>
            </w:r>
            <w:r>
              <w:rPr>
                <w:rFonts w:hint="eastAsia" w:ascii="Times New Roman" w:hAnsi="Times New Roman" w:eastAsia="宋体" w:cs="Times New Roman"/>
                <w:b w:val="0"/>
                <w:bCs w:val="0"/>
                <w:color w:val="000000" w:themeColor="text1"/>
                <w:sz w:val="24"/>
                <w:lang w:val="en-US" w:eastAsia="zh-CN"/>
              </w:rPr>
              <w:t>但会产生机械噪声N6。</w:t>
            </w:r>
          </w:p>
          <w:p w14:paraId="161760BF">
            <w:pPr>
              <w:ind w:firstLine="480"/>
              <w:rPr>
                <w:rFonts w:hint="default" w:ascii="Times New Roman" w:hAnsi="Times New Roman" w:eastAsia="宋体" w:cs="Times New Roman"/>
                <w:b w:val="0"/>
                <w:bCs w:val="0"/>
                <w:color w:val="000000" w:themeColor="text1"/>
                <w:lang w:val="en-US" w:eastAsia="zh-CN"/>
              </w:rPr>
            </w:pPr>
            <w:r>
              <w:rPr>
                <w:rFonts w:hint="eastAsia" w:ascii="Times New Roman" w:hAnsi="Times New Roman" w:eastAsia="宋体" w:cs="Times New Roman"/>
                <w:b/>
                <w:bCs/>
                <w:color w:val="000000" w:themeColor="text1"/>
                <w:lang w:val="en-US" w:eastAsia="zh-CN"/>
              </w:rPr>
              <w:t>筛分：</w:t>
            </w:r>
            <w:r>
              <w:rPr>
                <w:rFonts w:hint="eastAsia" w:ascii="Times New Roman" w:hAnsi="Times New Roman" w:eastAsia="宋体" w:cs="Times New Roman"/>
                <w:b w:val="0"/>
                <w:bCs w:val="0"/>
                <w:color w:val="000000" w:themeColor="text1"/>
                <w:lang w:val="en-US" w:eastAsia="zh-CN"/>
              </w:rPr>
              <w:t>将离心脱水后的物料放料至振动筛，筛分出大粒径的返回至</w:t>
            </w:r>
            <w:r>
              <w:rPr>
                <w:rFonts w:hint="eastAsia" w:cs="Times New Roman"/>
                <w:color w:val="000000" w:themeColor="text1"/>
                <w:lang w:val="en-US" w:eastAsia="zh-CN"/>
              </w:rPr>
              <w:t>挤出工序生产产品</w:t>
            </w:r>
            <w:r>
              <w:rPr>
                <w:rFonts w:hint="eastAsia" w:ascii="Times New Roman" w:hAnsi="Times New Roman" w:eastAsia="宋体" w:cs="Times New Roman"/>
                <w:b w:val="0"/>
                <w:bCs w:val="0"/>
                <w:color w:val="000000" w:themeColor="text1"/>
                <w:lang w:val="en-US" w:eastAsia="zh-CN"/>
              </w:rPr>
              <w:t>，小颗粒通过落入振动筛下方物料槽，然后通过负压吸入烘干机，此过程会产生机械噪声N7。</w:t>
            </w:r>
          </w:p>
          <w:p w14:paraId="5138F073">
            <w:pPr>
              <w:ind w:firstLine="480"/>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bCs/>
                <w:color w:val="000000" w:themeColor="text1"/>
                <w:lang w:val="en-US" w:eastAsia="zh-CN"/>
              </w:rPr>
              <w:t>烘干：</w:t>
            </w:r>
            <w:r>
              <w:rPr>
                <w:rFonts w:hint="eastAsia" w:ascii="Times New Roman" w:hAnsi="Times New Roman" w:eastAsia="宋体" w:cs="Times New Roman"/>
                <w:b w:val="0"/>
                <w:bCs w:val="0"/>
                <w:color w:val="000000" w:themeColor="text1"/>
                <w:lang w:val="en-US" w:eastAsia="zh-CN"/>
              </w:rPr>
              <w:t>将脱水后的物料转入烘干机，烘</w:t>
            </w:r>
            <w:r>
              <w:rPr>
                <w:rFonts w:hint="eastAsia" w:ascii="Times New Roman" w:hAnsi="Times New Roman" w:eastAsia="宋体" w:cs="Times New Roman"/>
                <w:b w:val="0"/>
                <w:bCs w:val="0"/>
                <w:color w:val="000000" w:themeColor="text1"/>
                <w:sz w:val="24"/>
                <w:lang w:val="en-US" w:eastAsia="zh-CN"/>
              </w:rPr>
              <w:t>干机使用电，在</w:t>
            </w:r>
            <w:r>
              <w:rPr>
                <w:rFonts w:hint="eastAsia" w:cs="Times New Roman"/>
                <w:b w:val="0"/>
                <w:bCs w:val="0"/>
                <w:color w:val="000000" w:themeColor="text1"/>
                <w:sz w:val="24"/>
                <w:lang w:val="en-US" w:eastAsia="zh-CN"/>
              </w:rPr>
              <w:t>40</w:t>
            </w:r>
            <w:r>
              <w:rPr>
                <w:rFonts w:hint="eastAsia" w:ascii="Times New Roman" w:hAnsi="Times New Roman" w:eastAsia="宋体" w:cs="Times New Roman"/>
                <w:b w:val="0"/>
                <w:bCs w:val="0"/>
                <w:color w:val="000000" w:themeColor="text1"/>
                <w:sz w:val="24"/>
                <w:lang w:val="en-US" w:eastAsia="zh-CN"/>
              </w:rPr>
              <w:t>℃的条件下烘2h，将水分烘干即可</w:t>
            </w:r>
            <w:r>
              <w:rPr>
                <w:rFonts w:hint="eastAsia" w:cs="Times New Roman"/>
                <w:b w:val="0"/>
                <w:bCs w:val="0"/>
                <w:color w:val="000000" w:themeColor="text1"/>
                <w:sz w:val="24"/>
                <w:lang w:val="en-US" w:eastAsia="zh-CN"/>
              </w:rPr>
              <w:t>，本项目产品的分解温度为230</w:t>
            </w:r>
            <w:r>
              <w:rPr>
                <w:rFonts w:hint="eastAsia" w:ascii="Times New Roman" w:hAnsi="Times New Roman" w:eastAsia="宋体" w:cs="Times New Roman"/>
                <w:b w:val="0"/>
                <w:bCs w:val="0"/>
                <w:color w:val="000000" w:themeColor="text1"/>
                <w:sz w:val="24"/>
                <w:lang w:val="en-US" w:eastAsia="zh-CN"/>
              </w:rPr>
              <w:t>℃</w:t>
            </w:r>
            <w:r>
              <w:rPr>
                <w:rFonts w:hint="eastAsia" w:cs="Times New Roman"/>
                <w:b w:val="0"/>
                <w:bCs w:val="0"/>
                <w:color w:val="000000" w:themeColor="text1"/>
                <w:sz w:val="24"/>
                <w:lang w:val="en-US" w:eastAsia="zh-CN"/>
              </w:rPr>
              <w:t>左右，烘干过程中无挥发性有机物产生，</w:t>
            </w:r>
            <w:r>
              <w:rPr>
                <w:rFonts w:hint="eastAsia" w:ascii="Times New Roman" w:hAnsi="Times New Roman" w:eastAsia="宋体" w:cs="Times New Roman"/>
                <w:b w:val="0"/>
                <w:bCs w:val="0"/>
                <w:color w:val="000000" w:themeColor="text1"/>
                <w:sz w:val="24"/>
                <w:lang w:val="en-US" w:eastAsia="zh-CN"/>
              </w:rPr>
              <w:t>此过程会产生G5水蒸气和噪声N8。</w:t>
            </w:r>
          </w:p>
          <w:p w14:paraId="7A2B758C">
            <w:pPr>
              <w:pStyle w:val="19"/>
              <w:rPr>
                <w:rFonts w:hint="default"/>
                <w:b w:val="0"/>
                <w:bCs w:val="0"/>
                <w:color w:val="000000" w:themeColor="text1"/>
                <w:lang w:val="en-US" w:eastAsia="zh-CN"/>
              </w:rPr>
            </w:pPr>
            <w:r>
              <w:rPr>
                <w:rFonts w:hint="eastAsia" w:ascii="Times New Roman" w:hAnsi="Times New Roman" w:eastAsia="宋体" w:cs="Times New Roman"/>
                <w:b/>
                <w:bCs/>
                <w:color w:val="000000" w:themeColor="text1"/>
                <w:sz w:val="24"/>
                <w:lang w:val="en-US" w:eastAsia="zh-CN"/>
              </w:rPr>
              <w:t>包装：</w:t>
            </w:r>
            <w:r>
              <w:rPr>
                <w:rFonts w:hint="eastAsia" w:ascii="Times New Roman" w:hAnsi="Times New Roman" w:eastAsia="宋体" w:cs="Times New Roman"/>
                <w:b w:val="0"/>
                <w:bCs w:val="0"/>
                <w:color w:val="000000" w:themeColor="text1"/>
                <w:sz w:val="24"/>
                <w:lang w:val="en-US" w:eastAsia="zh-CN"/>
              </w:rPr>
              <w:t>烘干的物料放料至自动包装机，包装机自带计量设备和封口设备。此过程会产生机械噪声N9。</w:t>
            </w:r>
          </w:p>
          <w:p w14:paraId="50FB6817">
            <w:pPr>
              <w:ind w:firstLine="480"/>
              <w:rPr>
                <w:rFonts w:hint="eastAsia" w:cs="Times New Roman"/>
                <w:b/>
                <w:bCs/>
                <w:color w:val="000000" w:themeColor="text1"/>
                <w:lang w:val="en-US" w:eastAsia="zh-CN"/>
              </w:rPr>
            </w:pPr>
            <w:r>
              <w:rPr>
                <w:rFonts w:hint="eastAsia" w:cs="Times New Roman"/>
                <w:b/>
                <w:bCs/>
                <w:color w:val="000000" w:themeColor="text1"/>
                <w:lang w:val="en-US" w:eastAsia="zh-CN"/>
              </w:rPr>
              <w:t>工艺水平衡：</w:t>
            </w:r>
          </w:p>
          <w:p w14:paraId="66B54C99">
            <w:pPr>
              <w:tabs>
                <w:tab w:val="left" w:pos="0"/>
              </w:tabs>
              <w:adjustRightInd w:val="0"/>
              <w:snapToGrid w:val="0"/>
              <w:spacing w:line="240" w:lineRule="auto"/>
              <w:ind w:firstLine="211" w:firstLineChars="10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9</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 xml:space="preserve">  </w:t>
            </w:r>
            <w:r>
              <w:rPr>
                <w:rFonts w:hint="eastAsia" w:cs="Times New Roman"/>
                <w:b/>
                <w:bCs/>
                <w:color w:val="000000" w:themeColor="text1"/>
                <w:sz w:val="21"/>
                <w:szCs w:val="21"/>
                <w:lang w:val="en-US" w:eastAsia="zh-CN"/>
              </w:rPr>
              <w:t>项目</w:t>
            </w:r>
            <w:r>
              <w:rPr>
                <w:rFonts w:hint="eastAsia" w:ascii="Times New Roman" w:hAnsi="Times New Roman" w:eastAsia="宋体" w:cs="Times New Roman"/>
                <w:b/>
                <w:bCs/>
                <w:color w:val="000000" w:themeColor="text1"/>
                <w:sz w:val="21"/>
                <w:szCs w:val="21"/>
                <w:lang w:val="en-US" w:eastAsia="zh-CN"/>
              </w:rPr>
              <w:t>工艺平衡</w:t>
            </w:r>
            <w:r>
              <w:rPr>
                <w:rFonts w:hint="default" w:ascii="Times New Roman" w:hAnsi="Times New Roman" w:eastAsia="宋体" w:cs="Times New Roman"/>
                <w:b/>
                <w:bCs/>
                <w:color w:val="000000" w:themeColor="text1"/>
                <w:sz w:val="21"/>
                <w:szCs w:val="21"/>
              </w:rPr>
              <w:t>一览表</w:t>
            </w:r>
          </w:p>
          <w:tbl>
            <w:tblPr>
              <w:tblStyle w:val="131"/>
              <w:tblW w:w="78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1396"/>
              <w:gridCol w:w="2380"/>
              <w:gridCol w:w="1982"/>
            </w:tblGrid>
            <w:tr w14:paraId="4F436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7" w:type="dxa"/>
                  <w:gridSpan w:val="2"/>
                  <w:tcBorders>
                    <w:tl2br w:val="nil"/>
                    <w:tr2bl w:val="nil"/>
                  </w:tcBorders>
                  <w:vAlign w:val="center"/>
                </w:tcPr>
                <w:p w14:paraId="77E737CE">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投入</w:t>
                  </w:r>
                </w:p>
              </w:tc>
              <w:tc>
                <w:tcPr>
                  <w:tcW w:w="4362" w:type="dxa"/>
                  <w:gridSpan w:val="2"/>
                  <w:tcBorders>
                    <w:tl2br w:val="nil"/>
                    <w:tr2bl w:val="nil"/>
                  </w:tcBorders>
                  <w:vAlign w:val="center"/>
                </w:tcPr>
                <w:p w14:paraId="3E37C000">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产出</w:t>
                  </w:r>
                </w:p>
              </w:tc>
            </w:tr>
            <w:tr w14:paraId="130872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0AC3041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396" w:type="dxa"/>
                  <w:tcBorders>
                    <w:tl2br w:val="nil"/>
                    <w:tr2bl w:val="nil"/>
                  </w:tcBorders>
                  <w:vAlign w:val="center"/>
                </w:tcPr>
                <w:p w14:paraId="2A0A8AC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c>
                <w:tcPr>
                  <w:tcW w:w="2380" w:type="dxa"/>
                  <w:tcBorders>
                    <w:tl2br w:val="nil"/>
                    <w:tr2bl w:val="nil"/>
                  </w:tcBorders>
                  <w:vAlign w:val="center"/>
                </w:tcPr>
                <w:p w14:paraId="16644819">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982" w:type="dxa"/>
                  <w:tcBorders>
                    <w:tl2br w:val="nil"/>
                    <w:tr2bl w:val="nil"/>
                  </w:tcBorders>
                  <w:vAlign w:val="center"/>
                </w:tcPr>
                <w:p w14:paraId="16E6FFB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r>
            <w:tr w14:paraId="42C0FE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4077538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000000" w:themeColor="text1"/>
                      <w:sz w:val="21"/>
                      <w:szCs w:val="21"/>
                      <w:lang w:val="en-US" w:eastAsia="zh-CN"/>
                    </w:rPr>
                  </w:pPr>
                  <w:r>
                    <w:rPr>
                      <w:color w:val="000000" w:themeColor="text1"/>
                      <w:spacing w:val="3"/>
                      <w:sz w:val="21"/>
                      <w:szCs w:val="21"/>
                    </w:rPr>
                    <w:t>炭黑</w:t>
                  </w:r>
                  <w:r>
                    <w:rPr>
                      <w:rFonts w:hint="eastAsia"/>
                      <w:color w:val="000000" w:themeColor="text1"/>
                      <w:spacing w:val="3"/>
                      <w:sz w:val="21"/>
                      <w:szCs w:val="21"/>
                      <w:lang w:val="en-US" w:eastAsia="zh-CN"/>
                    </w:rPr>
                    <w:t>带入</w:t>
                  </w:r>
                </w:p>
              </w:tc>
              <w:tc>
                <w:tcPr>
                  <w:tcW w:w="1396" w:type="dxa"/>
                  <w:tcBorders>
                    <w:tl2br w:val="nil"/>
                    <w:tr2bl w:val="nil"/>
                  </w:tcBorders>
                  <w:vAlign w:val="center"/>
                </w:tcPr>
                <w:p w14:paraId="622D376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pacing w:val="3"/>
                      <w:sz w:val="21"/>
                      <w:szCs w:val="21"/>
                      <w:lang w:val="en-US" w:eastAsia="zh-CN"/>
                    </w:rPr>
                    <w:t>675</w:t>
                  </w:r>
                </w:p>
              </w:tc>
              <w:tc>
                <w:tcPr>
                  <w:tcW w:w="2380" w:type="dxa"/>
                  <w:tcBorders>
                    <w:tl2br w:val="nil"/>
                    <w:tr2bl w:val="nil"/>
                  </w:tcBorders>
                  <w:vAlign w:val="center"/>
                </w:tcPr>
                <w:p w14:paraId="2D40B358">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 w:val="21"/>
                      <w:szCs w:val="21"/>
                    </w:rPr>
                  </w:pPr>
                  <w:r>
                    <w:rPr>
                      <w:rFonts w:hint="eastAsia"/>
                      <w:color w:val="000000" w:themeColor="text1"/>
                      <w:sz w:val="21"/>
                      <w:szCs w:val="21"/>
                      <w:lang w:val="en-US" w:eastAsia="zh-CN"/>
                    </w:rPr>
                    <w:t>水蒸气</w:t>
                  </w:r>
                </w:p>
              </w:tc>
              <w:tc>
                <w:tcPr>
                  <w:tcW w:w="1982" w:type="dxa"/>
                  <w:tcBorders>
                    <w:tl2br w:val="nil"/>
                    <w:tr2bl w:val="nil"/>
                  </w:tcBorders>
                  <w:vAlign w:val="center"/>
                </w:tcPr>
                <w:p w14:paraId="681F23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685</w:t>
                  </w:r>
                </w:p>
              </w:tc>
            </w:tr>
            <w:tr w14:paraId="3DFEAD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0E8EC791">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r>
                    <w:rPr>
                      <w:rFonts w:hint="eastAsia"/>
                      <w:color w:val="000000" w:themeColor="text1"/>
                      <w:sz w:val="21"/>
                      <w:szCs w:val="21"/>
                      <w:lang w:val="en-US" w:eastAsia="zh-CN"/>
                    </w:rPr>
                    <w:t>新鲜水</w:t>
                  </w:r>
                </w:p>
              </w:tc>
              <w:tc>
                <w:tcPr>
                  <w:tcW w:w="1396" w:type="dxa"/>
                  <w:tcBorders>
                    <w:tl2br w:val="nil"/>
                    <w:tr2bl w:val="nil"/>
                  </w:tcBorders>
                  <w:vAlign w:val="center"/>
                </w:tcPr>
                <w:p w14:paraId="7B0124AB">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r>
                    <w:rPr>
                      <w:rFonts w:hint="eastAsia" w:ascii="Times New Roman" w:hAnsi="Times New Roman" w:eastAsia="Times New Roman" w:cs="Times New Roman"/>
                      <w:color w:val="000000" w:themeColor="text1"/>
                      <w:sz w:val="21"/>
                      <w:szCs w:val="21"/>
                      <w:lang w:val="en-US" w:eastAsia="zh-CN"/>
                    </w:rPr>
                    <w:t>960</w:t>
                  </w:r>
                </w:p>
              </w:tc>
              <w:tc>
                <w:tcPr>
                  <w:tcW w:w="2380" w:type="dxa"/>
                  <w:tcBorders>
                    <w:tl2br w:val="nil"/>
                    <w:tr2bl w:val="nil"/>
                  </w:tcBorders>
                  <w:vAlign w:val="center"/>
                </w:tcPr>
                <w:p w14:paraId="142377C9">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 w:val="21"/>
                      <w:szCs w:val="21"/>
                    </w:rPr>
                  </w:pPr>
                  <w:r>
                    <w:rPr>
                      <w:rFonts w:hint="eastAsia"/>
                      <w:color w:val="000000" w:themeColor="text1"/>
                      <w:sz w:val="21"/>
                      <w:szCs w:val="21"/>
                      <w:lang w:val="en-US" w:eastAsia="zh-CN"/>
                    </w:rPr>
                    <w:t>蒸发损耗</w:t>
                  </w:r>
                </w:p>
              </w:tc>
              <w:tc>
                <w:tcPr>
                  <w:tcW w:w="1982" w:type="dxa"/>
                  <w:tcBorders>
                    <w:tl2br w:val="nil"/>
                    <w:tr2bl w:val="nil"/>
                  </w:tcBorders>
                  <w:vAlign w:val="center"/>
                </w:tcPr>
                <w:p w14:paraId="1BEC0F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950</w:t>
                  </w:r>
                </w:p>
              </w:tc>
            </w:tr>
            <w:tr w14:paraId="5480B2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4CAD40C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396" w:type="dxa"/>
                  <w:tcBorders>
                    <w:tl2br w:val="nil"/>
                    <w:tr2bl w:val="nil"/>
                  </w:tcBorders>
                  <w:vAlign w:val="center"/>
                </w:tcPr>
                <w:p w14:paraId="7358B87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1635</w:t>
                  </w:r>
                </w:p>
              </w:tc>
              <w:tc>
                <w:tcPr>
                  <w:tcW w:w="2380" w:type="dxa"/>
                  <w:tcBorders>
                    <w:tl2br w:val="nil"/>
                    <w:tr2bl w:val="nil"/>
                  </w:tcBorders>
                  <w:vAlign w:val="center"/>
                </w:tcPr>
                <w:p w14:paraId="4BC293C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982" w:type="dxa"/>
                  <w:tcBorders>
                    <w:tl2br w:val="nil"/>
                    <w:tr2bl w:val="nil"/>
                  </w:tcBorders>
                  <w:vAlign w:val="center"/>
                </w:tcPr>
                <w:p w14:paraId="750E4333">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1635</w:t>
                  </w:r>
                </w:p>
              </w:tc>
            </w:tr>
          </w:tbl>
          <w:p w14:paraId="57EA091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rPr>
            </w:pPr>
            <w:r>
              <w:rPr>
                <w:color w:val="000000" w:themeColor="text1"/>
              </w:rPr>
              <w:object>
                <v:shape id="_x0000_i1028" o:spt="75" type="#_x0000_t75" style="height:489.85pt;width:236.75pt;" o:ole="t" filled="f" o:preferrelative="t" stroked="f" coordsize="21600,21600">
                  <v:path/>
                  <v:fill on="f" focussize="0,0"/>
                  <v:stroke on="f"/>
                  <v:imagedata r:id="rId23" o:title=""/>
                  <o:lock v:ext="edit" aspectratio="f"/>
                  <w10:wrap type="none"/>
                  <w10:anchorlock/>
                </v:shape>
                <o:OLEObject Type="Embed" ProgID="Visio.Drawing.15" ShapeID="_x0000_i1028" DrawAspect="Content" ObjectID="_1468075728" r:id="rId22">
                  <o:LockedField>false</o:LockedField>
                </o:OLEObject>
              </w:object>
            </w:r>
          </w:p>
          <w:p w14:paraId="52C8E1C7">
            <w:pPr>
              <w:spacing w:line="36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图2-</w:t>
            </w:r>
            <w:r>
              <w:rPr>
                <w:rFonts w:hint="eastAsia" w:cs="Times New Roman"/>
                <w:b/>
                <w:bCs/>
                <w:color w:val="000000" w:themeColor="text1"/>
                <w:sz w:val="21"/>
                <w:szCs w:val="21"/>
                <w:lang w:val="en-US" w:eastAsia="zh-CN"/>
              </w:rPr>
              <w:t>5</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扩建项目工艺水</w:t>
            </w:r>
            <w:r>
              <w:rPr>
                <w:rFonts w:hint="eastAsia" w:ascii="Times New Roman" w:hAnsi="Times New Roman" w:eastAsia="宋体" w:cs="Times New Roman"/>
                <w:b/>
                <w:bCs/>
                <w:color w:val="000000" w:themeColor="text1"/>
                <w:sz w:val="21"/>
                <w:szCs w:val="21"/>
                <w:lang w:val="en-US" w:eastAsia="zh-CN"/>
              </w:rPr>
              <w:t>平衡</w:t>
            </w:r>
            <w:r>
              <w:rPr>
                <w:rFonts w:hint="default" w:ascii="Times New Roman" w:hAnsi="Times New Roman" w:eastAsia="宋体" w:cs="Times New Roman"/>
                <w:b/>
                <w:bCs/>
                <w:color w:val="000000" w:themeColor="text1"/>
                <w:sz w:val="21"/>
                <w:szCs w:val="21"/>
              </w:rPr>
              <w:t>图</w:t>
            </w:r>
          </w:p>
          <w:p w14:paraId="425BEA61">
            <w:pPr>
              <w:ind w:firstLine="480"/>
              <w:rPr>
                <w:rFonts w:hint="eastAsia" w:cs="Times New Roman"/>
                <w:b/>
                <w:bCs/>
                <w:color w:val="000000" w:themeColor="text1"/>
                <w:lang w:val="en-US" w:eastAsia="zh-CN"/>
              </w:rPr>
            </w:pPr>
            <w:r>
              <w:rPr>
                <w:rFonts w:hint="eastAsia" w:cs="Times New Roman"/>
                <w:b/>
                <w:bCs/>
                <w:color w:val="000000" w:themeColor="text1"/>
                <w:lang w:val="en-US" w:eastAsia="zh-CN"/>
              </w:rPr>
              <w:t>VOCs平衡：</w:t>
            </w:r>
          </w:p>
          <w:p w14:paraId="4DBD34A0">
            <w:pPr>
              <w:tabs>
                <w:tab w:val="left" w:pos="0"/>
              </w:tabs>
              <w:adjustRightInd w:val="0"/>
              <w:snapToGrid w:val="0"/>
              <w:spacing w:line="240" w:lineRule="auto"/>
              <w:ind w:firstLine="211" w:firstLineChars="10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10</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 xml:space="preserve">  </w:t>
            </w:r>
            <w:r>
              <w:rPr>
                <w:rFonts w:hint="eastAsia" w:cs="Times New Roman"/>
                <w:b/>
                <w:bCs/>
                <w:color w:val="000000" w:themeColor="text1"/>
                <w:sz w:val="21"/>
                <w:szCs w:val="21"/>
                <w:lang w:val="en-US" w:eastAsia="zh-CN"/>
              </w:rPr>
              <w:t>项目</w:t>
            </w:r>
            <w:r>
              <w:rPr>
                <w:rFonts w:hint="eastAsia" w:ascii="Times New Roman" w:hAnsi="Times New Roman" w:eastAsia="宋体" w:cs="Times New Roman"/>
                <w:b/>
                <w:bCs/>
                <w:color w:val="000000" w:themeColor="text1"/>
                <w:sz w:val="21"/>
                <w:szCs w:val="21"/>
                <w:lang w:val="en-US" w:eastAsia="zh-CN"/>
              </w:rPr>
              <w:t>VOCs平衡</w:t>
            </w:r>
            <w:r>
              <w:rPr>
                <w:rFonts w:hint="default" w:ascii="Times New Roman" w:hAnsi="Times New Roman" w:eastAsia="宋体" w:cs="Times New Roman"/>
                <w:b/>
                <w:bCs/>
                <w:color w:val="000000" w:themeColor="text1"/>
                <w:sz w:val="21"/>
                <w:szCs w:val="21"/>
              </w:rPr>
              <w:t>一览表</w:t>
            </w:r>
          </w:p>
          <w:tbl>
            <w:tblPr>
              <w:tblStyle w:val="131"/>
              <w:tblW w:w="78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1396"/>
              <w:gridCol w:w="2380"/>
              <w:gridCol w:w="1982"/>
            </w:tblGrid>
            <w:tr w14:paraId="322CC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7" w:type="dxa"/>
                  <w:gridSpan w:val="2"/>
                  <w:tcBorders>
                    <w:tl2br w:val="nil"/>
                    <w:tr2bl w:val="nil"/>
                  </w:tcBorders>
                  <w:vAlign w:val="center"/>
                </w:tcPr>
                <w:p w14:paraId="2455E8D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投入</w:t>
                  </w:r>
                </w:p>
              </w:tc>
              <w:tc>
                <w:tcPr>
                  <w:tcW w:w="4362" w:type="dxa"/>
                  <w:gridSpan w:val="2"/>
                  <w:tcBorders>
                    <w:tl2br w:val="nil"/>
                    <w:tr2bl w:val="nil"/>
                  </w:tcBorders>
                  <w:vAlign w:val="center"/>
                </w:tcPr>
                <w:p w14:paraId="6085FF6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产出</w:t>
                  </w:r>
                </w:p>
              </w:tc>
            </w:tr>
            <w:tr w14:paraId="145E7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07A8DDB0">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396" w:type="dxa"/>
                  <w:tcBorders>
                    <w:tl2br w:val="nil"/>
                    <w:tr2bl w:val="nil"/>
                  </w:tcBorders>
                  <w:vAlign w:val="center"/>
                </w:tcPr>
                <w:p w14:paraId="22D6FAD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c>
                <w:tcPr>
                  <w:tcW w:w="2380" w:type="dxa"/>
                  <w:tcBorders>
                    <w:tl2br w:val="nil"/>
                    <w:tr2bl w:val="nil"/>
                  </w:tcBorders>
                  <w:vAlign w:val="center"/>
                </w:tcPr>
                <w:p w14:paraId="326716CE">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982" w:type="dxa"/>
                  <w:tcBorders>
                    <w:tl2br w:val="nil"/>
                    <w:tr2bl w:val="nil"/>
                  </w:tcBorders>
                  <w:vAlign w:val="center"/>
                </w:tcPr>
                <w:p w14:paraId="0B1D894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r>
            <w:tr w14:paraId="4D26E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7BF5386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生产过程产生</w:t>
                  </w:r>
                </w:p>
              </w:tc>
              <w:tc>
                <w:tcPr>
                  <w:tcW w:w="1396" w:type="dxa"/>
                  <w:tcBorders>
                    <w:tl2br w:val="nil"/>
                    <w:tr2bl w:val="nil"/>
                  </w:tcBorders>
                  <w:vAlign w:val="center"/>
                </w:tcPr>
                <w:p w14:paraId="44E94AB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pacing w:val="3"/>
                      <w:sz w:val="21"/>
                      <w:szCs w:val="21"/>
                      <w:lang w:val="en-US" w:eastAsia="zh-CN"/>
                    </w:rPr>
                    <w:t>4.05</w:t>
                  </w:r>
                </w:p>
              </w:tc>
              <w:tc>
                <w:tcPr>
                  <w:tcW w:w="2380" w:type="dxa"/>
                  <w:tcBorders>
                    <w:tl2br w:val="nil"/>
                    <w:tr2bl w:val="nil"/>
                  </w:tcBorders>
                  <w:vAlign w:val="center"/>
                </w:tcPr>
                <w:p w14:paraId="59AA080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进入冷凝液</w:t>
                  </w:r>
                </w:p>
              </w:tc>
              <w:tc>
                <w:tcPr>
                  <w:tcW w:w="1982" w:type="dxa"/>
                  <w:tcBorders>
                    <w:tl2br w:val="nil"/>
                    <w:tr2bl w:val="nil"/>
                  </w:tcBorders>
                  <w:vAlign w:val="center"/>
                </w:tcPr>
                <w:p w14:paraId="396D71D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2.187</w:t>
                  </w:r>
                </w:p>
              </w:tc>
            </w:tr>
            <w:tr w14:paraId="41F026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5242EE9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p>
              </w:tc>
              <w:tc>
                <w:tcPr>
                  <w:tcW w:w="1396" w:type="dxa"/>
                  <w:tcBorders>
                    <w:tl2br w:val="nil"/>
                    <w:tr2bl w:val="nil"/>
                  </w:tcBorders>
                  <w:vAlign w:val="center"/>
                </w:tcPr>
                <w:p w14:paraId="7DD12A6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p>
              </w:tc>
              <w:tc>
                <w:tcPr>
                  <w:tcW w:w="2380" w:type="dxa"/>
                  <w:tcBorders>
                    <w:tl2br w:val="nil"/>
                    <w:tr2bl w:val="nil"/>
                  </w:tcBorders>
                  <w:vAlign w:val="center"/>
                </w:tcPr>
                <w:p w14:paraId="094DEB37">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000000" w:themeColor="text1"/>
                      <w:sz w:val="21"/>
                      <w:szCs w:val="21"/>
                      <w:lang w:val="en-US" w:eastAsia="zh-CN"/>
                    </w:rPr>
                  </w:pPr>
                  <w:r>
                    <w:rPr>
                      <w:rFonts w:hint="eastAsia"/>
                      <w:color w:val="000000" w:themeColor="text1"/>
                      <w:sz w:val="21"/>
                      <w:szCs w:val="21"/>
                      <w:lang w:val="en-US" w:eastAsia="zh-CN"/>
                    </w:rPr>
                    <w:t>进入活性炭</w:t>
                  </w:r>
                </w:p>
              </w:tc>
              <w:tc>
                <w:tcPr>
                  <w:tcW w:w="1982" w:type="dxa"/>
                  <w:tcBorders>
                    <w:tl2br w:val="nil"/>
                    <w:tr2bl w:val="nil"/>
                  </w:tcBorders>
                  <w:vAlign w:val="center"/>
                </w:tcPr>
                <w:p w14:paraId="5572FC0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0.405</w:t>
                  </w:r>
                </w:p>
              </w:tc>
            </w:tr>
            <w:tr w14:paraId="0DB05D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5DE5A537">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p>
              </w:tc>
              <w:tc>
                <w:tcPr>
                  <w:tcW w:w="1396" w:type="dxa"/>
                  <w:tcBorders>
                    <w:tl2br w:val="nil"/>
                    <w:tr2bl w:val="nil"/>
                  </w:tcBorders>
                  <w:vAlign w:val="center"/>
                </w:tcPr>
                <w:p w14:paraId="17FF0BBE">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p>
              </w:tc>
              <w:tc>
                <w:tcPr>
                  <w:tcW w:w="2380" w:type="dxa"/>
                  <w:tcBorders>
                    <w:tl2br w:val="nil"/>
                    <w:tr2bl w:val="nil"/>
                  </w:tcBorders>
                  <w:vAlign w:val="center"/>
                </w:tcPr>
                <w:p w14:paraId="5D09F390">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有组织排放</w:t>
                  </w:r>
                </w:p>
              </w:tc>
              <w:tc>
                <w:tcPr>
                  <w:tcW w:w="1982" w:type="dxa"/>
                  <w:tcBorders>
                    <w:tl2br w:val="nil"/>
                    <w:tr2bl w:val="nil"/>
                  </w:tcBorders>
                  <w:vAlign w:val="center"/>
                </w:tcPr>
                <w:p w14:paraId="6144BD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1.053</w:t>
                  </w:r>
                </w:p>
              </w:tc>
            </w:tr>
            <w:tr w14:paraId="5EE88F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6FF9831E">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sz w:val="21"/>
                      <w:szCs w:val="21"/>
                      <w:lang w:val="en-US" w:eastAsia="zh-CN"/>
                    </w:rPr>
                  </w:pPr>
                </w:p>
              </w:tc>
              <w:tc>
                <w:tcPr>
                  <w:tcW w:w="1396" w:type="dxa"/>
                  <w:tcBorders>
                    <w:tl2br w:val="nil"/>
                    <w:tr2bl w:val="nil"/>
                  </w:tcBorders>
                  <w:vAlign w:val="center"/>
                </w:tcPr>
                <w:p w14:paraId="566546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2380" w:type="dxa"/>
                  <w:tcBorders>
                    <w:tl2br w:val="nil"/>
                    <w:tr2bl w:val="nil"/>
                  </w:tcBorders>
                  <w:vAlign w:val="center"/>
                </w:tcPr>
                <w:p w14:paraId="59F2F27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eastAsia="宋体"/>
                      <w:color w:val="000000" w:themeColor="text1"/>
                      <w:sz w:val="21"/>
                      <w:szCs w:val="21"/>
                      <w:lang w:eastAsia="zh-CN"/>
                    </w:rPr>
                  </w:pPr>
                  <w:r>
                    <w:rPr>
                      <w:rFonts w:hint="eastAsia"/>
                      <w:color w:val="000000" w:themeColor="text1"/>
                      <w:spacing w:val="9"/>
                      <w:sz w:val="21"/>
                      <w:szCs w:val="21"/>
                      <w:lang w:val="en-US" w:eastAsia="zh-CN"/>
                    </w:rPr>
                    <w:t>无组织排放</w:t>
                  </w:r>
                </w:p>
              </w:tc>
              <w:tc>
                <w:tcPr>
                  <w:tcW w:w="1982" w:type="dxa"/>
                  <w:tcBorders>
                    <w:tl2br w:val="nil"/>
                    <w:tr2bl w:val="nil"/>
                  </w:tcBorders>
                  <w:vAlign w:val="center"/>
                </w:tcPr>
                <w:p w14:paraId="420EFB3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0.405</w:t>
                  </w:r>
                </w:p>
              </w:tc>
            </w:tr>
            <w:tr w14:paraId="0F3751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7E5C0B1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396" w:type="dxa"/>
                  <w:tcBorders>
                    <w:tl2br w:val="nil"/>
                    <w:tr2bl w:val="nil"/>
                  </w:tcBorders>
                  <w:vAlign w:val="center"/>
                </w:tcPr>
                <w:p w14:paraId="2B8DD810">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4.05</w:t>
                  </w:r>
                </w:p>
              </w:tc>
              <w:tc>
                <w:tcPr>
                  <w:tcW w:w="2380" w:type="dxa"/>
                  <w:tcBorders>
                    <w:tl2br w:val="nil"/>
                    <w:tr2bl w:val="nil"/>
                  </w:tcBorders>
                  <w:vAlign w:val="center"/>
                </w:tcPr>
                <w:p w14:paraId="3A00292C">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982" w:type="dxa"/>
                  <w:tcBorders>
                    <w:tl2br w:val="nil"/>
                    <w:tr2bl w:val="nil"/>
                  </w:tcBorders>
                  <w:vAlign w:val="center"/>
                </w:tcPr>
                <w:p w14:paraId="4AFC9734">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4.05</w:t>
                  </w:r>
                </w:p>
              </w:tc>
            </w:tr>
          </w:tbl>
          <w:p w14:paraId="63E4C05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rPr>
            </w:pPr>
            <w:r>
              <w:rPr>
                <w:color w:val="000000" w:themeColor="text1"/>
              </w:rPr>
              <w:object>
                <v:shape id="_x0000_i1029" o:spt="75" type="#_x0000_t75" style="height:174.15pt;width:253.05pt;" o:ole="t" filled="f" o:preferrelative="t" stroked="f" coordsize="21600,21600">
                  <v:path/>
                  <v:fill on="f" focussize="0,0"/>
                  <v:stroke on="f"/>
                  <v:imagedata r:id="rId25" o:title=""/>
                  <o:lock v:ext="edit" aspectratio="f"/>
                  <w10:wrap type="none"/>
                  <w10:anchorlock/>
                </v:shape>
                <o:OLEObject Type="Embed" ProgID="Visio.Drawing.15" ShapeID="_x0000_i1029" DrawAspect="Content" ObjectID="_1468075729" r:id="rId24">
                  <o:LockedField>false</o:LockedField>
                </o:OLEObject>
              </w:object>
            </w:r>
          </w:p>
          <w:p w14:paraId="66CF314C">
            <w:pPr>
              <w:spacing w:line="36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图2-</w:t>
            </w:r>
            <w:r>
              <w:rPr>
                <w:rFonts w:hint="eastAsia" w:ascii="Times New Roman" w:hAnsi="Times New Roman" w:eastAsia="宋体" w:cs="Times New Roman"/>
                <w:b/>
                <w:bCs/>
                <w:color w:val="000000" w:themeColor="text1"/>
                <w:sz w:val="21"/>
                <w:szCs w:val="21"/>
                <w:lang w:val="en-US" w:eastAsia="zh-CN"/>
              </w:rPr>
              <w:t>6</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扩建项目</w:t>
            </w:r>
            <w:r>
              <w:rPr>
                <w:rFonts w:hint="eastAsia" w:ascii="Times New Roman" w:hAnsi="Times New Roman" w:eastAsia="宋体" w:cs="Times New Roman"/>
                <w:b/>
                <w:bCs/>
                <w:color w:val="000000" w:themeColor="text1"/>
                <w:sz w:val="21"/>
                <w:szCs w:val="21"/>
                <w:lang w:val="en-US" w:eastAsia="zh-CN"/>
              </w:rPr>
              <w:t>VOCs平衡</w:t>
            </w:r>
            <w:r>
              <w:rPr>
                <w:rFonts w:hint="default" w:ascii="Times New Roman" w:hAnsi="Times New Roman" w:eastAsia="宋体" w:cs="Times New Roman"/>
                <w:b/>
                <w:bCs/>
                <w:color w:val="000000" w:themeColor="text1"/>
                <w:sz w:val="21"/>
                <w:szCs w:val="21"/>
              </w:rPr>
              <w:t>图</w:t>
            </w:r>
          </w:p>
          <w:p w14:paraId="1BA3BF09">
            <w:pPr>
              <w:ind w:firstLine="480"/>
              <w:rPr>
                <w:rFonts w:hint="eastAsia" w:cs="Times New Roman"/>
                <w:b/>
                <w:bCs/>
                <w:color w:val="000000" w:themeColor="text1"/>
                <w:lang w:val="en-US" w:eastAsia="zh-CN"/>
              </w:rPr>
            </w:pPr>
            <w:r>
              <w:rPr>
                <w:rFonts w:hint="eastAsia" w:cs="Times New Roman"/>
                <w:b/>
                <w:bCs/>
                <w:color w:val="000000" w:themeColor="text1"/>
                <w:lang w:val="en-US" w:eastAsia="zh-CN"/>
              </w:rPr>
              <w:t>物料平衡：</w:t>
            </w:r>
          </w:p>
          <w:p w14:paraId="73A705B0">
            <w:pPr>
              <w:tabs>
                <w:tab w:val="left" w:pos="0"/>
              </w:tabs>
              <w:adjustRightInd w:val="0"/>
              <w:snapToGrid w:val="0"/>
              <w:spacing w:line="240" w:lineRule="auto"/>
              <w:ind w:firstLine="211" w:firstLineChars="10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11</w:t>
            </w:r>
            <w:r>
              <w:rPr>
                <w:rFonts w:hint="default"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 xml:space="preserve">  </w:t>
            </w:r>
            <w:r>
              <w:rPr>
                <w:rFonts w:hint="eastAsia" w:cs="Times New Roman"/>
                <w:b/>
                <w:bCs/>
                <w:color w:val="000000" w:themeColor="text1"/>
                <w:sz w:val="21"/>
                <w:szCs w:val="21"/>
                <w:lang w:val="en-US" w:eastAsia="zh-CN"/>
              </w:rPr>
              <w:t>项目</w:t>
            </w:r>
            <w:r>
              <w:rPr>
                <w:rFonts w:hint="eastAsia" w:ascii="Times New Roman" w:hAnsi="Times New Roman" w:eastAsia="宋体" w:cs="Times New Roman"/>
                <w:b/>
                <w:bCs/>
                <w:color w:val="000000" w:themeColor="text1"/>
                <w:sz w:val="21"/>
                <w:szCs w:val="21"/>
                <w:lang w:val="en-US" w:eastAsia="zh-CN"/>
              </w:rPr>
              <w:t>物料平衡</w:t>
            </w:r>
            <w:r>
              <w:rPr>
                <w:rFonts w:hint="default" w:ascii="Times New Roman" w:hAnsi="Times New Roman" w:eastAsia="宋体" w:cs="Times New Roman"/>
                <w:b/>
                <w:bCs/>
                <w:color w:val="000000" w:themeColor="text1"/>
                <w:sz w:val="21"/>
                <w:szCs w:val="21"/>
              </w:rPr>
              <w:t>一览表</w:t>
            </w:r>
          </w:p>
          <w:tbl>
            <w:tblPr>
              <w:tblStyle w:val="131"/>
              <w:tblW w:w="78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41"/>
              <w:gridCol w:w="1396"/>
              <w:gridCol w:w="2380"/>
              <w:gridCol w:w="1982"/>
            </w:tblGrid>
            <w:tr w14:paraId="4111FA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537" w:type="dxa"/>
                  <w:gridSpan w:val="2"/>
                  <w:tcBorders>
                    <w:tl2br w:val="nil"/>
                    <w:tr2bl w:val="nil"/>
                  </w:tcBorders>
                  <w:vAlign w:val="center"/>
                </w:tcPr>
                <w:p w14:paraId="55BFC73D">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投入</w:t>
                  </w:r>
                </w:p>
              </w:tc>
              <w:tc>
                <w:tcPr>
                  <w:tcW w:w="4362" w:type="dxa"/>
                  <w:gridSpan w:val="2"/>
                  <w:tcBorders>
                    <w:tl2br w:val="nil"/>
                    <w:tr2bl w:val="nil"/>
                  </w:tcBorders>
                  <w:vAlign w:val="center"/>
                </w:tcPr>
                <w:p w14:paraId="5F362B5E">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产出</w:t>
                  </w:r>
                </w:p>
              </w:tc>
            </w:tr>
            <w:tr w14:paraId="37EC5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59FBD2AA">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396" w:type="dxa"/>
                  <w:tcBorders>
                    <w:tl2br w:val="nil"/>
                    <w:tr2bl w:val="nil"/>
                  </w:tcBorders>
                  <w:vAlign w:val="center"/>
                </w:tcPr>
                <w:p w14:paraId="2778B49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c>
                <w:tcPr>
                  <w:tcW w:w="2380" w:type="dxa"/>
                  <w:tcBorders>
                    <w:tl2br w:val="nil"/>
                    <w:tr2bl w:val="nil"/>
                  </w:tcBorders>
                  <w:vAlign w:val="center"/>
                </w:tcPr>
                <w:p w14:paraId="6DC0879B">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2"/>
                      <w:sz w:val="21"/>
                      <w:szCs w:val="21"/>
                    </w:rPr>
                    <w:t>名称</w:t>
                  </w:r>
                </w:p>
              </w:tc>
              <w:tc>
                <w:tcPr>
                  <w:tcW w:w="1982" w:type="dxa"/>
                  <w:tcBorders>
                    <w:tl2br w:val="nil"/>
                    <w:tr2bl w:val="nil"/>
                  </w:tcBorders>
                  <w:vAlign w:val="center"/>
                </w:tcPr>
                <w:p w14:paraId="40C47727">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数量（</w:t>
                  </w:r>
                  <w:r>
                    <w:rPr>
                      <w:rFonts w:ascii="Times New Roman" w:hAnsi="Times New Roman" w:eastAsia="Times New Roman" w:cs="Times New Roman"/>
                      <w:b/>
                      <w:bCs/>
                      <w:color w:val="000000" w:themeColor="text1"/>
                      <w:spacing w:val="3"/>
                      <w:sz w:val="21"/>
                      <w:szCs w:val="21"/>
                    </w:rPr>
                    <w:t>t/a</w:t>
                  </w:r>
                  <w:r>
                    <w:rPr>
                      <w:b/>
                      <w:bCs/>
                      <w:color w:val="000000" w:themeColor="text1"/>
                      <w:spacing w:val="3"/>
                      <w:sz w:val="21"/>
                      <w:szCs w:val="21"/>
                    </w:rPr>
                    <w:t>）</w:t>
                  </w:r>
                </w:p>
              </w:tc>
            </w:tr>
            <w:tr w14:paraId="5F7E7A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03E39F3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rFonts w:ascii="Times New Roman" w:hAnsi="Times New Roman" w:eastAsia="Times New Roman" w:cs="Times New Roman"/>
                      <w:color w:val="000000" w:themeColor="text1"/>
                      <w:sz w:val="21"/>
                      <w:szCs w:val="21"/>
                    </w:rPr>
                    <w:t>PE</w:t>
                  </w:r>
                  <w:r>
                    <w:rPr>
                      <w:rFonts w:ascii="Times New Roman" w:hAnsi="Times New Roman" w:eastAsia="Times New Roman" w:cs="Times New Roman"/>
                      <w:color w:val="000000" w:themeColor="text1"/>
                      <w:spacing w:val="8"/>
                      <w:sz w:val="21"/>
                      <w:szCs w:val="21"/>
                    </w:rPr>
                    <w:t xml:space="preserve"> </w:t>
                  </w:r>
                  <w:r>
                    <w:rPr>
                      <w:rFonts w:hint="eastAsia" w:eastAsia="宋体"/>
                      <w:color w:val="000000" w:themeColor="text1"/>
                      <w:spacing w:val="8"/>
                      <w:sz w:val="21"/>
                      <w:szCs w:val="21"/>
                      <w:lang w:val="en-US" w:eastAsia="zh-CN"/>
                    </w:rPr>
                    <w:t>粒子</w:t>
                  </w:r>
                  <w:r>
                    <w:rPr>
                      <w:color w:val="000000" w:themeColor="text1"/>
                      <w:spacing w:val="8"/>
                      <w:sz w:val="21"/>
                      <w:szCs w:val="21"/>
                    </w:rPr>
                    <w:t>（聚乙烯）</w:t>
                  </w:r>
                </w:p>
              </w:tc>
              <w:tc>
                <w:tcPr>
                  <w:tcW w:w="1396" w:type="dxa"/>
                  <w:tcBorders>
                    <w:tl2br w:val="nil"/>
                    <w:tr2bl w:val="nil"/>
                  </w:tcBorders>
                  <w:vAlign w:val="center"/>
                </w:tcPr>
                <w:p w14:paraId="7A77C4A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pacing w:val="3"/>
                      <w:sz w:val="21"/>
                      <w:szCs w:val="21"/>
                      <w:lang w:val="en-US" w:eastAsia="zh-CN"/>
                    </w:rPr>
                    <w:t>53</w:t>
                  </w:r>
                  <w:r>
                    <w:rPr>
                      <w:rFonts w:hint="eastAsia" w:ascii="Times New Roman" w:hAnsi="Times New Roman" w:eastAsia="宋体" w:cs="Times New Roman"/>
                      <w:color w:val="000000" w:themeColor="text1"/>
                      <w:spacing w:val="3"/>
                      <w:sz w:val="21"/>
                      <w:szCs w:val="21"/>
                      <w:lang w:val="en-US" w:eastAsia="zh-CN"/>
                    </w:rPr>
                    <w:t>0</w:t>
                  </w:r>
                  <w:r>
                    <w:rPr>
                      <w:rFonts w:hint="eastAsia" w:cs="Times New Roman"/>
                      <w:color w:val="000000" w:themeColor="text1"/>
                      <w:spacing w:val="3"/>
                      <w:sz w:val="21"/>
                      <w:szCs w:val="21"/>
                      <w:lang w:val="en-US" w:eastAsia="zh-CN"/>
                    </w:rPr>
                    <w:t>.1</w:t>
                  </w:r>
                </w:p>
              </w:tc>
              <w:tc>
                <w:tcPr>
                  <w:tcW w:w="2380" w:type="dxa"/>
                  <w:tcBorders>
                    <w:tl2br w:val="nil"/>
                    <w:tr2bl w:val="nil"/>
                  </w:tcBorders>
                  <w:vAlign w:val="center"/>
                </w:tcPr>
                <w:p w14:paraId="5F51C680">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color w:val="000000" w:themeColor="text1"/>
                      <w:spacing w:val="4"/>
                      <w:sz w:val="21"/>
                      <w:szCs w:val="21"/>
                    </w:rPr>
                    <w:t>产品</w:t>
                  </w:r>
                </w:p>
              </w:tc>
              <w:tc>
                <w:tcPr>
                  <w:tcW w:w="1982" w:type="dxa"/>
                  <w:tcBorders>
                    <w:tl2br w:val="nil"/>
                    <w:tr2bl w:val="nil"/>
                  </w:tcBorders>
                  <w:vAlign w:val="center"/>
                </w:tcPr>
                <w:p w14:paraId="524F0A11">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ascii="Times New Roman" w:hAnsi="Times New Roman" w:eastAsia="Times New Roman" w:cs="Times New Roman"/>
                      <w:color w:val="000000" w:themeColor="text1"/>
                      <w:spacing w:val="-1"/>
                      <w:sz w:val="21"/>
                      <w:szCs w:val="21"/>
                    </w:rPr>
                    <w:t>1</w:t>
                  </w:r>
                  <w:r>
                    <w:rPr>
                      <w:rFonts w:hint="eastAsia" w:ascii="Times New Roman" w:hAnsi="Times New Roman" w:eastAsia="宋体" w:cs="Times New Roman"/>
                      <w:color w:val="000000" w:themeColor="text1"/>
                      <w:spacing w:val="-1"/>
                      <w:sz w:val="21"/>
                      <w:szCs w:val="21"/>
                      <w:lang w:val="en-US" w:eastAsia="zh-CN"/>
                    </w:rPr>
                    <w:t>500</w:t>
                  </w:r>
                </w:p>
              </w:tc>
            </w:tr>
            <w:tr w14:paraId="6CE02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14769BF2">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r>
                    <w:rPr>
                      <w:rFonts w:hint="eastAsia" w:ascii="Times New Roman" w:hAnsi="Times New Roman" w:eastAsia="Times New Roman" w:cs="Times New Roman"/>
                      <w:color w:val="000000" w:themeColor="text1"/>
                      <w:sz w:val="21"/>
                      <w:szCs w:val="21"/>
                      <w:lang w:val="en-US" w:eastAsia="zh-CN"/>
                    </w:rPr>
                    <w:t>EVA粒子（</w:t>
                  </w:r>
                  <w:r>
                    <w:rPr>
                      <w:rFonts w:ascii="Times New Roman" w:hAnsi="Times New Roman" w:eastAsia="Times New Roman" w:cs="Times New Roman"/>
                      <w:color w:val="000000" w:themeColor="text1"/>
                      <w:sz w:val="21"/>
                      <w:szCs w:val="21"/>
                    </w:rPr>
                    <w:t>乙烯-醋酸乙烯共聚物</w:t>
                  </w:r>
                  <w:r>
                    <w:rPr>
                      <w:rFonts w:hint="eastAsia" w:ascii="Times New Roman" w:hAnsi="Times New Roman" w:eastAsia="Times New Roman" w:cs="Times New Roman"/>
                      <w:color w:val="000000" w:themeColor="text1"/>
                      <w:sz w:val="21"/>
                      <w:szCs w:val="21"/>
                      <w:lang w:val="en-US" w:eastAsia="zh-CN"/>
                    </w:rPr>
                    <w:t>）</w:t>
                  </w:r>
                </w:p>
              </w:tc>
              <w:tc>
                <w:tcPr>
                  <w:tcW w:w="1396" w:type="dxa"/>
                  <w:tcBorders>
                    <w:tl2br w:val="nil"/>
                    <w:tr2bl w:val="nil"/>
                  </w:tcBorders>
                  <w:vAlign w:val="center"/>
                </w:tcPr>
                <w:p w14:paraId="0403FCAD">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Times New Roman" w:cs="Times New Roman"/>
                      <w:color w:val="000000" w:themeColor="text1"/>
                      <w:sz w:val="21"/>
                      <w:szCs w:val="21"/>
                      <w:lang w:val="en-US" w:eastAsia="zh-CN"/>
                    </w:rPr>
                  </w:pPr>
                  <w:r>
                    <w:rPr>
                      <w:rFonts w:hint="eastAsia" w:ascii="Times New Roman" w:hAnsi="Times New Roman" w:eastAsia="Times New Roman" w:cs="Times New Roman"/>
                      <w:color w:val="000000" w:themeColor="text1"/>
                      <w:sz w:val="21"/>
                      <w:szCs w:val="21"/>
                      <w:lang w:val="en-US" w:eastAsia="zh-CN"/>
                    </w:rPr>
                    <w:t>300.035</w:t>
                  </w:r>
                </w:p>
              </w:tc>
              <w:tc>
                <w:tcPr>
                  <w:tcW w:w="2380" w:type="dxa"/>
                  <w:tcBorders>
                    <w:tl2br w:val="nil"/>
                    <w:tr2bl w:val="nil"/>
                  </w:tcBorders>
                  <w:vAlign w:val="center"/>
                </w:tcPr>
                <w:p w14:paraId="309B9AA2">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color w:val="000000" w:themeColor="text1"/>
                      <w:spacing w:val="8"/>
                      <w:sz w:val="21"/>
                      <w:szCs w:val="21"/>
                    </w:rPr>
                    <w:t>排入大气粉尘</w:t>
                  </w:r>
                </w:p>
              </w:tc>
              <w:tc>
                <w:tcPr>
                  <w:tcW w:w="1982" w:type="dxa"/>
                  <w:tcBorders>
                    <w:tl2br w:val="nil"/>
                    <w:tr2bl w:val="nil"/>
                  </w:tcBorders>
                  <w:vAlign w:val="center"/>
                </w:tcPr>
                <w:p w14:paraId="2858DD0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pacing w:val="3"/>
                      <w:sz w:val="21"/>
                      <w:szCs w:val="21"/>
                      <w:lang w:val="en-US" w:eastAsia="zh-CN"/>
                    </w:rPr>
                    <w:t>1.085</w:t>
                  </w:r>
                </w:p>
              </w:tc>
            </w:tr>
            <w:tr w14:paraId="1AEDA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7EE4C0C6">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sz w:val="21"/>
                      <w:szCs w:val="21"/>
                      <w:lang w:val="en-US" w:eastAsia="zh-CN"/>
                    </w:rPr>
                  </w:pPr>
                  <w:r>
                    <w:rPr>
                      <w:color w:val="000000" w:themeColor="text1"/>
                      <w:spacing w:val="3"/>
                      <w:sz w:val="21"/>
                      <w:szCs w:val="21"/>
                    </w:rPr>
                    <w:t>炭黑</w:t>
                  </w:r>
                </w:p>
              </w:tc>
              <w:tc>
                <w:tcPr>
                  <w:tcW w:w="1396" w:type="dxa"/>
                  <w:tcBorders>
                    <w:tl2br w:val="nil"/>
                    <w:tr2bl w:val="nil"/>
                  </w:tcBorders>
                  <w:vAlign w:val="center"/>
                </w:tcPr>
                <w:p w14:paraId="20181B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1350</w:t>
                  </w:r>
                </w:p>
              </w:tc>
              <w:tc>
                <w:tcPr>
                  <w:tcW w:w="2380" w:type="dxa"/>
                  <w:tcBorders>
                    <w:tl2br w:val="nil"/>
                    <w:tr2bl w:val="nil"/>
                  </w:tcBorders>
                  <w:vAlign w:val="center"/>
                </w:tcPr>
                <w:p w14:paraId="62AE12FF">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color w:val="000000" w:themeColor="text1"/>
                      <w:spacing w:val="9"/>
                      <w:sz w:val="21"/>
                      <w:szCs w:val="21"/>
                    </w:rPr>
                    <w:t>有机废气：非甲</w:t>
                  </w:r>
                  <w:r>
                    <w:rPr>
                      <w:color w:val="000000" w:themeColor="text1"/>
                      <w:spacing w:val="6"/>
                      <w:sz w:val="21"/>
                      <w:szCs w:val="21"/>
                    </w:rPr>
                    <w:t>烷总烃</w:t>
                  </w:r>
                </w:p>
              </w:tc>
              <w:tc>
                <w:tcPr>
                  <w:tcW w:w="1982" w:type="dxa"/>
                  <w:tcBorders>
                    <w:tl2br w:val="nil"/>
                    <w:tr2bl w:val="nil"/>
                  </w:tcBorders>
                  <w:vAlign w:val="center"/>
                </w:tcPr>
                <w:p w14:paraId="15242B2C">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4.05</w:t>
                  </w:r>
                </w:p>
              </w:tc>
            </w:tr>
            <w:tr w14:paraId="52BA44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4464E755">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000000" w:themeColor="text1"/>
                      <w:sz w:val="21"/>
                      <w:szCs w:val="21"/>
                    </w:rPr>
                  </w:pPr>
                  <w:r>
                    <w:rPr>
                      <w:rFonts w:hint="eastAsia"/>
                      <w:color w:val="000000" w:themeColor="text1"/>
                      <w:sz w:val="21"/>
                      <w:szCs w:val="21"/>
                      <w:lang w:val="en-US" w:eastAsia="zh-CN"/>
                    </w:rPr>
                    <w:t>水</w:t>
                  </w:r>
                </w:p>
              </w:tc>
              <w:tc>
                <w:tcPr>
                  <w:tcW w:w="1396" w:type="dxa"/>
                  <w:tcBorders>
                    <w:tl2br w:val="nil"/>
                    <w:tr2bl w:val="nil"/>
                  </w:tcBorders>
                  <w:vAlign w:val="center"/>
                </w:tcPr>
                <w:p w14:paraId="2D61FA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Times New Roman"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960</w:t>
                  </w:r>
                </w:p>
              </w:tc>
              <w:tc>
                <w:tcPr>
                  <w:tcW w:w="2380" w:type="dxa"/>
                  <w:tcBorders>
                    <w:tl2br w:val="nil"/>
                    <w:tr2bl w:val="nil"/>
                  </w:tcBorders>
                  <w:vAlign w:val="center"/>
                </w:tcPr>
                <w:p w14:paraId="0E1DF992">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水蒸气</w:t>
                  </w:r>
                </w:p>
              </w:tc>
              <w:tc>
                <w:tcPr>
                  <w:tcW w:w="1982" w:type="dxa"/>
                  <w:tcBorders>
                    <w:tl2br w:val="nil"/>
                    <w:tr2bl w:val="nil"/>
                  </w:tcBorders>
                  <w:vAlign w:val="center"/>
                </w:tcPr>
                <w:p w14:paraId="2F0EE1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685</w:t>
                  </w:r>
                </w:p>
              </w:tc>
            </w:tr>
            <w:tr w14:paraId="41F4B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3739AB7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不合格品以及边角料</w:t>
                  </w:r>
                </w:p>
              </w:tc>
              <w:tc>
                <w:tcPr>
                  <w:tcW w:w="1396" w:type="dxa"/>
                  <w:tcBorders>
                    <w:tl2br w:val="nil"/>
                    <w:tr2bl w:val="nil"/>
                  </w:tcBorders>
                  <w:vAlign w:val="center"/>
                </w:tcPr>
                <w:p w14:paraId="27691AA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3</w:t>
                  </w:r>
                </w:p>
              </w:tc>
              <w:tc>
                <w:tcPr>
                  <w:tcW w:w="2380" w:type="dxa"/>
                  <w:tcBorders>
                    <w:tl2br w:val="nil"/>
                    <w:tr2bl w:val="nil"/>
                  </w:tcBorders>
                  <w:vAlign w:val="center"/>
                </w:tcPr>
                <w:p w14:paraId="0A6D7F64">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color w:val="000000" w:themeColor="text1"/>
                      <w:sz w:val="21"/>
                      <w:szCs w:val="21"/>
                      <w:lang w:val="en-US" w:eastAsia="zh-CN"/>
                    </w:rPr>
                  </w:pPr>
                  <w:r>
                    <w:rPr>
                      <w:rFonts w:hint="eastAsia"/>
                      <w:color w:val="000000" w:themeColor="text1"/>
                      <w:sz w:val="21"/>
                      <w:szCs w:val="21"/>
                      <w:lang w:val="en-US" w:eastAsia="zh-CN"/>
                    </w:rPr>
                    <w:t>蒸发损耗</w:t>
                  </w:r>
                </w:p>
              </w:tc>
              <w:tc>
                <w:tcPr>
                  <w:tcW w:w="1982" w:type="dxa"/>
                  <w:tcBorders>
                    <w:tl2br w:val="nil"/>
                    <w:tr2bl w:val="nil"/>
                  </w:tcBorders>
                  <w:vAlign w:val="center"/>
                </w:tcPr>
                <w:p w14:paraId="70B92F0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950</w:t>
                  </w:r>
                </w:p>
              </w:tc>
            </w:tr>
            <w:tr w14:paraId="384BBE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6AF42D68">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color w:val="000000" w:themeColor="text1"/>
                      <w:spacing w:val="3"/>
                      <w:sz w:val="21"/>
                      <w:szCs w:val="21"/>
                    </w:rPr>
                  </w:pPr>
                </w:p>
              </w:tc>
              <w:tc>
                <w:tcPr>
                  <w:tcW w:w="1396" w:type="dxa"/>
                  <w:tcBorders>
                    <w:tl2br w:val="nil"/>
                    <w:tr2bl w:val="nil"/>
                  </w:tcBorders>
                  <w:vAlign w:val="center"/>
                </w:tcPr>
                <w:p w14:paraId="7B774EE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bCs/>
                      <w:color w:val="000000" w:themeColor="text1"/>
                      <w:spacing w:val="1"/>
                      <w:sz w:val="21"/>
                      <w:szCs w:val="21"/>
                      <w:lang w:val="en-US" w:eastAsia="zh-CN"/>
                    </w:rPr>
                  </w:pPr>
                </w:p>
              </w:tc>
              <w:tc>
                <w:tcPr>
                  <w:tcW w:w="2380" w:type="dxa"/>
                  <w:tcBorders>
                    <w:tl2br w:val="nil"/>
                    <w:tr2bl w:val="nil"/>
                  </w:tcBorders>
                  <w:vAlign w:val="center"/>
                </w:tcPr>
                <w:p w14:paraId="3540A186">
                  <w:pPr>
                    <w:pStyle w:val="17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b/>
                      <w:bCs/>
                      <w:color w:val="000000" w:themeColor="text1"/>
                      <w:spacing w:val="3"/>
                      <w:sz w:val="21"/>
                      <w:szCs w:val="21"/>
                    </w:rPr>
                  </w:pPr>
                  <w:r>
                    <w:rPr>
                      <w:rFonts w:hint="eastAsia"/>
                      <w:color w:val="000000" w:themeColor="text1"/>
                      <w:sz w:val="21"/>
                      <w:szCs w:val="21"/>
                      <w:lang w:val="en-US" w:eastAsia="zh-CN"/>
                    </w:rPr>
                    <w:t>不合格品以及边角料</w:t>
                  </w:r>
                </w:p>
              </w:tc>
              <w:tc>
                <w:tcPr>
                  <w:tcW w:w="1982" w:type="dxa"/>
                  <w:tcBorders>
                    <w:tl2br w:val="nil"/>
                    <w:tr2bl w:val="nil"/>
                  </w:tcBorders>
                  <w:vAlign w:val="center"/>
                </w:tcPr>
                <w:p w14:paraId="199E4A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bCs/>
                      <w:color w:val="000000" w:themeColor="text1"/>
                      <w:spacing w:val="1"/>
                      <w:sz w:val="21"/>
                      <w:szCs w:val="21"/>
                      <w:lang w:val="en-US" w:eastAsia="zh-CN"/>
                    </w:rPr>
                  </w:pPr>
                  <w:r>
                    <w:rPr>
                      <w:rFonts w:hint="eastAsia" w:eastAsia="宋体" w:cs="Times New Roman"/>
                      <w:color w:val="000000" w:themeColor="text1"/>
                      <w:sz w:val="21"/>
                      <w:szCs w:val="21"/>
                      <w:lang w:val="en-US" w:eastAsia="zh-CN"/>
                    </w:rPr>
                    <w:t>3</w:t>
                  </w:r>
                </w:p>
              </w:tc>
            </w:tr>
            <w:tr w14:paraId="63DA6A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41" w:type="dxa"/>
                  <w:tcBorders>
                    <w:tl2br w:val="nil"/>
                    <w:tr2bl w:val="nil"/>
                  </w:tcBorders>
                  <w:vAlign w:val="center"/>
                </w:tcPr>
                <w:p w14:paraId="3ACA5612">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396" w:type="dxa"/>
                  <w:tcBorders>
                    <w:tl2br w:val="nil"/>
                    <w:tr2bl w:val="nil"/>
                  </w:tcBorders>
                  <w:vAlign w:val="center"/>
                </w:tcPr>
                <w:p w14:paraId="7D62C65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314</w:t>
                  </w:r>
                  <w:r>
                    <w:rPr>
                      <w:rFonts w:hint="eastAsia" w:cs="Times New Roman"/>
                      <w:b/>
                      <w:bCs/>
                      <w:color w:val="000000" w:themeColor="text1"/>
                      <w:spacing w:val="1"/>
                      <w:sz w:val="21"/>
                      <w:szCs w:val="21"/>
                      <w:lang w:val="en-US" w:eastAsia="zh-CN"/>
                    </w:rPr>
                    <w:t>3.135</w:t>
                  </w:r>
                </w:p>
              </w:tc>
              <w:tc>
                <w:tcPr>
                  <w:tcW w:w="2380" w:type="dxa"/>
                  <w:tcBorders>
                    <w:tl2br w:val="nil"/>
                    <w:tr2bl w:val="nil"/>
                  </w:tcBorders>
                  <w:vAlign w:val="center"/>
                </w:tcPr>
                <w:p w14:paraId="5FE61C3E">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color w:val="000000" w:themeColor="text1"/>
                      <w:sz w:val="21"/>
                      <w:szCs w:val="21"/>
                    </w:rPr>
                  </w:pPr>
                  <w:r>
                    <w:rPr>
                      <w:b/>
                      <w:bCs/>
                      <w:color w:val="000000" w:themeColor="text1"/>
                      <w:spacing w:val="3"/>
                      <w:sz w:val="21"/>
                      <w:szCs w:val="21"/>
                    </w:rPr>
                    <w:t>合计</w:t>
                  </w:r>
                </w:p>
              </w:tc>
              <w:tc>
                <w:tcPr>
                  <w:tcW w:w="1982" w:type="dxa"/>
                  <w:tcBorders>
                    <w:tl2br w:val="nil"/>
                    <w:tr2bl w:val="nil"/>
                  </w:tcBorders>
                  <w:vAlign w:val="center"/>
                </w:tcPr>
                <w:p w14:paraId="1F53153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
                      <w:bCs/>
                      <w:color w:val="000000" w:themeColor="text1"/>
                      <w:spacing w:val="1"/>
                      <w:sz w:val="21"/>
                      <w:szCs w:val="21"/>
                      <w:lang w:val="en-US" w:eastAsia="zh-CN"/>
                    </w:rPr>
                    <w:t>31</w:t>
                  </w:r>
                  <w:r>
                    <w:rPr>
                      <w:rFonts w:hint="eastAsia" w:cs="Times New Roman"/>
                      <w:b/>
                      <w:bCs/>
                      <w:color w:val="000000" w:themeColor="text1"/>
                      <w:spacing w:val="1"/>
                      <w:sz w:val="21"/>
                      <w:szCs w:val="21"/>
                      <w:lang w:val="en-US" w:eastAsia="zh-CN"/>
                    </w:rPr>
                    <w:t>43.135</w:t>
                  </w:r>
                </w:p>
              </w:tc>
            </w:tr>
          </w:tbl>
          <w:p w14:paraId="7B43E04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rPr>
            </w:pPr>
            <w:r>
              <w:rPr>
                <w:color w:val="000000" w:themeColor="text1"/>
              </w:rPr>
              <w:object>
                <v:shape id="_x0000_i1030" o:spt="75" type="#_x0000_t75" style="height:489.85pt;width:389pt;" o:ole="t" filled="f" o:preferrelative="t" stroked="f" coordsize="21600,21600">
                  <v:path/>
                  <v:fill on="f" focussize="0,0"/>
                  <v:stroke on="f"/>
                  <v:imagedata r:id="rId27" o:title=""/>
                  <o:lock v:ext="edit" aspectratio="f"/>
                  <w10:wrap type="none"/>
                  <w10:anchorlock/>
                </v:shape>
                <o:OLEObject Type="Embed" ProgID="Visio.Drawing.15" ShapeID="_x0000_i1030" DrawAspect="Content" ObjectID="_1468075730" r:id="rId26">
                  <o:LockedField>false</o:LockedField>
                </o:OLEObject>
              </w:object>
            </w:r>
          </w:p>
          <w:p w14:paraId="0BC7F0EF">
            <w:pPr>
              <w:spacing w:line="36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bCs/>
                <w:color w:val="000000" w:themeColor="text1"/>
                <w:sz w:val="21"/>
                <w:szCs w:val="21"/>
              </w:rPr>
              <w:t>图2-</w:t>
            </w:r>
            <w:r>
              <w:rPr>
                <w:rFonts w:hint="eastAsia" w:ascii="Times New Roman" w:hAnsi="Times New Roman" w:eastAsia="宋体" w:cs="Times New Roman"/>
                <w:b/>
                <w:bCs/>
                <w:color w:val="000000" w:themeColor="text1"/>
                <w:sz w:val="21"/>
                <w:szCs w:val="21"/>
                <w:lang w:val="en-US" w:eastAsia="zh-CN"/>
              </w:rPr>
              <w:t>7</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扩建项目</w:t>
            </w:r>
            <w:r>
              <w:rPr>
                <w:rFonts w:hint="eastAsia" w:ascii="Times New Roman" w:hAnsi="Times New Roman" w:eastAsia="宋体" w:cs="Times New Roman"/>
                <w:b/>
                <w:bCs/>
                <w:color w:val="000000" w:themeColor="text1"/>
                <w:sz w:val="21"/>
                <w:szCs w:val="21"/>
                <w:lang w:val="en-US" w:eastAsia="zh-CN"/>
              </w:rPr>
              <w:t>物料平衡</w:t>
            </w:r>
            <w:r>
              <w:rPr>
                <w:rFonts w:hint="default" w:ascii="Times New Roman" w:hAnsi="Times New Roman" w:eastAsia="宋体" w:cs="Times New Roman"/>
                <w:b/>
                <w:bCs/>
                <w:color w:val="000000" w:themeColor="text1"/>
                <w:sz w:val="21"/>
                <w:szCs w:val="21"/>
              </w:rPr>
              <w:t>图</w:t>
            </w:r>
          </w:p>
          <w:p w14:paraId="2849CEC5">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主要污染物来源、排放方式见下表。</w:t>
            </w:r>
          </w:p>
          <w:p w14:paraId="720D9D86">
            <w:pPr>
              <w:tabs>
                <w:tab w:val="left" w:pos="0"/>
              </w:tabs>
              <w:adjustRightInd w:val="0"/>
              <w:snapToGrid w:val="0"/>
              <w:spacing w:line="240" w:lineRule="auto"/>
              <w:ind w:firstLine="211" w:firstLineChars="10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 xml:space="preserve">12  </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扩建项目</w:t>
            </w:r>
            <w:r>
              <w:rPr>
                <w:rFonts w:hint="default" w:ascii="Times New Roman" w:hAnsi="Times New Roman" w:eastAsia="宋体" w:cs="Times New Roman"/>
                <w:b/>
                <w:bCs/>
                <w:color w:val="000000" w:themeColor="text1"/>
                <w:sz w:val="21"/>
                <w:szCs w:val="21"/>
              </w:rPr>
              <w:t>主要污染物来源、排放方式等一览表</w:t>
            </w:r>
          </w:p>
          <w:tbl>
            <w:tblPr>
              <w:tblStyle w:val="33"/>
              <w:tblW w:w="76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50"/>
              <w:gridCol w:w="930"/>
              <w:gridCol w:w="1245"/>
              <w:gridCol w:w="1648"/>
              <w:gridCol w:w="2064"/>
            </w:tblGrid>
            <w:tr w14:paraId="3AA37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l2br w:val="nil"/>
                    <w:tr2bl w:val="nil"/>
                  </w:tcBorders>
                  <w:vAlign w:val="center"/>
                </w:tcPr>
                <w:p w14:paraId="4B23B025">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污染类别</w:t>
                  </w:r>
                </w:p>
              </w:tc>
              <w:tc>
                <w:tcPr>
                  <w:tcW w:w="1050" w:type="dxa"/>
                  <w:tcBorders>
                    <w:tl2br w:val="nil"/>
                    <w:tr2bl w:val="nil"/>
                  </w:tcBorders>
                  <w:vAlign w:val="center"/>
                </w:tcPr>
                <w:p w14:paraId="204915B5">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污染源</w:t>
                  </w:r>
                </w:p>
              </w:tc>
              <w:tc>
                <w:tcPr>
                  <w:tcW w:w="930" w:type="dxa"/>
                  <w:tcBorders>
                    <w:tl2br w:val="nil"/>
                    <w:tr2bl w:val="nil"/>
                  </w:tcBorders>
                  <w:vAlign w:val="center"/>
                </w:tcPr>
                <w:p w14:paraId="5DC29CE4">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编号</w:t>
                  </w:r>
                </w:p>
              </w:tc>
              <w:tc>
                <w:tcPr>
                  <w:tcW w:w="1245" w:type="dxa"/>
                  <w:tcBorders>
                    <w:tl2br w:val="nil"/>
                    <w:tr2bl w:val="nil"/>
                  </w:tcBorders>
                  <w:vAlign w:val="center"/>
                </w:tcPr>
                <w:p w14:paraId="628B9932">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产生工序</w:t>
                  </w:r>
                </w:p>
              </w:tc>
              <w:tc>
                <w:tcPr>
                  <w:tcW w:w="1648" w:type="dxa"/>
                  <w:tcBorders>
                    <w:tl2br w:val="nil"/>
                    <w:tr2bl w:val="nil"/>
                  </w:tcBorders>
                  <w:vAlign w:val="center"/>
                </w:tcPr>
                <w:p w14:paraId="66F80A1A">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主要污染因子</w:t>
                  </w:r>
                </w:p>
              </w:tc>
              <w:tc>
                <w:tcPr>
                  <w:tcW w:w="2064" w:type="dxa"/>
                  <w:tcBorders>
                    <w:tl2br w:val="nil"/>
                    <w:tr2bl w:val="nil"/>
                  </w:tcBorders>
                  <w:vAlign w:val="center"/>
                </w:tcPr>
                <w:p w14:paraId="3BB06F2B">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处置措施</w:t>
                  </w:r>
                </w:p>
              </w:tc>
            </w:tr>
            <w:tr w14:paraId="00E13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l2br w:val="nil"/>
                    <w:tr2bl w:val="nil"/>
                  </w:tcBorders>
                  <w:vAlign w:val="center"/>
                </w:tcPr>
                <w:p w14:paraId="736954A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050" w:type="dxa"/>
                  <w:tcBorders>
                    <w:tl2br w:val="nil"/>
                    <w:tr2bl w:val="nil"/>
                  </w:tcBorders>
                  <w:vAlign w:val="center"/>
                </w:tcPr>
                <w:p w14:paraId="71CC4AD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eastAsia="zh-CN"/>
                    </w:rPr>
                  </w:pPr>
                  <w:r>
                    <w:rPr>
                      <w:rFonts w:hint="eastAsia" w:cs="Times New Roman"/>
                      <w:color w:val="000000" w:themeColor="text1"/>
                      <w:lang w:val="en-US" w:eastAsia="zh-CN"/>
                    </w:rPr>
                    <w:t>化粪池</w:t>
                  </w:r>
                </w:p>
              </w:tc>
              <w:tc>
                <w:tcPr>
                  <w:tcW w:w="930" w:type="dxa"/>
                  <w:tcBorders>
                    <w:tl2br w:val="nil"/>
                    <w:tr2bl w:val="nil"/>
                  </w:tcBorders>
                  <w:vAlign w:val="center"/>
                </w:tcPr>
                <w:p w14:paraId="510F148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W1</w:t>
                  </w:r>
                </w:p>
              </w:tc>
              <w:tc>
                <w:tcPr>
                  <w:tcW w:w="1245" w:type="dxa"/>
                  <w:tcBorders>
                    <w:tl2br w:val="nil"/>
                    <w:tr2bl w:val="nil"/>
                  </w:tcBorders>
                  <w:vAlign w:val="center"/>
                </w:tcPr>
                <w:p w14:paraId="16D5B0C3">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地面清洗</w:t>
                  </w:r>
                </w:p>
              </w:tc>
              <w:tc>
                <w:tcPr>
                  <w:tcW w:w="1648" w:type="dxa"/>
                  <w:tcBorders>
                    <w:tl2br w:val="nil"/>
                    <w:tr2bl w:val="nil"/>
                  </w:tcBorders>
                  <w:vAlign w:val="center"/>
                </w:tcPr>
                <w:p w14:paraId="4A7C1B1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COD、SS、pH、NH</w:t>
                  </w:r>
                  <w:r>
                    <w:rPr>
                      <w:rFonts w:hint="default" w:ascii="Times New Roman" w:hAnsi="Times New Roman" w:eastAsia="宋体" w:cs="Times New Roman"/>
                      <w:color w:val="000000" w:themeColor="text1"/>
                      <w:vertAlign w:val="subscript"/>
                    </w:rPr>
                    <w:t>3</w:t>
                  </w:r>
                  <w:r>
                    <w:rPr>
                      <w:rFonts w:hint="default" w:ascii="Times New Roman" w:hAnsi="Times New Roman" w:eastAsia="宋体" w:cs="Times New Roman"/>
                      <w:color w:val="000000" w:themeColor="text1"/>
                    </w:rPr>
                    <w:t>-N、</w:t>
                  </w:r>
                  <w:r>
                    <w:rPr>
                      <w:rFonts w:hint="eastAsia" w:cs="Times New Roman"/>
                      <w:color w:val="000000" w:themeColor="text1"/>
                      <w:lang w:val="en-US" w:eastAsia="zh-CN"/>
                    </w:rPr>
                    <w:t>TP、TN</w:t>
                  </w:r>
                </w:p>
              </w:tc>
              <w:tc>
                <w:tcPr>
                  <w:tcW w:w="2064" w:type="dxa"/>
                  <w:tcBorders>
                    <w:tl2br w:val="nil"/>
                    <w:tr2bl w:val="nil"/>
                  </w:tcBorders>
                  <w:vAlign w:val="center"/>
                </w:tcPr>
                <w:p w14:paraId="711F4AE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厂内</w:t>
                  </w:r>
                  <w:r>
                    <w:rPr>
                      <w:rFonts w:hint="eastAsia" w:cs="Times New Roman"/>
                      <w:color w:val="000000" w:themeColor="text1"/>
                      <w:sz w:val="21"/>
                      <w:szCs w:val="21"/>
                      <w:lang w:val="en-US" w:eastAsia="zh-CN"/>
                    </w:rPr>
                    <w:t>化粪池处理后进入</w:t>
                  </w:r>
                  <w:r>
                    <w:rPr>
                      <w:rFonts w:hint="eastAsia" w:ascii="Times New Roman" w:hAnsi="Times New Roman" w:eastAsia="宋体" w:cs="Times New Roman"/>
                      <w:color w:val="000000" w:themeColor="text1"/>
                      <w:sz w:val="21"/>
                      <w:szCs w:val="21"/>
                      <w:lang w:val="en-US" w:eastAsia="zh-CN"/>
                    </w:rPr>
                    <w:t>赤湖工业园</w:t>
                  </w:r>
                  <w:r>
                    <w:rPr>
                      <w:rFonts w:hint="eastAsia" w:cs="Times New Roman"/>
                      <w:color w:val="000000" w:themeColor="text1"/>
                      <w:sz w:val="21"/>
                      <w:szCs w:val="21"/>
                      <w:lang w:eastAsia="zh-CN"/>
                    </w:rPr>
                    <w:t>污水处理厂</w:t>
                  </w:r>
                </w:p>
              </w:tc>
            </w:tr>
            <w:tr w14:paraId="52591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restart"/>
                  <w:tcBorders>
                    <w:tl2br w:val="nil"/>
                    <w:tr2bl w:val="nil"/>
                  </w:tcBorders>
                  <w:vAlign w:val="center"/>
                </w:tcPr>
                <w:p w14:paraId="47084B8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050" w:type="dxa"/>
                  <w:vMerge w:val="restart"/>
                  <w:tcBorders>
                    <w:tl2br w:val="nil"/>
                    <w:tr2bl w:val="nil"/>
                  </w:tcBorders>
                  <w:vAlign w:val="center"/>
                </w:tcPr>
                <w:p w14:paraId="324E0C0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DA001</w:t>
                  </w:r>
                </w:p>
              </w:tc>
              <w:tc>
                <w:tcPr>
                  <w:tcW w:w="930" w:type="dxa"/>
                  <w:tcBorders>
                    <w:tl2br w:val="nil"/>
                    <w:tr2bl w:val="nil"/>
                  </w:tcBorders>
                  <w:vAlign w:val="center"/>
                </w:tcPr>
                <w:p w14:paraId="4F7033D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G1</w:t>
                  </w:r>
                </w:p>
              </w:tc>
              <w:tc>
                <w:tcPr>
                  <w:tcW w:w="1245" w:type="dxa"/>
                  <w:tcBorders>
                    <w:tl2br w:val="nil"/>
                    <w:tr2bl w:val="nil"/>
                  </w:tcBorders>
                  <w:vAlign w:val="center"/>
                </w:tcPr>
                <w:p w14:paraId="0333C48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造粒</w:t>
                  </w:r>
                </w:p>
              </w:tc>
              <w:tc>
                <w:tcPr>
                  <w:tcW w:w="1648" w:type="dxa"/>
                  <w:tcBorders>
                    <w:tl2br w:val="nil"/>
                    <w:tr2bl w:val="nil"/>
                  </w:tcBorders>
                  <w:vAlign w:val="center"/>
                </w:tcPr>
                <w:p w14:paraId="17B7CBB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颗粒物</w:t>
                  </w:r>
                </w:p>
              </w:tc>
              <w:tc>
                <w:tcPr>
                  <w:tcW w:w="2064" w:type="dxa"/>
                  <w:vMerge w:val="restart"/>
                  <w:tcBorders>
                    <w:tl2br w:val="nil"/>
                    <w:tr2bl w:val="nil"/>
                  </w:tcBorders>
                  <w:vAlign w:val="center"/>
                </w:tcPr>
                <w:p w14:paraId="6B86153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布袋除尘器处理后通过20m排气筒（DA001）排放</w:t>
                  </w:r>
                </w:p>
              </w:tc>
            </w:tr>
            <w:tr w14:paraId="727F8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32936039">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17181CE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53D4D84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G2</w:t>
                  </w:r>
                </w:p>
              </w:tc>
              <w:tc>
                <w:tcPr>
                  <w:tcW w:w="1245" w:type="dxa"/>
                  <w:tcBorders>
                    <w:tl2br w:val="nil"/>
                    <w:tr2bl w:val="nil"/>
                  </w:tcBorders>
                  <w:vAlign w:val="center"/>
                </w:tcPr>
                <w:p w14:paraId="2F17F4DC">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烘干</w:t>
                  </w:r>
                </w:p>
              </w:tc>
              <w:tc>
                <w:tcPr>
                  <w:tcW w:w="1648" w:type="dxa"/>
                  <w:tcBorders>
                    <w:tl2br w:val="nil"/>
                    <w:tr2bl w:val="nil"/>
                  </w:tcBorders>
                  <w:vAlign w:val="center"/>
                </w:tcPr>
                <w:p w14:paraId="4FE4B56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颗粒物、SO</w:t>
                  </w:r>
                  <w:r>
                    <w:rPr>
                      <w:rFonts w:hint="eastAsia" w:cs="Times New Roman"/>
                      <w:color w:val="000000" w:themeColor="text1"/>
                      <w:vertAlign w:val="subscript"/>
                      <w:lang w:val="en-US" w:eastAsia="zh-CN"/>
                    </w:rPr>
                    <w:t>2</w:t>
                  </w:r>
                  <w:r>
                    <w:rPr>
                      <w:rFonts w:hint="eastAsia" w:cs="Times New Roman"/>
                      <w:color w:val="000000" w:themeColor="text1"/>
                      <w:lang w:val="en-US" w:eastAsia="zh-CN"/>
                    </w:rPr>
                    <w:t>、NOx、水蒸气</w:t>
                  </w:r>
                </w:p>
              </w:tc>
              <w:tc>
                <w:tcPr>
                  <w:tcW w:w="2064" w:type="dxa"/>
                  <w:vMerge w:val="continue"/>
                  <w:tcBorders>
                    <w:tl2br w:val="nil"/>
                    <w:tr2bl w:val="nil"/>
                  </w:tcBorders>
                  <w:vAlign w:val="center"/>
                </w:tcPr>
                <w:p w14:paraId="791DDF2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p>
              </w:tc>
            </w:tr>
            <w:tr w14:paraId="61FC2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3BA3981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restart"/>
                  <w:tcBorders>
                    <w:tl2br w:val="nil"/>
                    <w:tr2bl w:val="nil"/>
                  </w:tcBorders>
                  <w:vAlign w:val="center"/>
                </w:tcPr>
                <w:p w14:paraId="41AC581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DA002</w:t>
                  </w:r>
                </w:p>
              </w:tc>
              <w:tc>
                <w:tcPr>
                  <w:tcW w:w="930" w:type="dxa"/>
                  <w:tcBorders>
                    <w:tl2br w:val="nil"/>
                    <w:tr2bl w:val="nil"/>
                  </w:tcBorders>
                  <w:vAlign w:val="center"/>
                </w:tcPr>
                <w:p w14:paraId="33F70D2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G3</w:t>
                  </w:r>
                </w:p>
              </w:tc>
              <w:tc>
                <w:tcPr>
                  <w:tcW w:w="1245" w:type="dxa"/>
                  <w:tcBorders>
                    <w:tl2br w:val="nil"/>
                    <w:tr2bl w:val="nil"/>
                  </w:tcBorders>
                  <w:vAlign w:val="center"/>
                </w:tcPr>
                <w:p w14:paraId="51A45DC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混料</w:t>
                  </w:r>
                </w:p>
              </w:tc>
              <w:tc>
                <w:tcPr>
                  <w:tcW w:w="1648" w:type="dxa"/>
                  <w:tcBorders>
                    <w:tl2br w:val="nil"/>
                    <w:tr2bl w:val="nil"/>
                  </w:tcBorders>
                  <w:vAlign w:val="center"/>
                </w:tcPr>
                <w:p w14:paraId="348B56D5">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颗粒物</w:t>
                  </w:r>
                </w:p>
              </w:tc>
              <w:tc>
                <w:tcPr>
                  <w:tcW w:w="2064" w:type="dxa"/>
                  <w:tcBorders>
                    <w:tl2br w:val="nil"/>
                    <w:tr2bl w:val="nil"/>
                  </w:tcBorders>
                  <w:vAlign w:val="center"/>
                </w:tcPr>
                <w:p w14:paraId="7C06D7E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布袋除尘+20m排气筒（DA002）</w:t>
                  </w:r>
                </w:p>
              </w:tc>
            </w:tr>
            <w:tr w14:paraId="67DEC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1FACB9A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1FCE866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cs="Times New Roman"/>
                      <w:color w:val="000000" w:themeColor="text1"/>
                      <w:lang w:val="en-US" w:eastAsia="zh-CN"/>
                    </w:rPr>
                  </w:pPr>
                </w:p>
              </w:tc>
              <w:tc>
                <w:tcPr>
                  <w:tcW w:w="930" w:type="dxa"/>
                  <w:vMerge w:val="restart"/>
                  <w:tcBorders>
                    <w:tl2br w:val="nil"/>
                    <w:tr2bl w:val="nil"/>
                  </w:tcBorders>
                  <w:vAlign w:val="center"/>
                </w:tcPr>
                <w:p w14:paraId="6B7B248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G4</w:t>
                  </w:r>
                </w:p>
              </w:tc>
              <w:tc>
                <w:tcPr>
                  <w:tcW w:w="1245" w:type="dxa"/>
                  <w:vMerge w:val="restart"/>
                  <w:tcBorders>
                    <w:tl2br w:val="nil"/>
                    <w:tr2bl w:val="nil"/>
                  </w:tcBorders>
                  <w:vAlign w:val="center"/>
                </w:tcPr>
                <w:p w14:paraId="3257FD5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挤出</w:t>
                  </w:r>
                </w:p>
              </w:tc>
              <w:tc>
                <w:tcPr>
                  <w:tcW w:w="1648" w:type="dxa"/>
                  <w:tcBorders>
                    <w:tl2br w:val="nil"/>
                    <w:tr2bl w:val="nil"/>
                  </w:tcBorders>
                  <w:vAlign w:val="center"/>
                </w:tcPr>
                <w:p w14:paraId="55657D0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非甲烷总烃</w:t>
                  </w:r>
                </w:p>
              </w:tc>
              <w:tc>
                <w:tcPr>
                  <w:tcW w:w="2064" w:type="dxa"/>
                  <w:vMerge w:val="restart"/>
                  <w:tcBorders>
                    <w:tl2br w:val="nil"/>
                    <w:tr2bl w:val="nil"/>
                  </w:tcBorders>
                  <w:vAlign w:val="center"/>
                </w:tcPr>
                <w:p w14:paraId="0DD2F6B7">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一级冷凝+二级活性炭吸附+20m排气筒（DA002）</w:t>
                  </w:r>
                </w:p>
              </w:tc>
            </w:tr>
            <w:tr w14:paraId="02164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42F797F2">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200F972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cs="Times New Roman"/>
                      <w:color w:val="000000" w:themeColor="text1"/>
                      <w:lang w:val="en-US" w:eastAsia="zh-CN"/>
                    </w:rPr>
                  </w:pPr>
                </w:p>
              </w:tc>
              <w:tc>
                <w:tcPr>
                  <w:tcW w:w="930" w:type="dxa"/>
                  <w:vMerge w:val="continue"/>
                  <w:tcBorders>
                    <w:tl2br w:val="nil"/>
                    <w:tr2bl w:val="nil"/>
                  </w:tcBorders>
                  <w:vAlign w:val="center"/>
                </w:tcPr>
                <w:p w14:paraId="2C8EA8F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cs="Times New Roman"/>
                      <w:color w:val="000000" w:themeColor="text1"/>
                      <w:lang w:val="en-US" w:eastAsia="zh-CN"/>
                    </w:rPr>
                  </w:pPr>
                </w:p>
              </w:tc>
              <w:tc>
                <w:tcPr>
                  <w:tcW w:w="1245" w:type="dxa"/>
                  <w:vMerge w:val="continue"/>
                  <w:tcBorders>
                    <w:tl2br w:val="nil"/>
                    <w:tr2bl w:val="nil"/>
                  </w:tcBorders>
                  <w:vAlign w:val="center"/>
                </w:tcPr>
                <w:p w14:paraId="7FC6AE2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p>
              </w:tc>
              <w:tc>
                <w:tcPr>
                  <w:tcW w:w="1648" w:type="dxa"/>
                  <w:tcBorders>
                    <w:tl2br w:val="nil"/>
                    <w:tr2bl w:val="nil"/>
                  </w:tcBorders>
                  <w:vAlign w:val="center"/>
                </w:tcPr>
                <w:p w14:paraId="7E2A2D71">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颗粒物</w:t>
                  </w:r>
                </w:p>
              </w:tc>
              <w:tc>
                <w:tcPr>
                  <w:tcW w:w="2064" w:type="dxa"/>
                  <w:vMerge w:val="continue"/>
                  <w:tcBorders>
                    <w:tl2br w:val="nil"/>
                    <w:tr2bl w:val="nil"/>
                  </w:tcBorders>
                  <w:vAlign w:val="center"/>
                </w:tcPr>
                <w:p w14:paraId="6AA9E56C">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p>
              </w:tc>
            </w:tr>
            <w:tr w14:paraId="319C65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2BECF48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tcBorders>
                    <w:tl2br w:val="nil"/>
                    <w:tr2bl w:val="nil"/>
                  </w:tcBorders>
                  <w:vAlign w:val="center"/>
                </w:tcPr>
                <w:p w14:paraId="5B87F36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车间</w:t>
                  </w:r>
                </w:p>
              </w:tc>
              <w:tc>
                <w:tcPr>
                  <w:tcW w:w="930" w:type="dxa"/>
                  <w:tcBorders>
                    <w:tl2br w:val="nil"/>
                    <w:tr2bl w:val="nil"/>
                  </w:tcBorders>
                  <w:vAlign w:val="center"/>
                </w:tcPr>
                <w:p w14:paraId="616DE74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G5</w:t>
                  </w:r>
                </w:p>
              </w:tc>
              <w:tc>
                <w:tcPr>
                  <w:tcW w:w="1245" w:type="dxa"/>
                  <w:tcBorders>
                    <w:tl2br w:val="nil"/>
                    <w:tr2bl w:val="nil"/>
                  </w:tcBorders>
                  <w:vAlign w:val="center"/>
                </w:tcPr>
                <w:p w14:paraId="420CE49C">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烘干</w:t>
                  </w:r>
                </w:p>
              </w:tc>
              <w:tc>
                <w:tcPr>
                  <w:tcW w:w="1648" w:type="dxa"/>
                  <w:tcBorders>
                    <w:tl2br w:val="nil"/>
                    <w:tr2bl w:val="nil"/>
                  </w:tcBorders>
                  <w:vAlign w:val="center"/>
                </w:tcPr>
                <w:p w14:paraId="50151FDE">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水蒸气</w:t>
                  </w:r>
                </w:p>
              </w:tc>
              <w:tc>
                <w:tcPr>
                  <w:tcW w:w="2064" w:type="dxa"/>
                  <w:tcBorders>
                    <w:tl2br w:val="nil"/>
                    <w:tr2bl w:val="nil"/>
                  </w:tcBorders>
                  <w:vAlign w:val="center"/>
                </w:tcPr>
                <w:p w14:paraId="7126E0F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无组织排放</w:t>
                  </w:r>
                </w:p>
              </w:tc>
            </w:tr>
            <w:tr w14:paraId="64A948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tcBorders>
                    <w:tl2br w:val="nil"/>
                    <w:tr2bl w:val="nil"/>
                  </w:tcBorders>
                  <w:vAlign w:val="center"/>
                </w:tcPr>
                <w:p w14:paraId="0784C49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1050" w:type="dxa"/>
                  <w:tcBorders>
                    <w:tl2br w:val="nil"/>
                    <w:tr2bl w:val="nil"/>
                  </w:tcBorders>
                  <w:vAlign w:val="center"/>
                </w:tcPr>
                <w:p w14:paraId="65E3784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车间生产设备</w:t>
                  </w:r>
                </w:p>
              </w:tc>
              <w:tc>
                <w:tcPr>
                  <w:tcW w:w="930" w:type="dxa"/>
                  <w:tcBorders>
                    <w:tl2br w:val="nil"/>
                    <w:tr2bl w:val="nil"/>
                  </w:tcBorders>
                  <w:vAlign w:val="center"/>
                </w:tcPr>
                <w:p w14:paraId="42CE24F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N1</w:t>
                  </w:r>
                  <w:r>
                    <w:rPr>
                      <w:rFonts w:hint="default" w:ascii="Times New Roman" w:hAnsi="Times New Roman" w:eastAsia="宋体" w:cs="Times New Roman"/>
                      <w:color w:val="000000" w:themeColor="text1"/>
                      <w:lang w:val="en-US" w:eastAsia="zh-CN"/>
                    </w:rPr>
                    <w:t>~</w:t>
                  </w:r>
                  <w:r>
                    <w:rPr>
                      <w:rFonts w:hint="eastAsia" w:cs="Times New Roman"/>
                      <w:color w:val="000000" w:themeColor="text1"/>
                      <w:lang w:val="en-US" w:eastAsia="zh-CN"/>
                    </w:rPr>
                    <w:t>N9</w:t>
                  </w:r>
                </w:p>
              </w:tc>
              <w:tc>
                <w:tcPr>
                  <w:tcW w:w="1245" w:type="dxa"/>
                  <w:tcBorders>
                    <w:tl2br w:val="nil"/>
                    <w:tr2bl w:val="nil"/>
                  </w:tcBorders>
                  <w:vAlign w:val="center"/>
                </w:tcPr>
                <w:p w14:paraId="6EDEF86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生产全过程</w:t>
                  </w:r>
                </w:p>
              </w:tc>
              <w:tc>
                <w:tcPr>
                  <w:tcW w:w="1648" w:type="dxa"/>
                  <w:tcBorders>
                    <w:tl2br w:val="nil"/>
                    <w:tr2bl w:val="nil"/>
                  </w:tcBorders>
                  <w:vAlign w:val="center"/>
                </w:tcPr>
                <w:p w14:paraId="1E7B27F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设备</w:t>
                  </w:r>
                  <w:r>
                    <w:rPr>
                      <w:rFonts w:hint="eastAsia" w:cs="Times New Roman"/>
                      <w:color w:val="000000" w:themeColor="text1"/>
                      <w:lang w:val="en-US" w:eastAsia="zh-CN"/>
                    </w:rPr>
                    <w:t>产生的</w:t>
                  </w:r>
                  <w:r>
                    <w:rPr>
                      <w:rFonts w:hint="default" w:ascii="Times New Roman" w:hAnsi="Times New Roman" w:eastAsia="宋体" w:cs="Times New Roman"/>
                      <w:color w:val="000000" w:themeColor="text1"/>
                    </w:rPr>
                    <w:t>噪声</w:t>
                  </w:r>
                </w:p>
              </w:tc>
              <w:tc>
                <w:tcPr>
                  <w:tcW w:w="2064" w:type="dxa"/>
                  <w:tcBorders>
                    <w:tl2br w:val="nil"/>
                    <w:tr2bl w:val="nil"/>
                  </w:tcBorders>
                  <w:vAlign w:val="center"/>
                </w:tcPr>
                <w:p w14:paraId="13539B2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室内隔声、消声器减震</w:t>
                  </w:r>
                </w:p>
              </w:tc>
            </w:tr>
            <w:tr w14:paraId="4AD82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restart"/>
                  <w:tcBorders>
                    <w:tl2br w:val="nil"/>
                    <w:tr2bl w:val="nil"/>
                  </w:tcBorders>
                  <w:vAlign w:val="center"/>
                </w:tcPr>
                <w:p w14:paraId="05F98A12">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1050" w:type="dxa"/>
                  <w:vMerge w:val="restart"/>
                  <w:tcBorders>
                    <w:tl2br w:val="nil"/>
                    <w:tr2bl w:val="nil"/>
                  </w:tcBorders>
                  <w:vAlign w:val="center"/>
                </w:tcPr>
                <w:p w14:paraId="2B1BDDF3">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000000" w:themeColor="text1"/>
                      <w:lang w:eastAsia="zh-CN"/>
                    </w:rPr>
                  </w:pPr>
                  <w:r>
                    <w:rPr>
                      <w:rFonts w:hint="eastAsia" w:cs="Times New Roman"/>
                      <w:color w:val="000000" w:themeColor="text1"/>
                      <w:lang w:val="en-US" w:eastAsia="zh-CN"/>
                    </w:rPr>
                    <w:t>/</w:t>
                  </w:r>
                </w:p>
              </w:tc>
              <w:tc>
                <w:tcPr>
                  <w:tcW w:w="930" w:type="dxa"/>
                  <w:tcBorders>
                    <w:tl2br w:val="nil"/>
                    <w:tr2bl w:val="nil"/>
                  </w:tcBorders>
                  <w:vAlign w:val="center"/>
                </w:tcPr>
                <w:p w14:paraId="14702F42">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S3</w:t>
                  </w:r>
                </w:p>
              </w:tc>
              <w:tc>
                <w:tcPr>
                  <w:tcW w:w="1245" w:type="dxa"/>
                  <w:tcBorders>
                    <w:tl2br w:val="nil"/>
                    <w:tr2bl w:val="nil"/>
                  </w:tcBorders>
                  <w:vAlign w:val="center"/>
                </w:tcPr>
                <w:p w14:paraId="2D6E2E35">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原料包装</w:t>
                  </w:r>
                </w:p>
              </w:tc>
              <w:tc>
                <w:tcPr>
                  <w:tcW w:w="1648" w:type="dxa"/>
                  <w:tcBorders>
                    <w:tl2br w:val="nil"/>
                    <w:tr2bl w:val="nil"/>
                  </w:tcBorders>
                  <w:vAlign w:val="center"/>
                </w:tcPr>
                <w:p w14:paraId="4B89F42A">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废包装袋</w:t>
                  </w:r>
                </w:p>
              </w:tc>
              <w:tc>
                <w:tcPr>
                  <w:tcW w:w="2064" w:type="dxa"/>
                  <w:tcBorders>
                    <w:tl2br w:val="nil"/>
                    <w:tr2bl w:val="nil"/>
                  </w:tcBorders>
                  <w:vAlign w:val="center"/>
                </w:tcPr>
                <w:p w14:paraId="4F9FA8D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收集后外售综合利用</w:t>
                  </w:r>
                </w:p>
              </w:tc>
            </w:tr>
            <w:tr w14:paraId="3B8165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2259FAC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534E631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4B6E2F4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S8</w:t>
                  </w:r>
                </w:p>
              </w:tc>
              <w:tc>
                <w:tcPr>
                  <w:tcW w:w="1245" w:type="dxa"/>
                  <w:tcBorders>
                    <w:tl2br w:val="nil"/>
                    <w:tr2bl w:val="nil"/>
                  </w:tcBorders>
                  <w:vAlign w:val="center"/>
                </w:tcPr>
                <w:p w14:paraId="3E7E175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废布袋</w:t>
                  </w:r>
                </w:p>
              </w:tc>
              <w:tc>
                <w:tcPr>
                  <w:tcW w:w="1648" w:type="dxa"/>
                  <w:tcBorders>
                    <w:tl2br w:val="nil"/>
                    <w:tr2bl w:val="nil"/>
                  </w:tcBorders>
                  <w:vAlign w:val="center"/>
                </w:tcPr>
                <w:p w14:paraId="2F89B35E">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废气处理</w:t>
                  </w:r>
                </w:p>
              </w:tc>
              <w:tc>
                <w:tcPr>
                  <w:tcW w:w="2064" w:type="dxa"/>
                  <w:tcBorders>
                    <w:tl2br w:val="nil"/>
                    <w:tr2bl w:val="nil"/>
                  </w:tcBorders>
                  <w:vAlign w:val="center"/>
                </w:tcPr>
                <w:p w14:paraId="414B26C2">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收集后外售综合利用</w:t>
                  </w:r>
                </w:p>
              </w:tc>
            </w:tr>
            <w:tr w14:paraId="65E39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265C90DB">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574FFE0E">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76C4A06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S1</w:t>
                  </w:r>
                </w:p>
              </w:tc>
              <w:tc>
                <w:tcPr>
                  <w:tcW w:w="1245" w:type="dxa"/>
                  <w:tcBorders>
                    <w:tl2br w:val="nil"/>
                    <w:tr2bl w:val="nil"/>
                  </w:tcBorders>
                  <w:vAlign w:val="center"/>
                </w:tcPr>
                <w:p w14:paraId="5F901BC5">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脱水</w:t>
                  </w:r>
                </w:p>
              </w:tc>
              <w:tc>
                <w:tcPr>
                  <w:tcW w:w="1648" w:type="dxa"/>
                  <w:tcBorders>
                    <w:tl2br w:val="nil"/>
                    <w:tr2bl w:val="nil"/>
                  </w:tcBorders>
                  <w:vAlign w:val="center"/>
                </w:tcPr>
                <w:p w14:paraId="2818FAD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塑料粒</w:t>
                  </w:r>
                </w:p>
              </w:tc>
              <w:tc>
                <w:tcPr>
                  <w:tcW w:w="2064" w:type="dxa"/>
                  <w:tcBorders>
                    <w:tl2br w:val="nil"/>
                    <w:tr2bl w:val="nil"/>
                  </w:tcBorders>
                  <w:vAlign w:val="center"/>
                </w:tcPr>
                <w:p w14:paraId="30A3873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返回至生产</w:t>
                  </w:r>
                </w:p>
              </w:tc>
            </w:tr>
            <w:tr w14:paraId="6D148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64188480">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7197726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5E578AA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S2</w:t>
                  </w:r>
                </w:p>
              </w:tc>
              <w:tc>
                <w:tcPr>
                  <w:tcW w:w="1245" w:type="dxa"/>
                  <w:tcBorders>
                    <w:tl2br w:val="nil"/>
                    <w:tr2bl w:val="nil"/>
                  </w:tcBorders>
                  <w:vAlign w:val="center"/>
                </w:tcPr>
                <w:p w14:paraId="22E3F9A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筛分</w:t>
                  </w:r>
                </w:p>
              </w:tc>
              <w:tc>
                <w:tcPr>
                  <w:tcW w:w="1648" w:type="dxa"/>
                  <w:tcBorders>
                    <w:tl2br w:val="nil"/>
                    <w:tr2bl w:val="nil"/>
                  </w:tcBorders>
                  <w:vAlign w:val="center"/>
                </w:tcPr>
                <w:p w14:paraId="1362E53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塑料粒</w:t>
                  </w:r>
                </w:p>
              </w:tc>
              <w:tc>
                <w:tcPr>
                  <w:tcW w:w="2064" w:type="dxa"/>
                  <w:tcBorders>
                    <w:tl2br w:val="nil"/>
                    <w:tr2bl w:val="nil"/>
                  </w:tcBorders>
                  <w:vAlign w:val="center"/>
                </w:tcPr>
                <w:p w14:paraId="421641D1">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返回至生产</w:t>
                  </w:r>
                </w:p>
              </w:tc>
            </w:tr>
            <w:tr w14:paraId="5EDC2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29B4A539">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56FACFE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039CC94A">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S4</w:t>
                  </w:r>
                </w:p>
              </w:tc>
              <w:tc>
                <w:tcPr>
                  <w:tcW w:w="1245" w:type="dxa"/>
                  <w:tcBorders>
                    <w:tl2br w:val="nil"/>
                    <w:tr2bl w:val="nil"/>
                  </w:tcBorders>
                  <w:vAlign w:val="center"/>
                </w:tcPr>
                <w:p w14:paraId="32516D5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废润滑油</w:t>
                  </w:r>
                </w:p>
              </w:tc>
              <w:tc>
                <w:tcPr>
                  <w:tcW w:w="1648" w:type="dxa"/>
                  <w:tcBorders>
                    <w:tl2br w:val="nil"/>
                    <w:tr2bl w:val="nil"/>
                  </w:tcBorders>
                  <w:vAlign w:val="center"/>
                </w:tcPr>
                <w:p w14:paraId="22CC8D67">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设备维修保养</w:t>
                  </w:r>
                </w:p>
              </w:tc>
              <w:tc>
                <w:tcPr>
                  <w:tcW w:w="2064" w:type="dxa"/>
                  <w:tcBorders>
                    <w:tl2br w:val="nil"/>
                    <w:tr2bl w:val="nil"/>
                  </w:tcBorders>
                  <w:vAlign w:val="center"/>
                </w:tcPr>
                <w:p w14:paraId="1A87440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交由有危废处理资质的单位处理</w:t>
                  </w:r>
                </w:p>
              </w:tc>
            </w:tr>
            <w:tr w14:paraId="34DEE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0122600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6F0D55B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4E7AE6B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S5</w:t>
                  </w:r>
                </w:p>
              </w:tc>
              <w:tc>
                <w:tcPr>
                  <w:tcW w:w="1245" w:type="dxa"/>
                  <w:tcBorders>
                    <w:tl2br w:val="nil"/>
                    <w:tr2bl w:val="nil"/>
                  </w:tcBorders>
                  <w:vAlign w:val="center"/>
                </w:tcPr>
                <w:p w14:paraId="262CC5D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废润滑油桶</w:t>
                  </w:r>
                </w:p>
              </w:tc>
              <w:tc>
                <w:tcPr>
                  <w:tcW w:w="1648" w:type="dxa"/>
                  <w:tcBorders>
                    <w:tl2br w:val="nil"/>
                    <w:tr2bl w:val="nil"/>
                  </w:tcBorders>
                  <w:vAlign w:val="center"/>
                </w:tcPr>
                <w:p w14:paraId="7FC01927">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设备维修保养</w:t>
                  </w:r>
                </w:p>
              </w:tc>
              <w:tc>
                <w:tcPr>
                  <w:tcW w:w="2064" w:type="dxa"/>
                  <w:tcBorders>
                    <w:tl2br w:val="nil"/>
                    <w:tr2bl w:val="nil"/>
                  </w:tcBorders>
                  <w:vAlign w:val="center"/>
                </w:tcPr>
                <w:p w14:paraId="782298CC">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交由有危废处理资质的单位处理</w:t>
                  </w:r>
                </w:p>
              </w:tc>
            </w:tr>
            <w:tr w14:paraId="49A4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4B3954C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63FF66B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1BC1DE90">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S6</w:t>
                  </w:r>
                </w:p>
              </w:tc>
              <w:tc>
                <w:tcPr>
                  <w:tcW w:w="1245" w:type="dxa"/>
                  <w:tcBorders>
                    <w:tl2br w:val="nil"/>
                    <w:tr2bl w:val="nil"/>
                  </w:tcBorders>
                  <w:vAlign w:val="center"/>
                </w:tcPr>
                <w:p w14:paraId="52FCEC5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废气处理</w:t>
                  </w:r>
                </w:p>
              </w:tc>
              <w:tc>
                <w:tcPr>
                  <w:tcW w:w="1648" w:type="dxa"/>
                  <w:tcBorders>
                    <w:tl2br w:val="nil"/>
                    <w:tr2bl w:val="nil"/>
                  </w:tcBorders>
                  <w:vAlign w:val="center"/>
                </w:tcPr>
                <w:p w14:paraId="6FF5F9E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废冷凝液</w:t>
                  </w:r>
                </w:p>
              </w:tc>
              <w:tc>
                <w:tcPr>
                  <w:tcW w:w="2064" w:type="dxa"/>
                  <w:tcBorders>
                    <w:tl2br w:val="nil"/>
                    <w:tr2bl w:val="nil"/>
                  </w:tcBorders>
                  <w:vAlign w:val="center"/>
                </w:tcPr>
                <w:p w14:paraId="168DDF6A">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交由有危废处理资质的单位处理</w:t>
                  </w:r>
                </w:p>
              </w:tc>
            </w:tr>
            <w:tr w14:paraId="30A20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vMerge w:val="continue"/>
                  <w:tcBorders>
                    <w:tl2br w:val="nil"/>
                    <w:tr2bl w:val="nil"/>
                  </w:tcBorders>
                  <w:vAlign w:val="center"/>
                </w:tcPr>
                <w:p w14:paraId="703D441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050" w:type="dxa"/>
                  <w:vMerge w:val="continue"/>
                  <w:tcBorders>
                    <w:tl2br w:val="nil"/>
                    <w:tr2bl w:val="nil"/>
                  </w:tcBorders>
                  <w:vAlign w:val="center"/>
                </w:tcPr>
                <w:p w14:paraId="049E1DE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930" w:type="dxa"/>
                  <w:tcBorders>
                    <w:tl2br w:val="nil"/>
                    <w:tr2bl w:val="nil"/>
                  </w:tcBorders>
                  <w:vAlign w:val="center"/>
                </w:tcPr>
                <w:p w14:paraId="198AF79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S7</w:t>
                  </w:r>
                </w:p>
              </w:tc>
              <w:tc>
                <w:tcPr>
                  <w:tcW w:w="1245" w:type="dxa"/>
                  <w:tcBorders>
                    <w:tl2br w:val="nil"/>
                    <w:tr2bl w:val="nil"/>
                  </w:tcBorders>
                  <w:vAlign w:val="center"/>
                </w:tcPr>
                <w:p w14:paraId="53CD437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废气处理</w:t>
                  </w:r>
                </w:p>
              </w:tc>
              <w:tc>
                <w:tcPr>
                  <w:tcW w:w="1648" w:type="dxa"/>
                  <w:tcBorders>
                    <w:tl2br w:val="nil"/>
                    <w:tr2bl w:val="nil"/>
                  </w:tcBorders>
                  <w:vAlign w:val="center"/>
                </w:tcPr>
                <w:p w14:paraId="073F08EE">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废活性炭</w:t>
                  </w:r>
                </w:p>
              </w:tc>
              <w:tc>
                <w:tcPr>
                  <w:tcW w:w="2064" w:type="dxa"/>
                  <w:tcBorders>
                    <w:tl2br w:val="nil"/>
                    <w:tr2bl w:val="nil"/>
                  </w:tcBorders>
                  <w:vAlign w:val="center"/>
                </w:tcPr>
                <w:p w14:paraId="04398C8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s="Times New Roman"/>
                      <w:color w:val="000000" w:themeColor="text1"/>
                      <w:lang w:val="en-US" w:eastAsia="zh-CN"/>
                    </w:rPr>
                  </w:pPr>
                  <w:r>
                    <w:rPr>
                      <w:rFonts w:hint="eastAsia" w:cs="Times New Roman"/>
                      <w:color w:val="000000" w:themeColor="text1"/>
                      <w:lang w:val="en-US" w:eastAsia="zh-CN"/>
                    </w:rPr>
                    <w:t>交由有危废处理资质的单位处理</w:t>
                  </w:r>
                </w:p>
              </w:tc>
            </w:tr>
          </w:tbl>
          <w:p w14:paraId="495537E8">
            <w:pPr>
              <w:ind w:firstLine="420"/>
              <w:rPr>
                <w:rFonts w:hint="default" w:ascii="Times New Roman" w:hAnsi="Times New Roman" w:eastAsia="宋体" w:cs="Times New Roman"/>
                <w:color w:val="000000" w:themeColor="text1"/>
                <w:sz w:val="21"/>
                <w:szCs w:val="21"/>
              </w:rPr>
            </w:pPr>
          </w:p>
        </w:tc>
      </w:tr>
      <w:tr w14:paraId="0227D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4" w:hRule="atLeast"/>
          <w:jc w:val="center"/>
        </w:trPr>
        <w:tc>
          <w:tcPr>
            <w:tcW w:w="795" w:type="dxa"/>
            <w:vAlign w:val="center"/>
          </w:tcPr>
          <w:p w14:paraId="6E9B8E2F">
            <w:pPr>
              <w:pStyle w:val="2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2"/>
                <w:sz w:val="30"/>
                <w:szCs w:val="30"/>
              </w:rPr>
              <w:t>与项目有关的原有环境污染问题</w:t>
            </w:r>
          </w:p>
        </w:tc>
        <w:tc>
          <w:tcPr>
            <w:tcW w:w="8189" w:type="dxa"/>
          </w:tcPr>
          <w:p w14:paraId="256BDE2F">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1、现有项目概况</w:t>
            </w:r>
          </w:p>
          <w:p w14:paraId="4E29CB7B">
            <w:pPr>
              <w:adjustRightInd w:val="0"/>
              <w:snapToGrid w:val="0"/>
              <w:ind w:firstLine="480"/>
              <w:rPr>
                <w:rFonts w:hint="eastAsia" w:ascii="Times New Roman" w:hAnsi="Times New Roman" w:eastAsia="宋体" w:cs="Times New Roman"/>
                <w:color w:val="000000" w:themeColor="text1"/>
                <w:sz w:val="24"/>
                <w:highlight w:val="none"/>
                <w:lang w:val="en-US" w:eastAsia="zh-CN"/>
              </w:rPr>
            </w:pPr>
            <w:r>
              <w:rPr>
                <w:rFonts w:hint="eastAsia" w:ascii="Times New Roman" w:hAnsi="Times New Roman" w:eastAsia="宋体" w:cs="Times New Roman"/>
                <w:color w:val="000000" w:themeColor="text1"/>
                <w:sz w:val="24"/>
                <w:highlight w:val="none"/>
                <w:lang w:val="en-US" w:eastAsia="zh-CN"/>
              </w:rPr>
              <w:t>2014年9月编制完成《江西雷亚特导电碳黑有限公司年产5000吨导电炭黑项目环境影响报告表》，于20015年1月13日获得原九江县环境保护局批复（九县环批字</w:t>
            </w:r>
            <w:r>
              <w:rPr>
                <w:rFonts w:hint="eastAsia" w:cs="Times New Roman"/>
                <w:color w:val="000000" w:themeColor="text1"/>
                <w:sz w:val="24"/>
                <w:highlight w:val="none"/>
                <w:lang w:val="en-US" w:eastAsia="zh-CN"/>
              </w:rPr>
              <w:t>〔2015〕2号</w:t>
            </w:r>
            <w:r>
              <w:rPr>
                <w:rFonts w:hint="eastAsia" w:ascii="Times New Roman" w:hAnsi="Times New Roman" w:eastAsia="宋体" w:cs="Times New Roman"/>
                <w:color w:val="000000" w:themeColor="text1"/>
                <w:sz w:val="24"/>
                <w:highlight w:val="none"/>
                <w:lang w:val="en-US" w:eastAsia="zh-CN"/>
              </w:rPr>
              <w:t>）；并于2017年6月19日获得原九江县环境保护局关于验收的批复（九县环验字</w:t>
            </w:r>
            <w:r>
              <w:rPr>
                <w:rFonts w:hint="default" w:ascii="Times New Roman" w:hAnsi="Times New Roman" w:eastAsia="宋体" w:cs="Times New Roman"/>
                <w:color w:val="000000" w:themeColor="text1"/>
                <w:sz w:val="24"/>
                <w:highlight w:val="none"/>
                <w:lang w:val="en-US" w:eastAsia="zh-CN"/>
              </w:rPr>
              <w:t>〔2017〕</w:t>
            </w:r>
            <w:r>
              <w:rPr>
                <w:rFonts w:hint="eastAsia" w:ascii="Times New Roman" w:hAnsi="Times New Roman" w:eastAsia="宋体" w:cs="Times New Roman"/>
                <w:color w:val="000000" w:themeColor="text1"/>
                <w:sz w:val="24"/>
                <w:highlight w:val="none"/>
                <w:lang w:val="en-US" w:eastAsia="zh-CN"/>
              </w:rPr>
              <w:t>17号）。江西雷亚特导电碳黑有限公</w:t>
            </w:r>
            <w:r>
              <w:rPr>
                <w:rFonts w:hint="eastAsia" w:cs="Times New Roman"/>
                <w:color w:val="000000" w:themeColor="text1"/>
                <w:sz w:val="24"/>
                <w:highlight w:val="none"/>
                <w:lang w:eastAsia="zh-CN"/>
              </w:rPr>
              <w:t>司</w:t>
            </w:r>
            <w:r>
              <w:rPr>
                <w:rFonts w:hint="eastAsia" w:ascii="Times New Roman" w:hAnsi="Times New Roman" w:eastAsia="宋体" w:cs="Times New Roman"/>
                <w:color w:val="000000" w:themeColor="text1"/>
                <w:sz w:val="24"/>
                <w:highlight w:val="none"/>
                <w:lang w:val="en-US" w:eastAsia="zh-CN"/>
              </w:rPr>
              <w:t>已于</w:t>
            </w:r>
            <w:r>
              <w:rPr>
                <w:rFonts w:hint="eastAsia" w:cs="Times New Roman"/>
                <w:color w:val="000000" w:themeColor="text1"/>
                <w:sz w:val="24"/>
                <w:highlight w:val="none"/>
                <w:lang w:val="en-US" w:eastAsia="zh-CN"/>
              </w:rPr>
              <w:t>2025年4月14日进行了</w:t>
            </w:r>
            <w:r>
              <w:rPr>
                <w:rFonts w:hint="eastAsia" w:ascii="Times New Roman" w:hAnsi="Times New Roman" w:eastAsia="宋体" w:cs="Times New Roman"/>
                <w:color w:val="000000" w:themeColor="text1"/>
                <w:sz w:val="24"/>
                <w:highlight w:val="none"/>
                <w:lang w:val="en-US" w:eastAsia="zh-CN"/>
              </w:rPr>
              <w:t>排污许可登记，登记编码为：91360421</w:t>
            </w:r>
            <w:r>
              <w:rPr>
                <w:rFonts w:hint="eastAsia" w:cs="Times New Roman"/>
                <w:color w:val="000000" w:themeColor="text1"/>
                <w:sz w:val="24"/>
                <w:highlight w:val="none"/>
                <w:lang w:val="en-US" w:eastAsia="zh-CN"/>
              </w:rPr>
              <w:t>3091847178001Q</w:t>
            </w:r>
            <w:r>
              <w:rPr>
                <w:rFonts w:hint="eastAsia" w:ascii="Times New Roman" w:hAnsi="Times New Roman" w:eastAsia="宋体" w:cs="Times New Roman"/>
                <w:color w:val="000000" w:themeColor="text1"/>
                <w:sz w:val="24"/>
                <w:highlight w:val="none"/>
                <w:lang w:val="en-US" w:eastAsia="zh-CN"/>
              </w:rPr>
              <w:t>。</w:t>
            </w:r>
          </w:p>
          <w:p w14:paraId="062FCE74">
            <w:pPr>
              <w:keepNext w:val="0"/>
              <w:keepLines w:val="0"/>
              <w:pageBreakBefore w:val="0"/>
              <w:widowControl w:val="0"/>
              <w:numPr>
                <w:ilvl w:val="0"/>
                <w:numId w:val="6"/>
              </w:numPr>
              <w:kinsoku/>
              <w:wordWrap/>
              <w:overflowPunct/>
              <w:topLinePunct w:val="0"/>
              <w:bidi w:val="0"/>
              <w:adjustRightInd w:val="0"/>
              <w:snapToGrid w:val="0"/>
              <w:spacing w:line="360" w:lineRule="auto"/>
              <w:ind w:firstLine="482"/>
              <w:textAlignment w:val="auto"/>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现有工程</w:t>
            </w:r>
            <w:r>
              <w:rPr>
                <w:rFonts w:hint="eastAsia" w:cs="Times New Roman"/>
                <w:b/>
                <w:color w:val="000000" w:themeColor="text1"/>
                <w:lang w:val="en-US" w:eastAsia="zh-CN"/>
              </w:rPr>
              <w:t>建设内容、</w:t>
            </w:r>
            <w:r>
              <w:rPr>
                <w:rFonts w:hint="default" w:ascii="Times New Roman" w:hAnsi="Times New Roman" w:eastAsia="宋体" w:cs="Times New Roman"/>
                <w:b/>
                <w:color w:val="000000" w:themeColor="text1"/>
              </w:rPr>
              <w:t>原料、设备及工艺情况</w:t>
            </w:r>
          </w:p>
          <w:p w14:paraId="1C6D7FA0">
            <w:pPr>
              <w:pStyle w:val="46"/>
              <w:keepNext w:val="0"/>
              <w:keepLines w:val="0"/>
              <w:pageBreakBefore w:val="0"/>
              <w:widowControl w:val="0"/>
              <w:kinsoku/>
              <w:wordWrap/>
              <w:overflowPunct/>
              <w:topLinePunct w:val="0"/>
              <w:autoSpaceDE w:val="0"/>
              <w:autoSpaceDN w:val="0"/>
              <w:bidi w:val="0"/>
              <w:adjustRightInd w:val="0"/>
              <w:snapToGrid/>
              <w:spacing w:before="0" w:after="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根据验收报告，现有工</w:t>
            </w:r>
            <w:r>
              <w:rPr>
                <w:rFonts w:hint="default" w:ascii="Times New Roman" w:hAnsi="Times New Roman" w:eastAsia="宋体" w:cs="Times New Roman"/>
                <w:color w:val="000000" w:themeColor="text1"/>
                <w:kern w:val="2"/>
                <w:sz w:val="24"/>
                <w:szCs w:val="24"/>
                <w:highlight w:val="none"/>
                <w:lang w:val="en-US" w:eastAsia="zh-CN" w:bidi="ar-SA"/>
              </w:rPr>
              <w:t>程的</w:t>
            </w:r>
            <w:r>
              <w:rPr>
                <w:rFonts w:hint="eastAsia" w:ascii="Times New Roman" w:hAnsi="Times New Roman" w:eastAsia="宋体" w:cs="Times New Roman"/>
                <w:color w:val="000000" w:themeColor="text1"/>
                <w:kern w:val="2"/>
                <w:sz w:val="24"/>
                <w:szCs w:val="24"/>
                <w:highlight w:val="none"/>
                <w:lang w:val="en-US" w:eastAsia="zh-CN" w:bidi="ar-SA"/>
              </w:rPr>
              <w:t>产品方案、建设内容、</w:t>
            </w:r>
            <w:r>
              <w:rPr>
                <w:rFonts w:hint="default" w:ascii="Times New Roman" w:hAnsi="Times New Roman" w:eastAsia="宋体" w:cs="Times New Roman"/>
                <w:color w:val="000000" w:themeColor="text1"/>
                <w:kern w:val="2"/>
                <w:sz w:val="24"/>
                <w:szCs w:val="24"/>
                <w:highlight w:val="none"/>
                <w:lang w:val="en-US" w:eastAsia="zh-CN" w:bidi="ar-SA"/>
              </w:rPr>
              <w:t>原辅材料、设备及</w:t>
            </w:r>
            <w:r>
              <w:rPr>
                <w:rFonts w:hint="default" w:ascii="Times New Roman" w:hAnsi="Times New Roman" w:eastAsia="宋体" w:cs="Times New Roman"/>
                <w:color w:val="000000" w:themeColor="text1"/>
              </w:rPr>
              <w:t>工艺情况如下：</w:t>
            </w:r>
          </w:p>
          <w:p w14:paraId="439DBA24">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cs="Times New Roman"/>
                <w:b/>
                <w:bCs/>
                <w:color w:val="000000" w:themeColor="text1"/>
                <w:sz w:val="21"/>
                <w:szCs w:val="21"/>
                <w:lang w:val="en-US" w:eastAsia="zh-CN"/>
              </w:rPr>
              <w:t>13    现有</w:t>
            </w:r>
            <w:r>
              <w:rPr>
                <w:rFonts w:hint="default" w:ascii="Times New Roman" w:hAnsi="Times New Roman" w:eastAsia="宋体" w:cs="Times New Roman"/>
                <w:b/>
                <w:bCs/>
                <w:color w:val="000000" w:themeColor="text1"/>
                <w:sz w:val="21"/>
                <w:szCs w:val="21"/>
              </w:rPr>
              <w:t>项目主要产品产能一览表</w:t>
            </w:r>
          </w:p>
          <w:tbl>
            <w:tblPr>
              <w:tblStyle w:val="33"/>
              <w:tblW w:w="49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1338"/>
              <w:gridCol w:w="3511"/>
              <w:gridCol w:w="1282"/>
            </w:tblGrid>
            <w:tr w14:paraId="72DA68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21" w:type="pct"/>
                  <w:noWrap w:val="0"/>
                  <w:vAlign w:val="center"/>
                </w:tcPr>
                <w:p w14:paraId="4A20C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产品名称</w:t>
                  </w:r>
                </w:p>
              </w:tc>
              <w:tc>
                <w:tcPr>
                  <w:tcW w:w="846" w:type="pct"/>
                  <w:noWrap w:val="0"/>
                  <w:vAlign w:val="center"/>
                </w:tcPr>
                <w:p w14:paraId="795F8E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lang w:val="en-US" w:eastAsia="zh-CN"/>
                    </w:rPr>
                    <w:t>产能</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2220" w:type="pct"/>
                  <w:noWrap w:val="0"/>
                  <w:vAlign w:val="center"/>
                </w:tcPr>
                <w:p w14:paraId="174DE3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质量标准</w:t>
                  </w:r>
                </w:p>
              </w:tc>
              <w:tc>
                <w:tcPr>
                  <w:tcW w:w="811" w:type="pct"/>
                  <w:noWrap w:val="0"/>
                  <w:vAlign w:val="center"/>
                </w:tcPr>
                <w:p w14:paraId="356F8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17DF89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121" w:type="pct"/>
                  <w:noWrap w:val="0"/>
                  <w:vAlign w:val="center"/>
                </w:tcPr>
                <w:p w14:paraId="58C700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color w:val="000000" w:themeColor="text1"/>
                      <w:sz w:val="21"/>
                      <w:szCs w:val="21"/>
                      <w:highlight w:val="none"/>
                      <w:lang w:val="en-US" w:eastAsia="zh-CN"/>
                    </w:rPr>
                    <w:t>导电</w:t>
                  </w:r>
                  <w:r>
                    <w:rPr>
                      <w:rFonts w:hint="eastAsia" w:ascii="Times New Roman" w:hAnsi="Times New Roman" w:eastAsia="宋体" w:cs="Times New Roman"/>
                      <w:color w:val="000000" w:themeColor="text1"/>
                      <w:sz w:val="21"/>
                      <w:szCs w:val="21"/>
                      <w:highlight w:val="none"/>
                      <w:lang w:val="en-US" w:eastAsia="zh-CN"/>
                    </w:rPr>
                    <w:t>炭黑</w:t>
                  </w:r>
                </w:p>
              </w:tc>
              <w:tc>
                <w:tcPr>
                  <w:tcW w:w="846" w:type="pct"/>
                  <w:noWrap w:val="0"/>
                  <w:vAlign w:val="center"/>
                </w:tcPr>
                <w:p w14:paraId="19E35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cs="Times New Roman"/>
                      <w:color w:val="000000" w:themeColor="text1"/>
                      <w:sz w:val="21"/>
                      <w:szCs w:val="21"/>
                      <w:highlight w:val="none"/>
                      <w:lang w:val="en-US" w:eastAsia="zh-CN"/>
                    </w:rPr>
                    <w:t>5000</w:t>
                  </w:r>
                </w:p>
              </w:tc>
              <w:tc>
                <w:tcPr>
                  <w:tcW w:w="2220" w:type="pct"/>
                  <w:noWrap w:val="0"/>
                  <w:vAlign w:val="center"/>
                </w:tcPr>
                <w:p w14:paraId="45A3B3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 炭黑标准》（GB/T 3782-2016）</w:t>
                  </w:r>
                </w:p>
              </w:tc>
              <w:tc>
                <w:tcPr>
                  <w:tcW w:w="811" w:type="pct"/>
                  <w:noWrap w:val="0"/>
                  <w:vAlign w:val="center"/>
                </w:tcPr>
                <w:p w14:paraId="693E35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外售</w:t>
                  </w:r>
                </w:p>
              </w:tc>
            </w:tr>
          </w:tbl>
          <w:p w14:paraId="0AB6D2D6">
            <w:pPr>
              <w:keepNext w:val="0"/>
              <w:keepLines w:val="0"/>
              <w:pageBreakBefore w:val="0"/>
              <w:tabs>
                <w:tab w:val="left" w:pos="0"/>
              </w:tabs>
              <w:kinsoku/>
              <w:wordWrap/>
              <w:overflowPunct/>
              <w:topLinePunct w:val="0"/>
              <w:autoSpaceDE/>
              <w:autoSpaceDN/>
              <w:bidi w:val="0"/>
              <w:spacing w:line="240" w:lineRule="auto"/>
              <w:ind w:firstLine="0" w:firstLineChars="0"/>
              <w:jc w:val="center"/>
              <w:textAlignment w:val="auto"/>
              <w:rPr>
                <w:rFonts w:hint="eastAsia"/>
                <w:b/>
                <w:bCs/>
                <w:color w:val="000000" w:themeColor="text1"/>
                <w:sz w:val="21"/>
                <w:szCs w:val="21"/>
                <w:highlight w:val="none"/>
              </w:rPr>
            </w:pPr>
          </w:p>
          <w:p w14:paraId="29D67305">
            <w:pPr>
              <w:keepNext w:val="0"/>
              <w:keepLines w:val="0"/>
              <w:pageBreakBefore w:val="0"/>
              <w:tabs>
                <w:tab w:val="left" w:pos="0"/>
              </w:tabs>
              <w:kinsoku/>
              <w:wordWrap/>
              <w:overflowPunct/>
              <w:topLinePunct w:val="0"/>
              <w:autoSpaceDE/>
              <w:autoSpaceDN/>
              <w:bidi w:val="0"/>
              <w:spacing w:line="240" w:lineRule="auto"/>
              <w:ind w:firstLine="0" w:firstLineChars="0"/>
              <w:jc w:val="center"/>
              <w:textAlignment w:val="auto"/>
              <w:rPr>
                <w:rFonts w:hint="eastAsia"/>
                <w:b/>
                <w:bCs/>
                <w:color w:val="000000" w:themeColor="text1"/>
                <w:sz w:val="21"/>
                <w:szCs w:val="21"/>
                <w:highlight w:val="none"/>
              </w:rPr>
            </w:pPr>
            <w:r>
              <w:rPr>
                <w:rFonts w:hint="eastAsia"/>
                <w:b/>
                <w:bCs/>
                <w:color w:val="000000" w:themeColor="text1"/>
                <w:sz w:val="21"/>
                <w:szCs w:val="21"/>
                <w:highlight w:val="none"/>
              </w:rPr>
              <w:t>表2-</w:t>
            </w:r>
            <w:r>
              <w:rPr>
                <w:rFonts w:hint="eastAsia"/>
                <w:b/>
                <w:bCs/>
                <w:color w:val="000000" w:themeColor="text1"/>
                <w:sz w:val="21"/>
                <w:szCs w:val="21"/>
                <w:highlight w:val="none"/>
                <w:lang w:val="en-US" w:eastAsia="zh-CN"/>
              </w:rPr>
              <w:t>14</w:t>
            </w:r>
            <w:r>
              <w:rPr>
                <w:rFonts w:hint="eastAsia"/>
                <w:b/>
                <w:bCs/>
                <w:color w:val="000000" w:themeColor="text1"/>
                <w:sz w:val="21"/>
                <w:szCs w:val="21"/>
                <w:highlight w:val="none"/>
              </w:rPr>
              <w:t xml:space="preserve">   </w:t>
            </w:r>
            <w:r>
              <w:rPr>
                <w:rFonts w:hint="eastAsia"/>
                <w:b/>
                <w:bCs/>
                <w:color w:val="000000" w:themeColor="text1"/>
                <w:sz w:val="21"/>
                <w:szCs w:val="21"/>
                <w:highlight w:val="none"/>
                <w:lang w:val="en-US" w:eastAsia="zh-CN"/>
              </w:rPr>
              <w:t>现有</w:t>
            </w:r>
            <w:r>
              <w:rPr>
                <w:rFonts w:hint="eastAsia"/>
                <w:b/>
                <w:bCs/>
                <w:color w:val="000000" w:themeColor="text1"/>
                <w:sz w:val="21"/>
                <w:szCs w:val="21"/>
                <w:highlight w:val="none"/>
              </w:rPr>
              <w:t>项目工程内容一览表</w:t>
            </w:r>
          </w:p>
          <w:tbl>
            <w:tblPr>
              <w:tblStyle w:val="33"/>
              <w:tblW w:w="497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391"/>
              <w:gridCol w:w="3904"/>
              <w:gridCol w:w="1682"/>
            </w:tblGrid>
            <w:tr w14:paraId="03F62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8" w:type="pct"/>
                  <w:noWrap w:val="0"/>
                  <w:vAlign w:val="center"/>
                </w:tcPr>
                <w:p w14:paraId="16E17F5E">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工程类别</w:t>
                  </w:r>
                </w:p>
              </w:tc>
              <w:tc>
                <w:tcPr>
                  <w:tcW w:w="877" w:type="pct"/>
                  <w:noWrap w:val="0"/>
                  <w:vAlign w:val="center"/>
                </w:tcPr>
                <w:p w14:paraId="10683AF4">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工程名称</w:t>
                  </w:r>
                </w:p>
              </w:tc>
              <w:tc>
                <w:tcPr>
                  <w:tcW w:w="2463" w:type="pct"/>
                  <w:noWrap w:val="0"/>
                  <w:vAlign w:val="center"/>
                </w:tcPr>
                <w:p w14:paraId="59BCF8E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b/>
                      <w:bCs/>
                      <w:color w:val="000000" w:themeColor="text1"/>
                      <w:sz w:val="21"/>
                      <w:szCs w:val="21"/>
                      <w:highlight w:val="none"/>
                    </w:rPr>
                  </w:pPr>
                  <w:r>
                    <w:rPr>
                      <w:b/>
                      <w:bCs/>
                      <w:color w:val="000000" w:themeColor="text1"/>
                      <w:sz w:val="21"/>
                      <w:szCs w:val="21"/>
                      <w:highlight w:val="none"/>
                    </w:rPr>
                    <w:t>建设内容</w:t>
                  </w:r>
                </w:p>
              </w:tc>
              <w:tc>
                <w:tcPr>
                  <w:tcW w:w="1061" w:type="pct"/>
                  <w:noWrap w:val="0"/>
                  <w:vAlign w:val="center"/>
                </w:tcPr>
                <w:p w14:paraId="7E47C5C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备注</w:t>
                  </w:r>
                </w:p>
              </w:tc>
            </w:tr>
            <w:tr w14:paraId="5E810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598" w:type="pct"/>
                  <w:noWrap w:val="0"/>
                  <w:vAlign w:val="center"/>
                </w:tcPr>
                <w:p w14:paraId="573351EC">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主体工程</w:t>
                  </w:r>
                </w:p>
              </w:tc>
              <w:tc>
                <w:tcPr>
                  <w:tcW w:w="877" w:type="pct"/>
                  <w:noWrap w:val="0"/>
                  <w:vAlign w:val="center"/>
                </w:tcPr>
                <w:p w14:paraId="6159FEF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1#厂房</w:t>
                  </w:r>
                </w:p>
              </w:tc>
              <w:tc>
                <w:tcPr>
                  <w:tcW w:w="2463" w:type="pct"/>
                  <w:noWrap w:val="0"/>
                  <w:vAlign w:val="center"/>
                </w:tcPr>
                <w:p w14:paraId="4555734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1836</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用于生产导电炭黑，年产5000t导电炭黑</w:t>
                  </w:r>
                </w:p>
              </w:tc>
              <w:tc>
                <w:tcPr>
                  <w:tcW w:w="1061" w:type="pct"/>
                  <w:noWrap w:val="0"/>
                  <w:vAlign w:val="center"/>
                </w:tcPr>
                <w:p w14:paraId="5752118F">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w:t>
                  </w:r>
                </w:p>
              </w:tc>
            </w:tr>
            <w:tr w14:paraId="56456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8" w:type="pct"/>
                  <w:vMerge w:val="restart"/>
                  <w:noWrap w:val="0"/>
                  <w:vAlign w:val="center"/>
                </w:tcPr>
                <w:p w14:paraId="03C7FF55">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存储工程</w:t>
                  </w:r>
                </w:p>
              </w:tc>
              <w:tc>
                <w:tcPr>
                  <w:tcW w:w="877" w:type="pct"/>
                  <w:noWrap w:val="0"/>
                  <w:vAlign w:val="center"/>
                </w:tcPr>
                <w:p w14:paraId="577BC99A">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2#厂房</w:t>
                  </w:r>
                </w:p>
              </w:tc>
              <w:tc>
                <w:tcPr>
                  <w:tcW w:w="2463" w:type="pct"/>
                  <w:noWrap w:val="0"/>
                  <w:vAlign w:val="center"/>
                </w:tcPr>
                <w:p w14:paraId="7EC2E6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1506</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用于导电炭黑存储</w:t>
                  </w:r>
                </w:p>
              </w:tc>
              <w:tc>
                <w:tcPr>
                  <w:tcW w:w="1061" w:type="pct"/>
                  <w:noWrap w:val="0"/>
                  <w:vAlign w:val="center"/>
                </w:tcPr>
                <w:p w14:paraId="018DBBC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7ADDCA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8" w:type="pct"/>
                  <w:vMerge w:val="continue"/>
                  <w:noWrap w:val="0"/>
                  <w:vAlign w:val="center"/>
                </w:tcPr>
                <w:p w14:paraId="3DFC40C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p>
              </w:tc>
              <w:tc>
                <w:tcPr>
                  <w:tcW w:w="877" w:type="pct"/>
                  <w:noWrap w:val="0"/>
                  <w:vAlign w:val="center"/>
                </w:tcPr>
                <w:p w14:paraId="674FA5D7">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3#厂房</w:t>
                  </w:r>
                </w:p>
              </w:tc>
              <w:tc>
                <w:tcPr>
                  <w:tcW w:w="2463" w:type="pct"/>
                  <w:noWrap w:val="0"/>
                  <w:vAlign w:val="center"/>
                </w:tcPr>
                <w:p w14:paraId="066484C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3901</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vertAlign w:val="baseline"/>
                      <w:lang w:val="en-US" w:eastAsia="zh-CN"/>
                    </w:rPr>
                    <w:t>用于导电炭黑的原料存储</w:t>
                  </w:r>
                </w:p>
              </w:tc>
              <w:tc>
                <w:tcPr>
                  <w:tcW w:w="1061" w:type="pct"/>
                  <w:noWrap w:val="0"/>
                  <w:vAlign w:val="center"/>
                </w:tcPr>
                <w:p w14:paraId="47A401EC">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14FE0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98" w:type="pct"/>
                  <w:vMerge w:val="restart"/>
                  <w:noWrap w:val="0"/>
                  <w:vAlign w:val="center"/>
                </w:tcPr>
                <w:p w14:paraId="612B0A37">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公辅工程</w:t>
                  </w:r>
                </w:p>
              </w:tc>
              <w:tc>
                <w:tcPr>
                  <w:tcW w:w="877" w:type="pct"/>
                  <w:noWrap w:val="0"/>
                  <w:vAlign w:val="center"/>
                </w:tcPr>
                <w:p w14:paraId="32B218D5">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办公楼</w:t>
                  </w:r>
                </w:p>
              </w:tc>
              <w:tc>
                <w:tcPr>
                  <w:tcW w:w="2463" w:type="pct"/>
                  <w:noWrap w:val="0"/>
                  <w:vAlign w:val="center"/>
                </w:tcPr>
                <w:p w14:paraId="10474B1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3500</w:t>
                  </w:r>
                  <w:r>
                    <w:rPr>
                      <w:rFonts w:hint="eastAsia"/>
                      <w:color w:val="000000" w:themeColor="text1"/>
                      <w:sz w:val="21"/>
                      <w:szCs w:val="21"/>
                      <w:highlight w:val="none"/>
                    </w:rPr>
                    <w:t>m</w:t>
                  </w:r>
                  <w:r>
                    <w:rPr>
                      <w:rFonts w:hint="eastAsia"/>
                      <w:color w:val="000000" w:themeColor="text1"/>
                      <w:sz w:val="21"/>
                      <w:szCs w:val="21"/>
                      <w:highlight w:val="none"/>
                      <w:vertAlign w:val="superscript"/>
                    </w:rPr>
                    <w:t>2</w:t>
                  </w:r>
                  <w:r>
                    <w:rPr>
                      <w:rFonts w:hint="eastAsia"/>
                      <w:color w:val="000000" w:themeColor="text1"/>
                      <w:sz w:val="21"/>
                      <w:szCs w:val="21"/>
                      <w:highlight w:val="none"/>
                      <w:vertAlign w:val="baseline"/>
                      <w:lang w:eastAsia="zh-CN"/>
                    </w:rPr>
                    <w:t>，</w:t>
                  </w:r>
                  <w:r>
                    <w:rPr>
                      <w:rFonts w:hint="eastAsia"/>
                      <w:color w:val="000000" w:themeColor="text1"/>
                      <w:sz w:val="21"/>
                      <w:szCs w:val="21"/>
                      <w:highlight w:val="none"/>
                    </w:rPr>
                    <w:t>用于员工</w:t>
                  </w:r>
                  <w:r>
                    <w:rPr>
                      <w:rFonts w:hint="eastAsia"/>
                      <w:color w:val="000000" w:themeColor="text1"/>
                      <w:sz w:val="21"/>
                      <w:szCs w:val="21"/>
                      <w:highlight w:val="none"/>
                      <w:lang w:val="en-US" w:eastAsia="zh-CN"/>
                    </w:rPr>
                    <w:t>日常办公生活</w:t>
                  </w:r>
                </w:p>
              </w:tc>
              <w:tc>
                <w:tcPr>
                  <w:tcW w:w="1061" w:type="pct"/>
                  <w:noWrap w:val="0"/>
                  <w:vAlign w:val="center"/>
                </w:tcPr>
                <w:p w14:paraId="59D9891A">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2D76B9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8" w:type="pct"/>
                  <w:vMerge w:val="continue"/>
                  <w:noWrap w:val="0"/>
                  <w:vAlign w:val="center"/>
                </w:tcPr>
                <w:p w14:paraId="458D5B86">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877" w:type="pct"/>
                  <w:noWrap w:val="0"/>
                  <w:vAlign w:val="center"/>
                </w:tcPr>
                <w:p w14:paraId="185C379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供水</w:t>
                  </w:r>
                </w:p>
              </w:tc>
              <w:tc>
                <w:tcPr>
                  <w:tcW w:w="2463" w:type="pct"/>
                  <w:noWrap w:val="0"/>
                  <w:vAlign w:val="center"/>
                </w:tcPr>
                <w:p w14:paraId="651CE392">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园区供水</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年用水量4500t/a</w:t>
                  </w:r>
                </w:p>
              </w:tc>
              <w:tc>
                <w:tcPr>
                  <w:tcW w:w="1061" w:type="pct"/>
                  <w:noWrap w:val="0"/>
                  <w:vAlign w:val="center"/>
                </w:tcPr>
                <w:p w14:paraId="44B4C09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53D34F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8" w:type="pct"/>
                  <w:vMerge w:val="continue"/>
                  <w:noWrap w:val="0"/>
                  <w:vAlign w:val="center"/>
                </w:tcPr>
                <w:p w14:paraId="5713577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p>
              </w:tc>
              <w:tc>
                <w:tcPr>
                  <w:tcW w:w="877" w:type="pct"/>
                  <w:noWrap w:val="0"/>
                  <w:vAlign w:val="center"/>
                </w:tcPr>
                <w:p w14:paraId="1EE82A2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供电</w:t>
                  </w:r>
                </w:p>
              </w:tc>
              <w:tc>
                <w:tcPr>
                  <w:tcW w:w="2463" w:type="pct"/>
                  <w:noWrap w:val="0"/>
                  <w:vAlign w:val="center"/>
                </w:tcPr>
                <w:p w14:paraId="20E70E70">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园区供电</w:t>
                  </w:r>
                  <w:r>
                    <w:rPr>
                      <w:rFonts w:hint="eastAsia"/>
                      <w:color w:val="000000" w:themeColor="text1"/>
                      <w:sz w:val="21"/>
                      <w:szCs w:val="21"/>
                      <w:highlight w:val="none"/>
                      <w:lang w:eastAsia="zh-CN"/>
                    </w:rPr>
                    <w:t>，</w:t>
                  </w:r>
                  <w:r>
                    <w:rPr>
                      <w:rFonts w:hint="eastAsia"/>
                      <w:color w:val="000000" w:themeColor="text1"/>
                      <w:sz w:val="21"/>
                      <w:szCs w:val="21"/>
                      <w:highlight w:val="none"/>
                      <w:lang w:val="en-US" w:eastAsia="zh-CN"/>
                    </w:rPr>
                    <w:t>年用电量155万度</w:t>
                  </w:r>
                </w:p>
              </w:tc>
              <w:tc>
                <w:tcPr>
                  <w:tcW w:w="1061" w:type="pct"/>
                  <w:noWrap w:val="0"/>
                  <w:vAlign w:val="center"/>
                </w:tcPr>
                <w:p w14:paraId="0356CC2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5C2F07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8" w:type="pct"/>
                  <w:vMerge w:val="restart"/>
                  <w:noWrap w:val="0"/>
                  <w:vAlign w:val="center"/>
                </w:tcPr>
                <w:p w14:paraId="6847BF1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环保工程</w:t>
                  </w:r>
                </w:p>
              </w:tc>
              <w:tc>
                <w:tcPr>
                  <w:tcW w:w="877" w:type="pct"/>
                  <w:noWrap w:val="0"/>
                  <w:vAlign w:val="center"/>
                </w:tcPr>
                <w:p w14:paraId="6B2C048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废气</w:t>
                  </w:r>
                </w:p>
              </w:tc>
              <w:tc>
                <w:tcPr>
                  <w:tcW w:w="2463" w:type="pct"/>
                  <w:noWrap w:val="0"/>
                  <w:vAlign w:val="center"/>
                </w:tcPr>
                <w:p w14:paraId="67B503B9">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布袋除尘+20m排气筒（DA001）</w:t>
                  </w:r>
                </w:p>
              </w:tc>
              <w:tc>
                <w:tcPr>
                  <w:tcW w:w="1061" w:type="pct"/>
                  <w:noWrap w:val="0"/>
                  <w:vAlign w:val="center"/>
                </w:tcPr>
                <w:p w14:paraId="4AF04363">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2ADE1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598" w:type="pct"/>
                  <w:vMerge w:val="continue"/>
                  <w:noWrap w:val="0"/>
                  <w:vAlign w:val="center"/>
                </w:tcPr>
                <w:p w14:paraId="4BE5FC0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877" w:type="pct"/>
                  <w:noWrap w:val="0"/>
                  <w:vAlign w:val="center"/>
                </w:tcPr>
                <w:p w14:paraId="10C43301">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废水</w:t>
                  </w:r>
                </w:p>
              </w:tc>
              <w:tc>
                <w:tcPr>
                  <w:tcW w:w="2463" w:type="pct"/>
                  <w:noWrap w:val="0"/>
                  <w:vAlign w:val="center"/>
                </w:tcPr>
                <w:p w14:paraId="48511CBC">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rPr>
                    <w:t>生活污水经厂内化粪池预处理后接入园区污水管网，最终排入</w:t>
                  </w:r>
                  <w:r>
                    <w:rPr>
                      <w:rFonts w:hint="eastAsia"/>
                      <w:color w:val="000000" w:themeColor="text1"/>
                      <w:sz w:val="21"/>
                      <w:szCs w:val="21"/>
                      <w:highlight w:val="none"/>
                      <w:lang w:val="en-US" w:eastAsia="zh-CN"/>
                    </w:rPr>
                    <w:t>赤湖工业园</w:t>
                  </w:r>
                  <w:r>
                    <w:rPr>
                      <w:rFonts w:hint="eastAsia"/>
                      <w:color w:val="000000" w:themeColor="text1"/>
                      <w:sz w:val="21"/>
                      <w:szCs w:val="21"/>
                      <w:highlight w:val="none"/>
                    </w:rPr>
                    <w:t>污水处理厂深度处理</w:t>
                  </w:r>
                </w:p>
              </w:tc>
              <w:tc>
                <w:tcPr>
                  <w:tcW w:w="1061" w:type="pct"/>
                  <w:noWrap w:val="0"/>
                  <w:vAlign w:val="center"/>
                </w:tcPr>
                <w:p w14:paraId="43CBD37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6848E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98" w:type="pct"/>
                  <w:vMerge w:val="continue"/>
                  <w:noWrap w:val="0"/>
                  <w:vAlign w:val="center"/>
                </w:tcPr>
                <w:p w14:paraId="58E09A11">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877" w:type="pct"/>
                  <w:tcBorders>
                    <w:right w:val="single" w:color="000000" w:sz="4" w:space="0"/>
                  </w:tcBorders>
                  <w:noWrap w:val="0"/>
                  <w:vAlign w:val="center"/>
                </w:tcPr>
                <w:p w14:paraId="3A66306E">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噪声</w:t>
                  </w:r>
                </w:p>
              </w:tc>
              <w:tc>
                <w:tcPr>
                  <w:tcW w:w="2463" w:type="pct"/>
                  <w:tcBorders>
                    <w:left w:val="single" w:color="000000" w:sz="4" w:space="0"/>
                  </w:tcBorders>
                  <w:noWrap w:val="0"/>
                  <w:vAlign w:val="center"/>
                </w:tcPr>
                <w:p w14:paraId="703E6C5B">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eastAsia"/>
                      <w:color w:val="000000" w:themeColor="text1"/>
                      <w:sz w:val="21"/>
                      <w:szCs w:val="21"/>
                      <w:highlight w:val="none"/>
                    </w:rPr>
                  </w:pPr>
                  <w:r>
                    <w:rPr>
                      <w:rFonts w:hint="eastAsia"/>
                      <w:color w:val="000000" w:themeColor="text1"/>
                      <w:sz w:val="21"/>
                      <w:szCs w:val="21"/>
                      <w:highlight w:val="none"/>
                    </w:rPr>
                    <w:t>隔声、减振</w:t>
                  </w:r>
                </w:p>
              </w:tc>
              <w:tc>
                <w:tcPr>
                  <w:tcW w:w="1061" w:type="pct"/>
                  <w:tcBorders>
                    <w:left w:val="single" w:color="000000" w:sz="4" w:space="0"/>
                  </w:tcBorders>
                  <w:noWrap w:val="0"/>
                  <w:vAlign w:val="center"/>
                </w:tcPr>
                <w:p w14:paraId="5C2F068B">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r w14:paraId="03D6F5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598" w:type="pct"/>
                  <w:vMerge w:val="continue"/>
                  <w:noWrap w:val="0"/>
                  <w:vAlign w:val="center"/>
                </w:tcPr>
                <w:p w14:paraId="37532B8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000000" w:themeColor="text1"/>
                      <w:sz w:val="21"/>
                      <w:szCs w:val="21"/>
                      <w:highlight w:val="none"/>
                    </w:rPr>
                  </w:pPr>
                </w:p>
              </w:tc>
              <w:tc>
                <w:tcPr>
                  <w:tcW w:w="877" w:type="pct"/>
                  <w:tcBorders>
                    <w:right w:val="single" w:color="000000" w:sz="4" w:space="0"/>
                  </w:tcBorders>
                  <w:noWrap w:val="0"/>
                  <w:vAlign w:val="center"/>
                </w:tcPr>
                <w:p w14:paraId="31FB226D">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color w:val="000000" w:themeColor="text1"/>
                      <w:sz w:val="21"/>
                      <w:szCs w:val="21"/>
                      <w:highlight w:val="none"/>
                    </w:rPr>
                  </w:pPr>
                  <w:r>
                    <w:rPr>
                      <w:rFonts w:hint="eastAsia"/>
                      <w:color w:val="000000" w:themeColor="text1"/>
                      <w:sz w:val="21"/>
                      <w:szCs w:val="21"/>
                      <w:highlight w:val="none"/>
                    </w:rPr>
                    <w:t>固废</w:t>
                  </w:r>
                </w:p>
              </w:tc>
              <w:tc>
                <w:tcPr>
                  <w:tcW w:w="2463" w:type="pct"/>
                  <w:tcBorders>
                    <w:left w:val="single" w:color="auto" w:sz="4" w:space="0"/>
                  </w:tcBorders>
                  <w:noWrap w:val="0"/>
                  <w:vAlign w:val="center"/>
                </w:tcPr>
                <w:p w14:paraId="3ADCA063">
                  <w:pPr>
                    <w:pStyle w:val="84"/>
                    <w:keepNext w:val="0"/>
                    <w:keepLines w:val="0"/>
                    <w:pageBreakBefore w:val="0"/>
                    <w:tabs>
                      <w:tab w:val="left" w:pos="3345"/>
                      <w:tab w:val="clear" w:pos="0"/>
                    </w:tabs>
                    <w:kinsoku/>
                    <w:wordWrap/>
                    <w:overflowPunct/>
                    <w:topLinePunct w:val="0"/>
                    <w:autoSpaceDE/>
                    <w:autoSpaceDN/>
                    <w:bidi w:val="0"/>
                    <w:spacing w:line="240" w:lineRule="auto"/>
                    <w:ind w:firstLine="0" w:firstLineChars="0"/>
                    <w:textAlignment w:val="auto"/>
                    <w:rPr>
                      <w:rFonts w:hint="default"/>
                      <w:color w:val="000000" w:themeColor="text1"/>
                      <w:sz w:val="21"/>
                      <w:szCs w:val="21"/>
                      <w:highlight w:val="none"/>
                      <w:lang w:val="en-US"/>
                    </w:rPr>
                  </w:pPr>
                  <w:r>
                    <w:rPr>
                      <w:rFonts w:hint="eastAsia" w:ascii="Times New Roman" w:hAnsi="Times New Roman" w:eastAsia="宋体" w:cs="Times New Roman"/>
                      <w:color w:val="000000" w:themeColor="text1"/>
                      <w:sz w:val="21"/>
                      <w:szCs w:val="21"/>
                      <w:highlight w:val="none"/>
                    </w:rPr>
                    <w:t>分类收集、分类堆放</w:t>
                  </w:r>
                  <w:r>
                    <w:rPr>
                      <w:rFonts w:hint="eastAsia" w:ascii="Times New Roman" w:hAnsi="Times New Roman" w:eastAsia="宋体" w:cs="Times New Roman"/>
                      <w:color w:val="000000" w:themeColor="text1"/>
                      <w:sz w:val="21"/>
                      <w:szCs w:val="21"/>
                      <w:highlight w:val="none"/>
                      <w:lang w:eastAsia="zh-CN"/>
                    </w:rPr>
                    <w:t>，</w:t>
                  </w:r>
                  <w:r>
                    <w:rPr>
                      <w:rFonts w:hint="eastAsia" w:ascii="Times New Roman" w:hAnsi="Times New Roman" w:eastAsia="宋体" w:cs="Times New Roman"/>
                      <w:color w:val="000000" w:themeColor="text1"/>
                      <w:sz w:val="21"/>
                      <w:szCs w:val="21"/>
                      <w:highlight w:val="none"/>
                    </w:rPr>
                    <w:t>一般固废暂存间20m</w:t>
                  </w:r>
                  <w:r>
                    <w:rPr>
                      <w:rFonts w:hint="eastAsia" w:ascii="Times New Roman" w:hAnsi="Times New Roman" w:eastAsia="宋体" w:cs="Times New Roman"/>
                      <w:color w:val="000000" w:themeColor="text1"/>
                      <w:sz w:val="21"/>
                      <w:szCs w:val="21"/>
                      <w:highlight w:val="none"/>
                      <w:vertAlign w:val="superscript"/>
                    </w:rPr>
                    <w:t>2</w:t>
                  </w:r>
                  <w:r>
                    <w:rPr>
                      <w:rFonts w:hint="eastAsia" w:ascii="Times New Roman" w:hAnsi="Times New Roman" w:eastAsia="宋体" w:cs="Times New Roman"/>
                      <w:color w:val="000000" w:themeColor="text1"/>
                      <w:sz w:val="21"/>
                      <w:szCs w:val="21"/>
                      <w:highlight w:val="none"/>
                    </w:rPr>
                    <w:t>，最大储存量20t，位于</w:t>
                  </w:r>
                  <w:r>
                    <w:rPr>
                      <w:rFonts w:hint="eastAsia" w:ascii="Times New Roman" w:hAnsi="Times New Roman" w:eastAsia="宋体" w:cs="Times New Roman"/>
                      <w:color w:val="000000" w:themeColor="text1"/>
                      <w:sz w:val="21"/>
                      <w:szCs w:val="21"/>
                      <w:highlight w:val="none"/>
                      <w:lang w:val="en-US" w:eastAsia="zh-CN"/>
                    </w:rPr>
                    <w:t>仓库西面</w:t>
                  </w:r>
                  <w:r>
                    <w:rPr>
                      <w:rFonts w:hint="eastAsia" w:ascii="Times New Roman" w:hAnsi="Times New Roman" w:eastAsia="宋体" w:cs="Times New Roman"/>
                      <w:color w:val="000000" w:themeColor="text1"/>
                      <w:sz w:val="21"/>
                      <w:szCs w:val="21"/>
                      <w:highlight w:val="none"/>
                      <w:lang w:eastAsia="zh-CN"/>
                    </w:rPr>
                    <w:t>；</w:t>
                  </w:r>
                  <w:r>
                    <w:rPr>
                      <w:rFonts w:hint="eastAsia" w:ascii="Times New Roman" w:hAnsi="Times New Roman" w:eastAsia="宋体" w:cs="Times New Roman"/>
                      <w:color w:val="000000" w:themeColor="text1"/>
                      <w:sz w:val="21"/>
                      <w:szCs w:val="21"/>
                      <w:highlight w:val="none"/>
                      <w:lang w:val="en-US" w:eastAsia="zh-CN"/>
                    </w:rPr>
                    <w:t>现有危废为少量废润滑油，暂存于车间危废托盘，将废润滑油交由江西国孚润滑油工业有限公司处理，日产日清</w:t>
                  </w:r>
                </w:p>
              </w:tc>
              <w:tc>
                <w:tcPr>
                  <w:tcW w:w="1061" w:type="pct"/>
                  <w:tcBorders>
                    <w:left w:val="single" w:color="000000" w:sz="4" w:space="0"/>
                  </w:tcBorders>
                  <w:noWrap w:val="0"/>
                  <w:vAlign w:val="center"/>
                </w:tcPr>
                <w:p w14:paraId="4B21885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rPr>
                  </w:pPr>
                  <w:r>
                    <w:rPr>
                      <w:rFonts w:hint="eastAsia" w:ascii="Times New Roman" w:hAnsi="Times New Roman" w:eastAsia="宋体" w:cs="Times New Roman"/>
                      <w:color w:val="000000" w:themeColor="text1"/>
                      <w:sz w:val="21"/>
                      <w:szCs w:val="21"/>
                      <w:highlight w:val="none"/>
                      <w:lang w:val="en-US" w:eastAsia="zh-CN"/>
                    </w:rPr>
                    <w:t>/</w:t>
                  </w:r>
                </w:p>
              </w:tc>
            </w:tr>
          </w:tbl>
          <w:p w14:paraId="5138E494">
            <w:pPr>
              <w:pStyle w:val="46"/>
              <w:keepNext w:val="0"/>
              <w:keepLines w:val="0"/>
              <w:pageBreakBefore w:val="0"/>
              <w:widowControl/>
              <w:kinsoku/>
              <w:wordWrap/>
              <w:overflowPunct/>
              <w:topLinePunct w:val="0"/>
              <w:autoSpaceDE/>
              <w:autoSpaceDN/>
              <w:bidi w:val="0"/>
              <w:adjustRightInd/>
              <w:snapToGrid/>
              <w:spacing w:before="157" w:beforeLines="50" w:after="0" w:line="240" w:lineRule="auto"/>
              <w:ind w:left="0" w:right="0" w:firstLine="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15</w:t>
            </w:r>
            <w:r>
              <w:rPr>
                <w:rFonts w:hint="default" w:ascii="Times New Roman" w:hAnsi="Times New Roman" w:eastAsia="宋体" w:cs="Times New Roman"/>
                <w:b/>
                <w:color w:val="000000" w:themeColor="text1"/>
                <w:sz w:val="21"/>
                <w:szCs w:val="21"/>
              </w:rPr>
              <w:t xml:space="preserve">  </w:t>
            </w:r>
            <w:r>
              <w:rPr>
                <w:rFonts w:hint="eastAsia" w:ascii="Times New Roman" w:hAnsi="Times New Roman" w:eastAsia="宋体" w:cs="Times New Roman"/>
                <w:b/>
                <w:color w:val="000000" w:themeColor="text1"/>
                <w:sz w:val="21"/>
                <w:szCs w:val="21"/>
                <w:lang w:val="en-US" w:eastAsia="zh-CN"/>
              </w:rPr>
              <w:t>现有</w:t>
            </w:r>
            <w:r>
              <w:rPr>
                <w:rFonts w:hint="default" w:ascii="Times New Roman" w:hAnsi="Times New Roman" w:eastAsia="宋体" w:cs="Times New Roman"/>
                <w:b/>
                <w:color w:val="000000" w:themeColor="text1"/>
                <w:sz w:val="21"/>
                <w:szCs w:val="21"/>
              </w:rPr>
              <w:t>项目主要生产设备一览表</w:t>
            </w:r>
          </w:p>
          <w:tbl>
            <w:tblPr>
              <w:tblStyle w:val="34"/>
              <w:tblW w:w="7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525"/>
              <w:gridCol w:w="2442"/>
              <w:gridCol w:w="1890"/>
            </w:tblGrid>
            <w:tr w14:paraId="19B366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669" w:type="pct"/>
                  <w:vAlign w:val="center"/>
                </w:tcPr>
                <w:p w14:paraId="4D0D38C7">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1594" w:type="pct"/>
                  <w:vAlign w:val="center"/>
                </w:tcPr>
                <w:p w14:paraId="6A4795E2">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设备名称</w:t>
                  </w:r>
                </w:p>
              </w:tc>
              <w:tc>
                <w:tcPr>
                  <w:tcW w:w="1542" w:type="pct"/>
                  <w:vAlign w:val="center"/>
                </w:tcPr>
                <w:p w14:paraId="1F256D62">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cs="Times New Roman"/>
                      <w:b/>
                      <w:bCs/>
                      <w:color w:val="000000" w:themeColor="text1"/>
                      <w:sz w:val="21"/>
                      <w:szCs w:val="21"/>
                      <w:lang w:val="en-US" w:eastAsia="zh-CN"/>
                    </w:rPr>
                  </w:pPr>
                  <w:r>
                    <w:rPr>
                      <w:rFonts w:hint="eastAsia" w:cs="Times New Roman"/>
                      <w:b/>
                      <w:bCs/>
                      <w:color w:val="000000" w:themeColor="text1"/>
                      <w:sz w:val="21"/>
                      <w:szCs w:val="21"/>
                      <w:lang w:val="en-US" w:eastAsia="zh-CN"/>
                    </w:rPr>
                    <w:t>型号</w:t>
                  </w:r>
                </w:p>
              </w:tc>
              <w:tc>
                <w:tcPr>
                  <w:tcW w:w="1193" w:type="pct"/>
                  <w:vAlign w:val="center"/>
                </w:tcPr>
                <w:p w14:paraId="05AB50AB">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eastAsia" w:cs="Times New Roman"/>
                      <w:b/>
                      <w:bCs/>
                      <w:color w:val="000000" w:themeColor="text1"/>
                      <w:sz w:val="21"/>
                      <w:szCs w:val="21"/>
                      <w:lang w:val="en-US" w:eastAsia="zh-CN"/>
                    </w:rPr>
                  </w:pPr>
                  <w:r>
                    <w:rPr>
                      <w:rFonts w:hint="eastAsia" w:cs="Times New Roman"/>
                      <w:b/>
                      <w:bCs/>
                      <w:color w:val="000000" w:themeColor="text1"/>
                      <w:sz w:val="21"/>
                      <w:szCs w:val="21"/>
                      <w:lang w:val="en-US" w:eastAsia="zh-CN"/>
                    </w:rPr>
                    <w:t>数量</w:t>
                  </w:r>
                </w:p>
                <w:p w14:paraId="7E757DF2">
                  <w:pPr>
                    <w:pStyle w:val="84"/>
                    <w:keepNext w:val="0"/>
                    <w:keepLines w:val="0"/>
                    <w:pageBreakBefore w:val="0"/>
                    <w:kinsoku/>
                    <w:wordWrap/>
                    <w:overflowPunct/>
                    <w:topLinePunct w:val="0"/>
                    <w:autoSpaceDE/>
                    <w:autoSpaceDN/>
                    <w:bidi w:val="0"/>
                    <w:spacing w:line="240" w:lineRule="auto"/>
                    <w:ind w:left="0" w:right="0" w:firstLine="0" w:firstLineChars="0"/>
                    <w:textAlignment w:val="auto"/>
                    <w:rPr>
                      <w:rFonts w:hint="default"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（台/套）</w:t>
                  </w:r>
                </w:p>
              </w:tc>
            </w:tr>
            <w:tr w14:paraId="3C5E7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69" w:type="pct"/>
                  <w:vAlign w:val="center"/>
                </w:tcPr>
                <w:p w14:paraId="5AB8082B">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594" w:type="pct"/>
                  <w:vAlign w:val="center"/>
                </w:tcPr>
                <w:p w14:paraId="407D318A">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通风机</w:t>
                  </w:r>
                </w:p>
              </w:tc>
              <w:tc>
                <w:tcPr>
                  <w:tcW w:w="1542" w:type="pct"/>
                  <w:vAlign w:val="center"/>
                </w:tcPr>
                <w:p w14:paraId="61136CF6">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Q235带风峰挡板</w:t>
                  </w:r>
                </w:p>
              </w:tc>
              <w:tc>
                <w:tcPr>
                  <w:tcW w:w="1193" w:type="pct"/>
                  <w:vAlign w:val="center"/>
                </w:tcPr>
                <w:p w14:paraId="3EE9FB60">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153CC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Align w:val="center"/>
                </w:tcPr>
                <w:p w14:paraId="2413A0F6">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594" w:type="pct"/>
                  <w:vAlign w:val="center"/>
                </w:tcPr>
                <w:p w14:paraId="13AB7119">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热风炉</w:t>
                  </w:r>
                </w:p>
              </w:tc>
              <w:tc>
                <w:tcPr>
                  <w:tcW w:w="1542" w:type="pct"/>
                  <w:vAlign w:val="center"/>
                </w:tcPr>
                <w:p w14:paraId="4D661464">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400万Kcal/h</w:t>
                  </w:r>
                </w:p>
              </w:tc>
              <w:tc>
                <w:tcPr>
                  <w:tcW w:w="1193" w:type="pct"/>
                  <w:vAlign w:val="center"/>
                </w:tcPr>
                <w:p w14:paraId="76DE91F9">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18E83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Align w:val="center"/>
                </w:tcPr>
                <w:p w14:paraId="7923998D">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594" w:type="pct"/>
                  <w:vAlign w:val="center"/>
                </w:tcPr>
                <w:p w14:paraId="78DD89F8">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吨袋卸料机</w:t>
                  </w:r>
                </w:p>
              </w:tc>
              <w:tc>
                <w:tcPr>
                  <w:tcW w:w="1542" w:type="pct"/>
                  <w:vAlign w:val="center"/>
                </w:tcPr>
                <w:p w14:paraId="2E310D43">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5t</w:t>
                  </w:r>
                </w:p>
              </w:tc>
              <w:tc>
                <w:tcPr>
                  <w:tcW w:w="1193" w:type="pct"/>
                  <w:vAlign w:val="center"/>
                </w:tcPr>
                <w:p w14:paraId="53B6DF5C">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2D21F0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Align w:val="center"/>
                </w:tcPr>
                <w:p w14:paraId="0C4F3C33">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1594" w:type="pct"/>
                  <w:vAlign w:val="center"/>
                </w:tcPr>
                <w:p w14:paraId="76E4F58B">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混料机</w:t>
                  </w:r>
                </w:p>
              </w:tc>
              <w:tc>
                <w:tcPr>
                  <w:tcW w:w="1542" w:type="pct"/>
                  <w:vAlign w:val="center"/>
                </w:tcPr>
                <w:p w14:paraId="5F7FDF68">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DXF-300</w:t>
                  </w:r>
                </w:p>
              </w:tc>
              <w:tc>
                <w:tcPr>
                  <w:tcW w:w="1193" w:type="pct"/>
                  <w:vAlign w:val="center"/>
                </w:tcPr>
                <w:p w14:paraId="7E158348">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56632D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69" w:type="pct"/>
                  <w:vAlign w:val="center"/>
                </w:tcPr>
                <w:p w14:paraId="26B8F4D1">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1594" w:type="pct"/>
                  <w:vAlign w:val="center"/>
                </w:tcPr>
                <w:p w14:paraId="0E603EF1">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闪蒸干燥机（天然气）</w:t>
                  </w:r>
                </w:p>
              </w:tc>
              <w:tc>
                <w:tcPr>
                  <w:tcW w:w="1542" w:type="pct"/>
                  <w:vAlign w:val="center"/>
                </w:tcPr>
                <w:p w14:paraId="3E00599C">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1850型</w:t>
                  </w:r>
                </w:p>
              </w:tc>
              <w:tc>
                <w:tcPr>
                  <w:tcW w:w="1193" w:type="pct"/>
                  <w:vAlign w:val="center"/>
                </w:tcPr>
                <w:p w14:paraId="43BD92C1">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0E737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Align w:val="center"/>
                </w:tcPr>
                <w:p w14:paraId="4B2E7464">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1594" w:type="pct"/>
                  <w:vAlign w:val="center"/>
                </w:tcPr>
                <w:p w14:paraId="21E73F29">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微粉碎机</w:t>
                  </w:r>
                </w:p>
              </w:tc>
              <w:tc>
                <w:tcPr>
                  <w:tcW w:w="1542" w:type="pct"/>
                  <w:vAlign w:val="center"/>
                </w:tcPr>
                <w:p w14:paraId="093B2F4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JCW610-V1</w:t>
                  </w:r>
                </w:p>
              </w:tc>
              <w:tc>
                <w:tcPr>
                  <w:tcW w:w="1193" w:type="pct"/>
                  <w:vAlign w:val="center"/>
                </w:tcPr>
                <w:p w14:paraId="39DBCA28">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r>
            <w:tr w14:paraId="56DCE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pct"/>
                  <w:vAlign w:val="center"/>
                </w:tcPr>
                <w:p w14:paraId="619A7252">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7</w:t>
                  </w:r>
                </w:p>
              </w:tc>
              <w:tc>
                <w:tcPr>
                  <w:tcW w:w="1594" w:type="pct"/>
                  <w:vAlign w:val="center"/>
                </w:tcPr>
                <w:p w14:paraId="4F1FDFC6">
                  <w:pPr>
                    <w:pStyle w:val="55"/>
                    <w:ind w:left="0"/>
                    <w:rPr>
                      <w:rFonts w:hint="default"/>
                      <w:color w:val="000000" w:themeColor="text1"/>
                      <w:lang w:val="en-US" w:eastAsia="zh-CN"/>
                    </w:rPr>
                  </w:pPr>
                  <w:r>
                    <w:rPr>
                      <w:rFonts w:hint="eastAsia"/>
                      <w:color w:val="000000" w:themeColor="text1"/>
                      <w:lang w:val="en-US" w:eastAsia="zh-CN"/>
                    </w:rPr>
                    <w:t>包装机</w:t>
                  </w:r>
                </w:p>
              </w:tc>
              <w:tc>
                <w:tcPr>
                  <w:tcW w:w="1542" w:type="pct"/>
                  <w:vAlign w:val="center"/>
                </w:tcPr>
                <w:p w14:paraId="5AD7037A">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ZX350</w:t>
                  </w:r>
                </w:p>
              </w:tc>
              <w:tc>
                <w:tcPr>
                  <w:tcW w:w="1193" w:type="pct"/>
                  <w:vAlign w:val="center"/>
                </w:tcPr>
                <w:p w14:paraId="4C8B4E01">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r>
            <w:tr w14:paraId="47FF5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69" w:type="pct"/>
                  <w:vAlign w:val="center"/>
                </w:tcPr>
                <w:p w14:paraId="483F7FC7">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w:t>
                  </w:r>
                </w:p>
              </w:tc>
              <w:tc>
                <w:tcPr>
                  <w:tcW w:w="1594" w:type="pct"/>
                  <w:vAlign w:val="center"/>
                </w:tcPr>
                <w:p w14:paraId="19C506D5">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布袋除尘器</w:t>
                  </w:r>
                </w:p>
              </w:tc>
              <w:tc>
                <w:tcPr>
                  <w:tcW w:w="1542" w:type="pct"/>
                  <w:vAlign w:val="center"/>
                </w:tcPr>
                <w:p w14:paraId="6D9467B3">
                  <w:pPr>
                    <w:pStyle w:val="55"/>
                    <w:ind w:left="0"/>
                    <w:rPr>
                      <w:rFonts w:hint="default" w:eastAsia="宋体" w:cs="Times New Roman"/>
                      <w:color w:val="000000" w:themeColor="text1"/>
                      <w:sz w:val="21"/>
                      <w:szCs w:val="21"/>
                      <w:lang w:val="en-US" w:eastAsia="zh-CN"/>
                    </w:rPr>
                  </w:pPr>
                  <w:r>
                    <w:rPr>
                      <w:rFonts w:hint="eastAsia" w:cs="Times New Roman"/>
                      <w:color w:val="000000" w:themeColor="text1"/>
                      <w:sz w:val="21"/>
                      <w:szCs w:val="21"/>
                      <w:lang w:val="en-US" w:eastAsia="zh-CN"/>
                    </w:rPr>
                    <w:t>D-80</w:t>
                  </w:r>
                </w:p>
              </w:tc>
              <w:tc>
                <w:tcPr>
                  <w:tcW w:w="1193" w:type="pct"/>
                  <w:vAlign w:val="center"/>
                </w:tcPr>
                <w:p w14:paraId="21828E5F">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w:t>
                  </w:r>
                </w:p>
              </w:tc>
            </w:tr>
          </w:tbl>
          <w:p w14:paraId="724B9EC0">
            <w:pPr>
              <w:pStyle w:val="46"/>
              <w:keepNext w:val="0"/>
              <w:keepLines w:val="0"/>
              <w:pageBreakBefore w:val="0"/>
              <w:widowControl w:val="0"/>
              <w:kinsoku/>
              <w:wordWrap/>
              <w:overflowPunct/>
              <w:topLinePunct w:val="0"/>
              <w:autoSpaceDE w:val="0"/>
              <w:autoSpaceDN w:val="0"/>
              <w:bidi w:val="0"/>
              <w:adjustRightInd w:val="0"/>
              <w:snapToGrid/>
              <w:spacing w:before="157" w:beforeLines="50" w:after="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w:t>
            </w:r>
            <w:r>
              <w:rPr>
                <w:rFonts w:hint="eastAsia" w:ascii="Times New Roman" w:hAnsi="Times New Roman" w:eastAsia="宋体" w:cs="Times New Roman"/>
                <w:b/>
                <w:color w:val="000000" w:themeColor="text1"/>
                <w:sz w:val="21"/>
                <w:szCs w:val="21"/>
                <w:lang w:val="en-US" w:eastAsia="zh-CN"/>
              </w:rPr>
              <w:t xml:space="preserve">16  </w:t>
            </w:r>
            <w:r>
              <w:rPr>
                <w:rFonts w:hint="default" w:ascii="Times New Roman" w:hAnsi="Times New Roman" w:eastAsia="宋体" w:cs="Times New Roman"/>
                <w:b/>
                <w:color w:val="000000" w:themeColor="text1"/>
                <w:sz w:val="21"/>
                <w:szCs w:val="21"/>
              </w:rPr>
              <w:t xml:space="preserve"> </w:t>
            </w:r>
            <w:r>
              <w:rPr>
                <w:rFonts w:hint="eastAsia" w:ascii="Times New Roman" w:hAnsi="Times New Roman" w:eastAsia="宋体" w:cs="Times New Roman"/>
                <w:b/>
                <w:color w:val="000000" w:themeColor="text1"/>
                <w:sz w:val="21"/>
                <w:szCs w:val="21"/>
                <w:lang w:val="en-US" w:eastAsia="zh-CN"/>
              </w:rPr>
              <w:t>现有</w:t>
            </w:r>
            <w:r>
              <w:rPr>
                <w:rFonts w:hint="default" w:ascii="Times New Roman" w:hAnsi="Times New Roman" w:eastAsia="宋体" w:cs="Times New Roman"/>
                <w:b/>
                <w:color w:val="000000" w:themeColor="text1"/>
                <w:sz w:val="21"/>
                <w:szCs w:val="21"/>
              </w:rPr>
              <w:t>项目原辅材料及能源消耗一览表</w:t>
            </w:r>
          </w:p>
          <w:tbl>
            <w:tblPr>
              <w:tblStyle w:val="33"/>
              <w:tblW w:w="5045" w:type="pct"/>
              <w:jc w:val="center"/>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Layout w:type="fixed"/>
              <w:tblCellMar>
                <w:top w:w="0" w:type="dxa"/>
                <w:left w:w="108" w:type="dxa"/>
                <w:bottom w:w="0" w:type="dxa"/>
                <w:right w:w="108" w:type="dxa"/>
              </w:tblCellMar>
            </w:tblPr>
            <w:tblGrid>
              <w:gridCol w:w="905"/>
              <w:gridCol w:w="1960"/>
              <w:gridCol w:w="1997"/>
              <w:gridCol w:w="2163"/>
              <w:gridCol w:w="1021"/>
            </w:tblGrid>
            <w:tr w14:paraId="552D1100">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568" w:hRule="atLeast"/>
                <w:jc w:val="center"/>
              </w:trPr>
              <w:tc>
                <w:tcPr>
                  <w:tcW w:w="562" w:type="pct"/>
                  <w:tcBorders>
                    <w:top w:val="single" w:color="000000" w:sz="12" w:space="0"/>
                  </w:tcBorders>
                  <w:shd w:val="clear" w:color="auto" w:fill="FFFFFF"/>
                  <w:noWrap w:val="0"/>
                  <w:vAlign w:val="center"/>
                </w:tcPr>
                <w:p w14:paraId="01241361">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序号</w:t>
                  </w:r>
                </w:p>
              </w:tc>
              <w:tc>
                <w:tcPr>
                  <w:tcW w:w="1218" w:type="pct"/>
                  <w:tcBorders>
                    <w:top w:val="single" w:color="000000" w:sz="12" w:space="0"/>
                  </w:tcBorders>
                  <w:shd w:val="clear" w:color="auto" w:fill="FFFFFF"/>
                  <w:noWrap w:val="0"/>
                  <w:vAlign w:val="center"/>
                </w:tcPr>
                <w:p w14:paraId="65C340E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b/>
                      <w:bCs/>
                      <w:color w:val="000000" w:themeColor="text1"/>
                      <w:sz w:val="21"/>
                      <w:szCs w:val="21"/>
                      <w:highlight w:val="none"/>
                    </w:rPr>
                    <w:t>名称</w:t>
                  </w:r>
                </w:p>
              </w:tc>
              <w:tc>
                <w:tcPr>
                  <w:tcW w:w="1241" w:type="pct"/>
                  <w:tcBorders>
                    <w:top w:val="single" w:color="000000" w:sz="12" w:space="0"/>
                  </w:tcBorders>
                  <w:shd w:val="clear" w:color="auto" w:fill="FFFFFF"/>
                  <w:noWrap w:val="0"/>
                  <w:vAlign w:val="center"/>
                </w:tcPr>
                <w:p w14:paraId="40968BFB">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b/>
                      <w:bCs/>
                      <w:color w:val="000000" w:themeColor="text1"/>
                      <w:sz w:val="21"/>
                      <w:szCs w:val="21"/>
                      <w:highlight w:val="none"/>
                      <w:lang w:eastAsia="zh-CN"/>
                    </w:rPr>
                  </w:pPr>
                  <w:r>
                    <w:rPr>
                      <w:rFonts w:hint="eastAsia"/>
                      <w:b/>
                      <w:bCs/>
                      <w:color w:val="000000" w:themeColor="text1"/>
                      <w:sz w:val="21"/>
                      <w:szCs w:val="21"/>
                      <w:highlight w:val="none"/>
                      <w:lang w:val="en-US" w:eastAsia="zh-CN"/>
                    </w:rPr>
                    <w:t>扩建前</w:t>
                  </w:r>
                  <w:r>
                    <w:rPr>
                      <w:rFonts w:hint="eastAsia"/>
                      <w:b/>
                      <w:bCs/>
                      <w:color w:val="000000" w:themeColor="text1"/>
                      <w:sz w:val="21"/>
                      <w:szCs w:val="21"/>
                      <w:highlight w:val="none"/>
                    </w:rPr>
                    <w:t>年耗量</w:t>
                  </w:r>
                  <w:r>
                    <w:rPr>
                      <w:rFonts w:hint="eastAsia"/>
                      <w:b/>
                      <w:bCs/>
                      <w:color w:val="000000" w:themeColor="text1"/>
                      <w:sz w:val="21"/>
                      <w:szCs w:val="21"/>
                      <w:highlight w:val="none"/>
                      <w:lang w:eastAsia="zh-CN"/>
                    </w:rPr>
                    <w:t>（</w:t>
                  </w:r>
                  <w:r>
                    <w:rPr>
                      <w:rFonts w:hint="eastAsia"/>
                      <w:b/>
                      <w:bCs/>
                      <w:color w:val="000000" w:themeColor="text1"/>
                      <w:sz w:val="21"/>
                      <w:szCs w:val="21"/>
                      <w:highlight w:val="none"/>
                      <w:lang w:val="en-US" w:eastAsia="zh-CN"/>
                    </w:rPr>
                    <w:t>t/a</w:t>
                  </w:r>
                  <w:r>
                    <w:rPr>
                      <w:rFonts w:hint="eastAsia"/>
                      <w:b/>
                      <w:bCs/>
                      <w:color w:val="000000" w:themeColor="text1"/>
                      <w:sz w:val="21"/>
                      <w:szCs w:val="21"/>
                      <w:highlight w:val="none"/>
                      <w:lang w:eastAsia="zh-CN"/>
                    </w:rPr>
                    <w:t>）</w:t>
                  </w:r>
                </w:p>
              </w:tc>
              <w:tc>
                <w:tcPr>
                  <w:tcW w:w="1344" w:type="pct"/>
                  <w:tcBorders>
                    <w:top w:val="single" w:color="000000" w:sz="12" w:space="0"/>
                  </w:tcBorders>
                  <w:shd w:val="clear" w:color="auto" w:fill="FFFFFF"/>
                  <w:noWrap w:val="0"/>
                  <w:vAlign w:val="center"/>
                </w:tcPr>
                <w:p w14:paraId="477734B8">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b/>
                      <w:bCs/>
                      <w:color w:val="000000" w:themeColor="text1"/>
                      <w:sz w:val="21"/>
                      <w:szCs w:val="21"/>
                      <w:highlight w:val="none"/>
                    </w:rPr>
                  </w:pPr>
                  <w:r>
                    <w:rPr>
                      <w:rFonts w:hint="eastAsia"/>
                      <w:b/>
                      <w:bCs/>
                      <w:color w:val="000000" w:themeColor="text1"/>
                      <w:sz w:val="21"/>
                      <w:szCs w:val="21"/>
                      <w:highlight w:val="none"/>
                    </w:rPr>
                    <w:t>贮存</w:t>
                  </w:r>
                  <w:r>
                    <w:rPr>
                      <w:rFonts w:hint="eastAsia"/>
                      <w:b/>
                      <w:bCs/>
                      <w:color w:val="000000" w:themeColor="text1"/>
                      <w:sz w:val="21"/>
                      <w:szCs w:val="21"/>
                      <w:highlight w:val="none"/>
                      <w:lang w:val="en-US" w:eastAsia="zh-CN"/>
                    </w:rPr>
                    <w:t>及</w:t>
                  </w:r>
                  <w:r>
                    <w:rPr>
                      <w:rFonts w:hint="eastAsia"/>
                      <w:b/>
                      <w:bCs/>
                      <w:color w:val="000000" w:themeColor="text1"/>
                      <w:sz w:val="21"/>
                      <w:szCs w:val="21"/>
                      <w:highlight w:val="none"/>
                    </w:rPr>
                    <w:t>包装方式</w:t>
                  </w:r>
                </w:p>
              </w:tc>
              <w:tc>
                <w:tcPr>
                  <w:tcW w:w="634" w:type="pct"/>
                  <w:tcBorders>
                    <w:top w:val="single" w:color="000000" w:sz="12" w:space="0"/>
                  </w:tcBorders>
                  <w:noWrap w:val="0"/>
                  <w:vAlign w:val="center"/>
                </w:tcPr>
                <w:p w14:paraId="0A8A26F6">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b/>
                      <w:bCs/>
                      <w:color w:val="000000" w:themeColor="text1"/>
                      <w:sz w:val="21"/>
                      <w:szCs w:val="21"/>
                      <w:highlight w:val="none"/>
                      <w:lang w:val="en-US" w:eastAsia="zh-CN"/>
                    </w:rPr>
                  </w:pPr>
                  <w:r>
                    <w:rPr>
                      <w:rFonts w:hint="eastAsia"/>
                      <w:b/>
                      <w:bCs/>
                      <w:color w:val="000000" w:themeColor="text1"/>
                      <w:sz w:val="21"/>
                      <w:szCs w:val="21"/>
                      <w:highlight w:val="none"/>
                      <w:lang w:val="en-US" w:eastAsia="zh-CN"/>
                    </w:rPr>
                    <w:t>备注</w:t>
                  </w:r>
                </w:p>
              </w:tc>
            </w:tr>
            <w:tr w14:paraId="7945E88F">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559" w:hRule="atLeast"/>
                <w:jc w:val="center"/>
              </w:trPr>
              <w:tc>
                <w:tcPr>
                  <w:tcW w:w="562" w:type="pct"/>
                  <w:shd w:val="clear" w:color="auto" w:fill="FFFFFF"/>
                  <w:noWrap w:val="0"/>
                  <w:vAlign w:val="center"/>
                </w:tcPr>
                <w:p w14:paraId="7FB577A2">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1</w:t>
                  </w:r>
                </w:p>
              </w:tc>
              <w:tc>
                <w:tcPr>
                  <w:tcW w:w="1218" w:type="pct"/>
                  <w:shd w:val="clear" w:color="auto" w:fill="FFFFFF"/>
                  <w:noWrap w:val="0"/>
                  <w:vAlign w:val="center"/>
                </w:tcPr>
                <w:p w14:paraId="4BD6989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炭黑（含水率50%）</w:t>
                  </w:r>
                </w:p>
              </w:tc>
              <w:tc>
                <w:tcPr>
                  <w:tcW w:w="1241" w:type="pct"/>
                  <w:shd w:val="clear" w:color="auto" w:fill="FFFFFF"/>
                  <w:noWrap w:val="0"/>
                  <w:vAlign w:val="center"/>
                </w:tcPr>
                <w:p w14:paraId="247A70C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9980</w:t>
                  </w:r>
                </w:p>
              </w:tc>
              <w:tc>
                <w:tcPr>
                  <w:tcW w:w="1344" w:type="pct"/>
                  <w:shd w:val="clear" w:color="auto" w:fill="FFFFFF"/>
                  <w:noWrap w:val="0"/>
                  <w:vAlign w:val="center"/>
                </w:tcPr>
                <w:p w14:paraId="02431779">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原料仓库（3#厂房）袋装堆存</w:t>
                  </w:r>
                </w:p>
              </w:tc>
              <w:tc>
                <w:tcPr>
                  <w:tcW w:w="634" w:type="pct"/>
                  <w:noWrap w:val="0"/>
                  <w:vAlign w:val="center"/>
                </w:tcPr>
                <w:p w14:paraId="466CCF88">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3098719B">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559" w:hRule="atLeast"/>
                <w:jc w:val="center"/>
              </w:trPr>
              <w:tc>
                <w:tcPr>
                  <w:tcW w:w="562" w:type="pct"/>
                  <w:shd w:val="clear" w:color="auto" w:fill="FFFFFF"/>
                  <w:noWrap w:val="0"/>
                  <w:vAlign w:val="center"/>
                </w:tcPr>
                <w:p w14:paraId="1C8F919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2</w:t>
                  </w:r>
                </w:p>
              </w:tc>
              <w:tc>
                <w:tcPr>
                  <w:tcW w:w="1218" w:type="pct"/>
                  <w:shd w:val="clear" w:color="auto" w:fill="FFFFFF"/>
                  <w:noWrap w:val="0"/>
                  <w:vAlign w:val="center"/>
                </w:tcPr>
                <w:p w14:paraId="6C16725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氯化钠</w:t>
                  </w:r>
                </w:p>
              </w:tc>
              <w:tc>
                <w:tcPr>
                  <w:tcW w:w="1241" w:type="pct"/>
                  <w:shd w:val="clear" w:color="auto" w:fill="FFFFFF"/>
                  <w:noWrap w:val="0"/>
                  <w:vAlign w:val="center"/>
                </w:tcPr>
                <w:p w14:paraId="7CFD4665">
                  <w:pPr>
                    <w:keepNext w:val="0"/>
                    <w:keepLines w:val="0"/>
                    <w:pageBreakBefore w:val="0"/>
                    <w:widowControl w:val="0"/>
                    <w:tabs>
                      <w:tab w:val="left" w:pos="402"/>
                    </w:tabs>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504</w:t>
                  </w:r>
                </w:p>
              </w:tc>
              <w:tc>
                <w:tcPr>
                  <w:tcW w:w="1344" w:type="pct"/>
                  <w:shd w:val="clear" w:color="auto" w:fill="FFFFFF"/>
                  <w:noWrap w:val="0"/>
                  <w:vAlign w:val="center"/>
                </w:tcPr>
                <w:p w14:paraId="793E9F5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rFonts w:hint="eastAsia"/>
                      <w:color w:val="000000" w:themeColor="text1"/>
                      <w:sz w:val="21"/>
                      <w:szCs w:val="21"/>
                      <w:highlight w:val="none"/>
                      <w:lang w:val="en-US" w:eastAsia="zh-CN"/>
                    </w:rPr>
                    <w:t>原料仓库（3#厂房）袋装堆存</w:t>
                  </w:r>
                </w:p>
              </w:tc>
              <w:tc>
                <w:tcPr>
                  <w:tcW w:w="634" w:type="pct"/>
                  <w:noWrap w:val="0"/>
                  <w:vAlign w:val="center"/>
                </w:tcPr>
                <w:p w14:paraId="41345830">
                  <w:pPr>
                    <w:pStyle w:val="160"/>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48DC4957">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559" w:hRule="atLeast"/>
                <w:jc w:val="center"/>
              </w:trPr>
              <w:tc>
                <w:tcPr>
                  <w:tcW w:w="562" w:type="pct"/>
                  <w:noWrap w:val="0"/>
                  <w:vAlign w:val="center"/>
                </w:tcPr>
                <w:p w14:paraId="38E9EE6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3</w:t>
                  </w:r>
                </w:p>
              </w:tc>
              <w:tc>
                <w:tcPr>
                  <w:tcW w:w="1218" w:type="pct"/>
                  <w:noWrap w:val="0"/>
                  <w:vAlign w:val="center"/>
                </w:tcPr>
                <w:p w14:paraId="7DFF535A">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机油</w:t>
                  </w:r>
                </w:p>
              </w:tc>
              <w:tc>
                <w:tcPr>
                  <w:tcW w:w="1241" w:type="pct"/>
                  <w:noWrap w:val="0"/>
                  <w:vAlign w:val="center"/>
                </w:tcPr>
                <w:p w14:paraId="089F627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0.5t</w:t>
                  </w:r>
                </w:p>
              </w:tc>
              <w:tc>
                <w:tcPr>
                  <w:tcW w:w="1344" w:type="pct"/>
                  <w:noWrap w:val="0"/>
                  <w:vAlign w:val="center"/>
                </w:tcPr>
                <w:p w14:paraId="58FE80B7">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rPr>
                  </w:pPr>
                  <w:r>
                    <w:rPr>
                      <w:rFonts w:hint="eastAsia"/>
                      <w:color w:val="000000" w:themeColor="text1"/>
                      <w:sz w:val="21"/>
                      <w:szCs w:val="21"/>
                      <w:highlight w:val="none"/>
                      <w:lang w:val="en-US" w:eastAsia="zh-CN"/>
                    </w:rPr>
                    <w:t>原料仓库，桶装，50kg/桶</w:t>
                  </w:r>
                </w:p>
              </w:tc>
              <w:tc>
                <w:tcPr>
                  <w:tcW w:w="634" w:type="pct"/>
                  <w:noWrap w:val="0"/>
                  <w:vAlign w:val="center"/>
                </w:tcPr>
                <w:p w14:paraId="36A0BBD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44A90361">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13" w:hRule="atLeast"/>
                <w:jc w:val="center"/>
              </w:trPr>
              <w:tc>
                <w:tcPr>
                  <w:tcW w:w="562" w:type="pct"/>
                  <w:noWrap w:val="0"/>
                  <w:vAlign w:val="center"/>
                </w:tcPr>
                <w:p w14:paraId="31F02211">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4</w:t>
                  </w:r>
                </w:p>
              </w:tc>
              <w:tc>
                <w:tcPr>
                  <w:tcW w:w="1218" w:type="pct"/>
                  <w:noWrap w:val="0"/>
                  <w:vAlign w:val="center"/>
                </w:tcPr>
                <w:p w14:paraId="679969D3">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水</w:t>
                  </w:r>
                </w:p>
              </w:tc>
              <w:tc>
                <w:tcPr>
                  <w:tcW w:w="1241" w:type="pct"/>
                  <w:noWrap w:val="0"/>
                  <w:vAlign w:val="center"/>
                </w:tcPr>
                <w:p w14:paraId="5EC59548">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rPr>
                  </w:pPr>
                  <w:r>
                    <w:rPr>
                      <w:rFonts w:hint="eastAsia"/>
                      <w:color w:val="000000" w:themeColor="text1"/>
                      <w:sz w:val="21"/>
                      <w:szCs w:val="21"/>
                      <w:highlight w:val="none"/>
                      <w:lang w:val="en-US" w:eastAsia="zh-CN"/>
                    </w:rPr>
                    <w:t>4500</w:t>
                  </w:r>
                </w:p>
              </w:tc>
              <w:tc>
                <w:tcPr>
                  <w:tcW w:w="1344" w:type="pct"/>
                  <w:noWrap w:val="0"/>
                  <w:vAlign w:val="center"/>
                </w:tcPr>
                <w:p w14:paraId="6DCC423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园区水网供应</w:t>
                  </w:r>
                </w:p>
              </w:tc>
              <w:tc>
                <w:tcPr>
                  <w:tcW w:w="634" w:type="pct"/>
                  <w:noWrap w:val="0"/>
                  <w:vAlign w:val="center"/>
                </w:tcPr>
                <w:p w14:paraId="38FE39A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7998CE92">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43" w:hRule="atLeast"/>
                <w:jc w:val="center"/>
              </w:trPr>
              <w:tc>
                <w:tcPr>
                  <w:tcW w:w="562" w:type="pct"/>
                  <w:noWrap w:val="0"/>
                  <w:vAlign w:val="center"/>
                </w:tcPr>
                <w:p w14:paraId="3340782C">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5</w:t>
                  </w:r>
                </w:p>
              </w:tc>
              <w:tc>
                <w:tcPr>
                  <w:tcW w:w="1218" w:type="pct"/>
                  <w:noWrap w:val="0"/>
                  <w:vAlign w:val="center"/>
                </w:tcPr>
                <w:p w14:paraId="275E4586">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color w:val="000000" w:themeColor="text1"/>
                      <w:sz w:val="21"/>
                      <w:szCs w:val="21"/>
                      <w:highlight w:val="none"/>
                    </w:rPr>
                  </w:pPr>
                  <w:r>
                    <w:rPr>
                      <w:color w:val="000000" w:themeColor="text1"/>
                      <w:sz w:val="21"/>
                      <w:szCs w:val="21"/>
                      <w:highlight w:val="none"/>
                    </w:rPr>
                    <w:t>电</w:t>
                  </w:r>
                </w:p>
              </w:tc>
              <w:tc>
                <w:tcPr>
                  <w:tcW w:w="1241" w:type="pct"/>
                  <w:noWrap w:val="0"/>
                  <w:vAlign w:val="center"/>
                </w:tcPr>
                <w:p w14:paraId="1C12952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155</w:t>
                  </w:r>
                  <w:r>
                    <w:rPr>
                      <w:rFonts w:hint="eastAsia"/>
                      <w:color w:val="000000" w:themeColor="text1"/>
                      <w:sz w:val="21"/>
                      <w:szCs w:val="21"/>
                      <w:highlight w:val="none"/>
                    </w:rPr>
                    <w:t>万</w:t>
                  </w:r>
                  <w:r>
                    <w:rPr>
                      <w:rFonts w:hint="eastAsia"/>
                      <w:color w:val="000000" w:themeColor="text1"/>
                      <w:sz w:val="21"/>
                      <w:szCs w:val="21"/>
                      <w:highlight w:val="none"/>
                      <w:lang w:val="en-US" w:eastAsia="zh-CN"/>
                    </w:rPr>
                    <w:t>度</w:t>
                  </w:r>
                </w:p>
              </w:tc>
              <w:tc>
                <w:tcPr>
                  <w:tcW w:w="1344" w:type="pct"/>
                  <w:noWrap w:val="0"/>
                  <w:vAlign w:val="center"/>
                </w:tcPr>
                <w:p w14:paraId="1037E079">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园区电网供应</w:t>
                  </w:r>
                </w:p>
              </w:tc>
              <w:tc>
                <w:tcPr>
                  <w:tcW w:w="634" w:type="pct"/>
                  <w:noWrap w:val="0"/>
                  <w:vAlign w:val="center"/>
                </w:tcPr>
                <w:p w14:paraId="7CC134AD">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r w14:paraId="03D8ABAB">
              <w:tblPrEx>
                <w:tblBorders>
                  <w:top w:val="thinThickSmallGap" w:color="000000" w:sz="12" w:space="0"/>
                  <w:left w:val="none" w:color="auto" w:sz="0" w:space="0"/>
                  <w:bottom w:val="thinThickSmallGap" w:color="000000" w:sz="12" w:space="0"/>
                  <w:right w:val="none" w:color="auto" w:sz="0" w:space="0"/>
                  <w:insideH w:val="single" w:color="000000" w:sz="8" w:space="0"/>
                  <w:insideV w:val="single" w:color="000000" w:sz="4" w:space="0"/>
                </w:tblBorders>
                <w:tblCellMar>
                  <w:top w:w="0" w:type="dxa"/>
                  <w:left w:w="108" w:type="dxa"/>
                  <w:bottom w:w="0" w:type="dxa"/>
                  <w:right w:w="108" w:type="dxa"/>
                </w:tblCellMar>
              </w:tblPrEx>
              <w:trPr>
                <w:trHeight w:val="443" w:hRule="atLeast"/>
                <w:jc w:val="center"/>
              </w:trPr>
              <w:tc>
                <w:tcPr>
                  <w:tcW w:w="562" w:type="pct"/>
                  <w:tcBorders>
                    <w:bottom w:val="single" w:color="000000" w:sz="12" w:space="0"/>
                  </w:tcBorders>
                  <w:noWrap w:val="0"/>
                  <w:vAlign w:val="center"/>
                </w:tcPr>
                <w:p w14:paraId="1FCB20C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6</w:t>
                  </w:r>
                </w:p>
              </w:tc>
              <w:tc>
                <w:tcPr>
                  <w:tcW w:w="1218" w:type="pct"/>
                  <w:tcBorders>
                    <w:bottom w:val="single" w:color="000000" w:sz="12" w:space="0"/>
                  </w:tcBorders>
                  <w:noWrap w:val="0"/>
                  <w:vAlign w:val="center"/>
                </w:tcPr>
                <w:p w14:paraId="66F4F895">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eastAsia="宋体"/>
                      <w:color w:val="000000" w:themeColor="text1"/>
                      <w:sz w:val="21"/>
                      <w:szCs w:val="21"/>
                      <w:highlight w:val="none"/>
                      <w:lang w:val="en-US" w:eastAsia="zh-CN"/>
                    </w:rPr>
                  </w:pPr>
                  <w:r>
                    <w:rPr>
                      <w:rFonts w:hint="eastAsia"/>
                      <w:color w:val="000000" w:themeColor="text1"/>
                      <w:sz w:val="21"/>
                      <w:szCs w:val="21"/>
                      <w:highlight w:val="none"/>
                      <w:lang w:val="en-US" w:eastAsia="zh-CN"/>
                    </w:rPr>
                    <w:t>天然气</w:t>
                  </w:r>
                </w:p>
              </w:tc>
              <w:tc>
                <w:tcPr>
                  <w:tcW w:w="1241" w:type="pct"/>
                  <w:tcBorders>
                    <w:bottom w:val="single" w:color="000000" w:sz="12" w:space="0"/>
                  </w:tcBorders>
                  <w:noWrap w:val="0"/>
                  <w:vAlign w:val="center"/>
                </w:tcPr>
                <w:p w14:paraId="1DBC561F">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32万m</w:t>
                  </w:r>
                  <w:r>
                    <w:rPr>
                      <w:rFonts w:hint="eastAsia"/>
                      <w:color w:val="000000" w:themeColor="text1"/>
                      <w:sz w:val="21"/>
                      <w:szCs w:val="21"/>
                      <w:highlight w:val="none"/>
                      <w:vertAlign w:val="superscript"/>
                      <w:lang w:val="en-US" w:eastAsia="zh-CN"/>
                    </w:rPr>
                    <w:t>3</w:t>
                  </w:r>
                </w:p>
              </w:tc>
              <w:tc>
                <w:tcPr>
                  <w:tcW w:w="1344" w:type="pct"/>
                  <w:tcBorders>
                    <w:bottom w:val="single" w:color="000000" w:sz="12" w:space="0"/>
                  </w:tcBorders>
                  <w:noWrap w:val="0"/>
                  <w:vAlign w:val="center"/>
                </w:tcPr>
                <w:p w14:paraId="3E85BCDE">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eastAsia"/>
                      <w:color w:val="000000" w:themeColor="text1"/>
                      <w:sz w:val="21"/>
                      <w:szCs w:val="21"/>
                      <w:highlight w:val="none"/>
                      <w:lang w:val="en-US" w:eastAsia="zh-CN"/>
                    </w:rPr>
                  </w:pPr>
                  <w:r>
                    <w:rPr>
                      <w:rFonts w:hint="eastAsia"/>
                      <w:color w:val="000000" w:themeColor="text1"/>
                      <w:sz w:val="21"/>
                      <w:szCs w:val="21"/>
                      <w:highlight w:val="none"/>
                      <w:lang w:val="en-US" w:eastAsia="zh-CN"/>
                    </w:rPr>
                    <w:t>园区天然气网供应</w:t>
                  </w:r>
                </w:p>
              </w:tc>
              <w:tc>
                <w:tcPr>
                  <w:tcW w:w="634" w:type="pct"/>
                  <w:tcBorders>
                    <w:bottom w:val="single" w:color="000000" w:sz="12" w:space="0"/>
                  </w:tcBorders>
                  <w:noWrap w:val="0"/>
                  <w:vAlign w:val="center"/>
                </w:tcPr>
                <w:p w14:paraId="156E0A5B">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w:t>
                  </w:r>
                </w:p>
              </w:tc>
            </w:tr>
          </w:tbl>
          <w:p w14:paraId="6C7D43CF">
            <w:pPr>
              <w:pStyle w:val="46"/>
              <w:keepNext w:val="0"/>
              <w:keepLines w:val="0"/>
              <w:pageBreakBefore w:val="0"/>
              <w:widowControl w:val="0"/>
              <w:kinsoku/>
              <w:wordWrap/>
              <w:overflowPunct/>
              <w:topLinePunct w:val="0"/>
              <w:autoSpaceDE w:val="0"/>
              <w:autoSpaceDN w:val="0"/>
              <w:bidi w:val="0"/>
              <w:adjustRightInd w:val="0"/>
              <w:snapToGrid/>
              <w:spacing w:before="157" w:beforeLines="50" w:after="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rPr>
            </w:pPr>
          </w:p>
          <w:p w14:paraId="22F85BDB">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color w:val="000000" w:themeColor="text1"/>
              </w:rPr>
            </w:pPr>
            <w:r>
              <w:rPr>
                <w:color w:val="000000" w:themeColor="text1"/>
              </w:rPr>
              <w:object>
                <v:shape id="_x0000_i1031" o:spt="75" type="#_x0000_t75" style="height:306.2pt;width:250.45pt;" o:ole="t" filled="f" o:preferrelative="t" stroked="f" coordsize="21600,21600">
                  <v:path/>
                  <v:fill on="f" focussize="0,0"/>
                  <v:stroke on="f"/>
                  <v:imagedata r:id="rId29" o:title=""/>
                  <o:lock v:ext="edit" aspectratio="f"/>
                  <w10:wrap type="none"/>
                  <w10:anchorlock/>
                </v:shape>
                <o:OLEObject Type="Embed" ProgID="Visio.Drawing.15" ShapeID="_x0000_i1031" DrawAspect="Content" ObjectID="_1468075731" r:id="rId28">
                  <o:LockedField>false</o:LockedField>
                </o:OLEObject>
              </w:object>
            </w:r>
          </w:p>
          <w:p w14:paraId="26826DDF">
            <w:pPr>
              <w:pStyle w:val="46"/>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color w:val="000000" w:themeColor="text1"/>
                <w:kern w:val="0"/>
                <w:sz w:val="21"/>
                <w:szCs w:val="21"/>
              </w:rPr>
              <w:t>图2-</w:t>
            </w:r>
            <w:r>
              <w:rPr>
                <w:rFonts w:hint="eastAsia" w:ascii="Times New Roman" w:hAnsi="Times New Roman" w:eastAsia="宋体" w:cs="Times New Roman"/>
                <w:b/>
                <w:color w:val="000000" w:themeColor="text1"/>
                <w:kern w:val="0"/>
                <w:sz w:val="21"/>
                <w:szCs w:val="21"/>
                <w:lang w:val="en-US" w:eastAsia="zh-CN"/>
              </w:rPr>
              <w:t>8</w:t>
            </w:r>
            <w:r>
              <w:rPr>
                <w:rFonts w:hint="default" w:ascii="Times New Roman" w:hAnsi="Times New Roman" w:eastAsia="宋体" w:cs="Times New Roman"/>
                <w:b/>
                <w:color w:val="000000" w:themeColor="text1"/>
                <w:kern w:val="0"/>
                <w:sz w:val="21"/>
                <w:szCs w:val="21"/>
              </w:rPr>
              <w:t xml:space="preserve"> 生产工艺流程及产污节点图</w:t>
            </w:r>
          </w:p>
          <w:p w14:paraId="00D12F8B">
            <w:pPr>
              <w:keepNext w:val="0"/>
              <w:keepLines w:val="0"/>
              <w:pageBreakBefore w:val="0"/>
              <w:kinsoku/>
              <w:wordWrap/>
              <w:overflowPunct/>
              <w:topLinePunct w:val="0"/>
              <w:autoSpaceDE/>
              <w:autoSpaceDN/>
              <w:bidi w:val="0"/>
              <w:spacing w:line="360" w:lineRule="auto"/>
              <w:ind w:leftChars="0" w:firstLine="482" w:firstLineChars="20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rPr>
              <w:t>生产工艺简述：</w:t>
            </w:r>
          </w:p>
          <w:p w14:paraId="6E6A2961">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用吨袋包装的碳黑原料与添加剂</w:t>
            </w:r>
            <w:r>
              <w:rPr>
                <w:rFonts w:hint="eastAsia" w:ascii="Times New Roman" w:hAnsi="Times New Roman" w:cs="Times New Roman"/>
                <w:color w:val="000000" w:themeColor="text1"/>
                <w:lang w:val="en-US" w:eastAsia="zh-CN"/>
              </w:rPr>
              <w:t>（</w:t>
            </w:r>
            <w:r>
              <w:rPr>
                <w:rFonts w:hint="default" w:ascii="Times New Roman" w:hAnsi="Times New Roman" w:eastAsia="宋体" w:cs="Times New Roman"/>
                <w:color w:val="000000" w:themeColor="text1"/>
                <w:lang w:val="en-US" w:eastAsia="zh-CN"/>
              </w:rPr>
              <w:t>氯化钠</w:t>
            </w:r>
            <w:r>
              <w:rPr>
                <w:rFonts w:hint="eastAsia" w:ascii="Times New Roman" w:hAnsi="Times New Roman" w:eastAsia="宋体" w:cs="Times New Roman"/>
                <w:color w:val="000000" w:themeColor="text1"/>
                <w:lang w:val="en-US" w:eastAsia="zh-CN"/>
              </w:rPr>
              <w:t>）</w:t>
            </w:r>
            <w:r>
              <w:rPr>
                <w:rFonts w:hint="default" w:ascii="Times New Roman" w:hAnsi="Times New Roman" w:eastAsia="宋体" w:cs="Times New Roman"/>
                <w:color w:val="000000" w:themeColor="text1"/>
                <w:lang w:val="en-US" w:eastAsia="zh-CN"/>
              </w:rPr>
              <w:t>进行混合后通过输送机送往干燥机喂料：热风炉按温度和流量要求向干燥装置提供热风，达到干燥要求的干</w:t>
            </w:r>
            <w:r>
              <w:rPr>
                <w:rFonts w:hint="eastAsia" w:ascii="Times New Roman" w:hAnsi="Times New Roman" w:cs="Times New Roman"/>
                <w:color w:val="000000" w:themeColor="text1"/>
                <w:lang w:val="en-US" w:eastAsia="zh-CN"/>
              </w:rPr>
              <w:t>炭黑</w:t>
            </w:r>
            <w:r>
              <w:rPr>
                <w:rFonts w:hint="default" w:ascii="Times New Roman" w:hAnsi="Times New Roman" w:eastAsia="宋体" w:cs="Times New Roman"/>
                <w:color w:val="000000" w:themeColor="text1"/>
                <w:lang w:val="en-US" w:eastAsia="zh-CN"/>
              </w:rPr>
              <w:t>被热风带向布袋除尘器，布袋除尘器由进风分布通道，滤尘箱，出气通道和脉冲风通道等几部分组成，在滤尘箱里安装了数百条由不锈钢支架支承的滤尘布袋，含尘热风进入滤尘箱后将从布袋的外表面流向布袋的内表面，再由出气通道流出布袋除尘器，由布袋除尘器收集的干</w:t>
            </w:r>
            <w:r>
              <w:rPr>
                <w:rFonts w:hint="eastAsia" w:ascii="Times New Roman" w:hAnsi="Times New Roman" w:cs="Times New Roman"/>
                <w:color w:val="000000" w:themeColor="text1"/>
                <w:lang w:val="en-US" w:eastAsia="zh-CN"/>
              </w:rPr>
              <w:t>炭黑</w:t>
            </w:r>
            <w:r>
              <w:rPr>
                <w:rFonts w:hint="default" w:ascii="Times New Roman" w:hAnsi="Times New Roman" w:eastAsia="宋体" w:cs="Times New Roman"/>
                <w:color w:val="000000" w:themeColor="text1"/>
                <w:lang w:val="en-US" w:eastAsia="zh-CN"/>
              </w:rPr>
              <w:t>经再次粉碎后送往第二布袋除尘器，第二布袋除尘器收集的成品碳黑经输送机输送到包装机料斗，由包装机装袋后送仓库储存。</w:t>
            </w:r>
          </w:p>
          <w:p w14:paraId="60C9D048">
            <w:pPr>
              <w:autoSpaceDE w:val="0"/>
              <w:autoSpaceDN w:val="0"/>
              <w:adjustRightInd w:val="0"/>
              <w:spacing w:line="360" w:lineRule="auto"/>
              <w:ind w:firstLine="480" w:firstLineChars="200"/>
              <w:jc w:val="left"/>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lang w:val="en-US" w:eastAsia="zh-CN"/>
              </w:rPr>
              <w:t>根据《</w:t>
            </w:r>
            <w:r>
              <w:rPr>
                <w:rFonts w:hint="eastAsia" w:ascii="Times New Roman" w:hAnsi="Times New Roman" w:eastAsia="宋体" w:cs="Times New Roman"/>
                <w:color w:val="000000" w:themeColor="text1"/>
                <w:sz w:val="24"/>
              </w:rPr>
              <w:t>江西雷亚特导电炭黑有限公司年产5000吨导电炭黑项目</w:t>
            </w:r>
            <w:r>
              <w:rPr>
                <w:rFonts w:hint="eastAsia" w:ascii="Times New Roman" w:hAnsi="Times New Roman" w:eastAsia="宋体" w:cs="Times New Roman"/>
                <w:color w:val="000000" w:themeColor="text1"/>
                <w:sz w:val="24"/>
                <w:lang w:val="en-US" w:eastAsia="zh-CN"/>
              </w:rPr>
              <w:t>竣工环境保护验收监测报告表》，现有</w:t>
            </w:r>
            <w:r>
              <w:rPr>
                <w:rFonts w:hint="eastAsia" w:ascii="Times New Roman" w:hAnsi="Times New Roman" w:eastAsia="宋体" w:cs="Times New Roman"/>
                <w:color w:val="000000" w:themeColor="text1"/>
                <w:sz w:val="24"/>
              </w:rPr>
              <w:t>项目执行了环境影响评价及“三同时”制度，环评批复要求基本得到落实。</w:t>
            </w:r>
          </w:p>
          <w:p w14:paraId="17A8C5D9">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82" w:firstLineChars="200"/>
              <w:jc w:val="both"/>
              <w:textAlignment w:val="auto"/>
              <w:rPr>
                <w:rFonts w:hint="default" w:ascii="Times New Roman" w:hAnsi="Times New Roman" w:eastAsia="宋体" w:cs="Times New Roman"/>
                <w:b/>
                <w:color w:val="000000" w:themeColor="text1"/>
                <w:lang w:val="en-US" w:eastAsia="zh-CN"/>
              </w:rPr>
            </w:pPr>
            <w:r>
              <w:rPr>
                <w:rFonts w:hint="default" w:ascii="Times New Roman" w:hAnsi="Times New Roman" w:eastAsia="宋体" w:cs="Times New Roman"/>
                <w:b/>
                <w:color w:val="000000" w:themeColor="text1"/>
                <w:lang w:val="en-US" w:eastAsia="zh-CN"/>
              </w:rPr>
              <w:t>3、现有项目污染物产生情况</w:t>
            </w:r>
          </w:p>
          <w:p w14:paraId="59AF5B1C">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（1）废气污染物</w:t>
            </w:r>
          </w:p>
          <w:p w14:paraId="480516CD">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en-US" w:eastAsia="zh-CN"/>
              </w:rPr>
              <w:t>现有</w:t>
            </w:r>
            <w:r>
              <w:rPr>
                <w:rFonts w:hint="default" w:ascii="Times New Roman" w:hAnsi="Times New Roman" w:eastAsia="宋体" w:cs="Times New Roman"/>
                <w:color w:val="000000" w:themeColor="text1"/>
              </w:rPr>
              <w:t>项目废气污染源主要是</w:t>
            </w:r>
            <w:r>
              <w:rPr>
                <w:rFonts w:hint="eastAsia" w:ascii="Times New Roman" w:hAnsi="Times New Roman" w:cs="Times New Roman"/>
                <w:color w:val="000000" w:themeColor="text1"/>
                <w:lang w:val="en-US" w:eastAsia="zh-CN"/>
              </w:rPr>
              <w:t>烘干、破碎等产生的颗粒物、SO</w:t>
            </w:r>
            <w:r>
              <w:rPr>
                <w:rFonts w:hint="eastAsia" w:ascii="Times New Roman" w:hAnsi="Times New Roman" w:cs="Times New Roman"/>
                <w:color w:val="000000" w:themeColor="text1"/>
                <w:vertAlign w:val="subscript"/>
                <w:lang w:val="en-US" w:eastAsia="zh-CN"/>
              </w:rPr>
              <w:t>2</w:t>
            </w:r>
            <w:r>
              <w:rPr>
                <w:rFonts w:hint="eastAsia" w:ascii="Times New Roman" w:hAnsi="Times New Roman" w:cs="Times New Roman"/>
                <w:color w:val="000000" w:themeColor="text1"/>
                <w:lang w:val="en-US" w:eastAsia="zh-CN"/>
              </w:rPr>
              <w:t>、NOx</w:t>
            </w:r>
            <w:r>
              <w:rPr>
                <w:rFonts w:hint="default" w:ascii="Times New Roman" w:hAnsi="Times New Roman" w:eastAsia="宋体" w:cs="Times New Roman"/>
                <w:color w:val="000000" w:themeColor="text1"/>
              </w:rPr>
              <w:t>。</w:t>
            </w:r>
          </w:p>
          <w:p w14:paraId="55E09DD6">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2</w:t>
            </w: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废水污染物</w:t>
            </w:r>
          </w:p>
          <w:p w14:paraId="4F2C550C">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rPr>
            </w:pPr>
            <w:r>
              <w:rPr>
                <w:rFonts w:hint="eastAsia" w:ascii="Times New Roman" w:hAnsi="Times New Roman" w:cs="Times New Roman"/>
                <w:color w:val="000000" w:themeColor="text1"/>
                <w:lang w:val="en-US" w:eastAsia="zh-CN"/>
              </w:rPr>
              <w:t>现有</w:t>
            </w:r>
            <w:r>
              <w:rPr>
                <w:rFonts w:hint="default" w:ascii="Times New Roman" w:hAnsi="Times New Roman" w:eastAsia="宋体" w:cs="Times New Roman"/>
                <w:color w:val="000000" w:themeColor="text1"/>
              </w:rPr>
              <w:t>项目在生产过程中</w:t>
            </w:r>
            <w:r>
              <w:rPr>
                <w:rFonts w:hint="eastAsia" w:ascii="Times New Roman" w:hAnsi="Times New Roman" w:cs="Times New Roman"/>
                <w:color w:val="000000" w:themeColor="text1"/>
                <w:lang w:val="en-US" w:eastAsia="zh-CN"/>
              </w:rPr>
              <w:t>主要为地面清洗水、生活污水</w:t>
            </w:r>
            <w:r>
              <w:rPr>
                <w:rFonts w:hint="default" w:ascii="Times New Roman" w:hAnsi="Times New Roman" w:eastAsia="宋体" w:cs="Times New Roman"/>
                <w:color w:val="000000" w:themeColor="text1"/>
              </w:rPr>
              <w:t>。</w:t>
            </w:r>
          </w:p>
          <w:p w14:paraId="78627E1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3</w:t>
            </w: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噪声</w:t>
            </w:r>
          </w:p>
          <w:p w14:paraId="39D1C0D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现有项目产生的噪声主要为</w:t>
            </w:r>
            <w:r>
              <w:rPr>
                <w:rFonts w:hint="eastAsia" w:ascii="Times New Roman" w:hAnsi="Times New Roman" w:cs="Times New Roman"/>
                <w:color w:val="000000" w:themeColor="text1"/>
                <w:lang w:val="en-US" w:eastAsia="zh-CN"/>
              </w:rPr>
              <w:t>干燥机</w:t>
            </w:r>
            <w:r>
              <w:rPr>
                <w:rFonts w:hint="default" w:ascii="Times New Roman" w:hAnsi="Times New Roman" w:eastAsia="宋体" w:cs="Times New Roman"/>
                <w:color w:val="000000" w:themeColor="text1"/>
                <w:lang w:val="en-US" w:eastAsia="zh-CN"/>
              </w:rPr>
              <w:t>等各类机械设备运行时产生的噪声污染物。</w:t>
            </w:r>
          </w:p>
          <w:p w14:paraId="4528E5DD">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4</w:t>
            </w: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固体废物</w:t>
            </w:r>
          </w:p>
          <w:p w14:paraId="0D6DED1B">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项目运营</w:t>
            </w:r>
            <w:r>
              <w:rPr>
                <w:rFonts w:hint="eastAsia" w:ascii="Times New Roman" w:hAnsi="Times New Roman" w:cs="Times New Roman"/>
                <w:color w:val="000000" w:themeColor="text1"/>
                <w:lang w:eastAsia="zh-CN"/>
              </w:rPr>
              <w:t>期间</w:t>
            </w:r>
            <w:r>
              <w:rPr>
                <w:rFonts w:hint="default" w:ascii="Times New Roman" w:hAnsi="Times New Roman" w:eastAsia="宋体" w:cs="Times New Roman"/>
                <w:color w:val="000000" w:themeColor="text1"/>
              </w:rPr>
              <w:t>产生的</w:t>
            </w:r>
            <w:r>
              <w:rPr>
                <w:rFonts w:hint="eastAsia" w:ascii="Times New Roman" w:hAnsi="Times New Roman" w:cs="Times New Roman"/>
                <w:color w:val="000000" w:themeColor="text1"/>
                <w:lang w:eastAsia="zh-CN"/>
              </w:rPr>
              <w:t>固体废弃物</w:t>
            </w:r>
            <w:r>
              <w:rPr>
                <w:rFonts w:hint="default" w:ascii="Times New Roman" w:hAnsi="Times New Roman" w:eastAsia="宋体" w:cs="Times New Roman"/>
                <w:color w:val="000000" w:themeColor="text1"/>
              </w:rPr>
              <w:t>为</w:t>
            </w:r>
            <w:r>
              <w:rPr>
                <w:rFonts w:hint="eastAsia" w:ascii="Times New Roman" w:hAnsi="Times New Roman" w:cs="Times New Roman"/>
                <w:color w:val="000000" w:themeColor="text1"/>
                <w:lang w:val="en-US" w:eastAsia="zh-CN"/>
              </w:rPr>
              <w:t>废包装袋、</w:t>
            </w:r>
            <w:r>
              <w:rPr>
                <w:rFonts w:hint="default" w:ascii="Times New Roman" w:hAnsi="Times New Roman" w:eastAsia="宋体" w:cs="Times New Roman"/>
                <w:color w:val="000000" w:themeColor="text1"/>
              </w:rPr>
              <w:t>废润滑油、</w:t>
            </w:r>
            <w:r>
              <w:rPr>
                <w:rFonts w:hint="eastAsia" w:ascii="Times New Roman" w:hAnsi="Times New Roman" w:cs="Times New Roman"/>
                <w:color w:val="000000" w:themeColor="text1"/>
                <w:lang w:val="en-US" w:eastAsia="zh-CN"/>
              </w:rPr>
              <w:t>废润滑桶和</w:t>
            </w:r>
            <w:r>
              <w:rPr>
                <w:rFonts w:hint="default" w:ascii="Times New Roman" w:hAnsi="Times New Roman" w:eastAsia="宋体" w:cs="Times New Roman"/>
                <w:color w:val="000000" w:themeColor="text1"/>
              </w:rPr>
              <w:t>生活</w:t>
            </w:r>
            <w:r>
              <w:rPr>
                <w:rFonts w:hint="default" w:ascii="Times New Roman" w:hAnsi="Times New Roman" w:eastAsia="宋体" w:cs="Times New Roman"/>
                <w:color w:val="000000" w:themeColor="text1"/>
                <w:lang w:val="en-US" w:eastAsia="zh-CN"/>
              </w:rPr>
              <w:t>垃圾。</w:t>
            </w:r>
          </w:p>
          <w:p w14:paraId="7FB16447">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布袋收集粉尘回用于生产。</w:t>
            </w:r>
          </w:p>
          <w:p w14:paraId="0C0B9C63">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rPr>
            </w:pPr>
            <w:r>
              <w:rPr>
                <w:rFonts w:hint="eastAsia" w:ascii="Times New Roman" w:hAnsi="Times New Roman" w:cs="Times New Roman"/>
                <w:color w:val="000000" w:themeColor="text1"/>
                <w:lang w:val="en-US" w:eastAsia="zh-CN"/>
              </w:rPr>
              <w:t>废包装袋、废布袋</w:t>
            </w:r>
            <w:r>
              <w:rPr>
                <w:rFonts w:hint="default" w:ascii="Times New Roman" w:hAnsi="Times New Roman" w:eastAsia="宋体" w:cs="Times New Roman"/>
                <w:color w:val="000000" w:themeColor="text1"/>
              </w:rPr>
              <w:t>统一收集</w:t>
            </w:r>
            <w:r>
              <w:rPr>
                <w:rFonts w:hint="eastAsia" w:ascii="Times New Roman" w:hAnsi="Times New Roman" w:cs="Times New Roman"/>
                <w:color w:val="000000" w:themeColor="text1"/>
                <w:lang w:val="en-US" w:eastAsia="zh-CN"/>
              </w:rPr>
              <w:t>后外售综合利用</w:t>
            </w:r>
            <w:r>
              <w:rPr>
                <w:rFonts w:hint="default" w:ascii="Times New Roman" w:hAnsi="Times New Roman" w:eastAsia="宋体" w:cs="Times New Roman"/>
                <w:color w:val="000000" w:themeColor="text1"/>
              </w:rPr>
              <w:t>，对环境影响不大。</w:t>
            </w:r>
          </w:p>
          <w:p w14:paraId="17A5EDAD">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rPr>
              <w:t>废</w:t>
            </w:r>
            <w:r>
              <w:rPr>
                <w:rFonts w:hint="eastAsia" w:ascii="Times New Roman" w:hAnsi="Times New Roman" w:cs="Times New Roman"/>
                <w:color w:val="000000" w:themeColor="text1"/>
                <w:lang w:val="en-US" w:eastAsia="zh-CN"/>
              </w:rPr>
              <w:t>润</w:t>
            </w:r>
            <w:r>
              <w:rPr>
                <w:rFonts w:hint="default" w:ascii="Times New Roman" w:hAnsi="Times New Roman" w:eastAsia="宋体" w:cs="Times New Roman"/>
                <w:color w:val="000000" w:themeColor="text1"/>
              </w:rPr>
              <w:t>滑油</w:t>
            </w:r>
            <w:r>
              <w:rPr>
                <w:rFonts w:hint="eastAsia" w:ascii="Times New Roman" w:hAnsi="Times New Roman" w:cs="Times New Roman"/>
                <w:color w:val="000000" w:themeColor="text1"/>
                <w:lang w:val="en-US" w:eastAsia="zh-CN"/>
              </w:rPr>
              <w:t>、废润滑油桶交</w:t>
            </w:r>
            <w:r>
              <w:rPr>
                <w:rFonts w:hint="eastAsia" w:ascii="Times New Roman" w:hAnsi="Times New Roman" w:eastAsia="宋体" w:cs="Times New Roman"/>
                <w:color w:val="000000" w:themeColor="text1"/>
                <w:lang w:val="en-US" w:eastAsia="zh-CN"/>
              </w:rPr>
              <w:t>由江西国孚润滑油工业有限公司处理</w:t>
            </w:r>
            <w:r>
              <w:rPr>
                <w:rFonts w:hint="default" w:ascii="Times New Roman" w:hAnsi="Times New Roman" w:eastAsia="宋体" w:cs="Times New Roman"/>
                <w:color w:val="000000" w:themeColor="text1"/>
                <w:lang w:val="en-US" w:eastAsia="zh-CN"/>
              </w:rPr>
              <w:t>。</w:t>
            </w:r>
          </w:p>
          <w:p w14:paraId="6308A54C">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rPr>
            </w:pPr>
            <w:r>
              <w:rPr>
                <w:rFonts w:hint="eastAsia" w:ascii="Times New Roman" w:hAnsi="Times New Roman" w:cs="Times New Roman"/>
                <w:color w:val="000000" w:themeColor="text1"/>
                <w:lang w:val="en-US" w:eastAsia="zh-CN"/>
              </w:rPr>
              <w:t>现有</w:t>
            </w:r>
            <w:r>
              <w:rPr>
                <w:rFonts w:hint="default" w:ascii="Times New Roman" w:hAnsi="Times New Roman" w:eastAsia="宋体" w:cs="Times New Roman"/>
                <w:color w:val="000000" w:themeColor="text1"/>
              </w:rPr>
              <w:t>项目生活垃圾年产生量为</w:t>
            </w:r>
            <w:r>
              <w:rPr>
                <w:rFonts w:hint="eastAsia" w:ascii="Times New Roman" w:hAnsi="Times New Roman" w:cs="Times New Roman"/>
                <w:color w:val="000000" w:themeColor="text1"/>
                <w:lang w:val="en-US" w:eastAsia="zh-CN"/>
              </w:rPr>
              <w:t>6.75</w:t>
            </w:r>
            <w:r>
              <w:rPr>
                <w:rFonts w:hint="default" w:ascii="Times New Roman" w:hAnsi="Times New Roman" w:eastAsia="宋体" w:cs="Times New Roman"/>
                <w:color w:val="000000" w:themeColor="text1"/>
              </w:rPr>
              <w:t>t/a。生活垃圾由环卫部门统一清运处理</w:t>
            </w:r>
            <w:r>
              <w:rPr>
                <w:rFonts w:hint="eastAsia" w:ascii="Times New Roman" w:hAnsi="Times New Roman" w:cs="Times New Roman"/>
                <w:color w:val="000000" w:themeColor="text1"/>
                <w:lang w:eastAsia="zh-CN"/>
              </w:rPr>
              <w:t>。</w:t>
            </w:r>
          </w:p>
          <w:p w14:paraId="4F46C4D5">
            <w:pPr>
              <w:tabs>
                <w:tab w:val="left" w:pos="0"/>
              </w:tabs>
              <w:adjustRightInd w:val="0"/>
              <w:snapToGrid w:val="0"/>
              <w:spacing w:line="240" w:lineRule="auto"/>
              <w:ind w:firstLine="211" w:firstLineChars="10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表2-</w:t>
            </w:r>
            <w:r>
              <w:rPr>
                <w:rFonts w:hint="eastAsia" w:ascii="Times New Roman" w:hAnsi="Times New Roman" w:eastAsia="宋体" w:cs="Times New Roman"/>
                <w:b/>
                <w:bCs/>
                <w:color w:val="000000" w:themeColor="text1"/>
                <w:sz w:val="21"/>
                <w:szCs w:val="21"/>
                <w:lang w:val="en-US" w:eastAsia="zh-CN"/>
              </w:rPr>
              <w:t>1</w:t>
            </w:r>
            <w:r>
              <w:rPr>
                <w:rFonts w:hint="eastAsia" w:cs="Times New Roman"/>
                <w:b/>
                <w:bCs/>
                <w:color w:val="000000" w:themeColor="text1"/>
                <w:sz w:val="21"/>
                <w:szCs w:val="21"/>
                <w:lang w:val="en-US" w:eastAsia="zh-CN"/>
              </w:rPr>
              <w:t>7</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 xml:space="preserve"> 现有项目</w:t>
            </w:r>
            <w:r>
              <w:rPr>
                <w:rFonts w:hint="default" w:ascii="Times New Roman" w:hAnsi="Times New Roman" w:eastAsia="宋体" w:cs="Times New Roman"/>
                <w:b/>
                <w:bCs/>
                <w:color w:val="000000" w:themeColor="text1"/>
                <w:sz w:val="21"/>
                <w:szCs w:val="21"/>
              </w:rPr>
              <w:t>主要</w:t>
            </w:r>
            <w:r>
              <w:rPr>
                <w:rFonts w:hint="eastAsia" w:ascii="Times New Roman" w:hAnsi="Times New Roman" w:eastAsia="宋体" w:cs="Times New Roman"/>
                <w:b/>
                <w:bCs/>
                <w:color w:val="000000" w:themeColor="text1"/>
                <w:sz w:val="21"/>
                <w:szCs w:val="21"/>
                <w:lang w:val="en-US" w:eastAsia="zh-CN"/>
              </w:rPr>
              <w:t>产排</w:t>
            </w:r>
            <w:r>
              <w:rPr>
                <w:rFonts w:hint="default" w:ascii="Times New Roman" w:hAnsi="Times New Roman" w:eastAsia="宋体" w:cs="Times New Roman"/>
                <w:b/>
                <w:bCs/>
                <w:color w:val="000000" w:themeColor="text1"/>
                <w:sz w:val="21"/>
                <w:szCs w:val="21"/>
              </w:rPr>
              <w:t>一览表</w:t>
            </w:r>
          </w:p>
          <w:tbl>
            <w:tblPr>
              <w:tblStyle w:val="33"/>
              <w:tblW w:w="79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868"/>
              <w:gridCol w:w="1740"/>
              <w:gridCol w:w="1755"/>
              <w:gridCol w:w="1745"/>
            </w:tblGrid>
            <w:tr w14:paraId="215BE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Align w:val="center"/>
                </w:tcPr>
                <w:p w14:paraId="460C42A5">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污染类别</w:t>
                  </w:r>
                </w:p>
              </w:tc>
              <w:tc>
                <w:tcPr>
                  <w:tcW w:w="1868" w:type="dxa"/>
                  <w:vAlign w:val="center"/>
                </w:tcPr>
                <w:p w14:paraId="40A84221">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污染源</w:t>
                  </w:r>
                </w:p>
              </w:tc>
              <w:tc>
                <w:tcPr>
                  <w:tcW w:w="1740" w:type="dxa"/>
                  <w:vAlign w:val="center"/>
                </w:tcPr>
                <w:p w14:paraId="4DB3BB91">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产生工序</w:t>
                  </w:r>
                </w:p>
              </w:tc>
              <w:tc>
                <w:tcPr>
                  <w:tcW w:w="1755" w:type="dxa"/>
                  <w:vAlign w:val="center"/>
                </w:tcPr>
                <w:p w14:paraId="44E05FF2">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Times New Roman" w:hAnsi="Times New Roman" w:eastAsia="宋体" w:cs="Times New Roman"/>
                      <w:b/>
                      <w:bCs/>
                      <w:color w:val="000000" w:themeColor="text1"/>
                      <w:sz w:val="21"/>
                      <w:szCs w:val="21"/>
                      <w:lang w:eastAsia="zh-CN"/>
                    </w:rPr>
                  </w:pPr>
                  <w:r>
                    <w:rPr>
                      <w:rFonts w:hint="eastAsia" w:ascii="Times New Roman" w:hAnsi="Times New Roman" w:eastAsia="宋体" w:cs="Times New Roman"/>
                      <w:b/>
                      <w:bCs/>
                      <w:color w:val="000000" w:themeColor="text1"/>
                      <w:sz w:val="21"/>
                      <w:szCs w:val="21"/>
                      <w:lang w:val="en-US" w:eastAsia="zh-CN"/>
                    </w:rPr>
                    <w:t>产生量（t/a）</w:t>
                  </w:r>
                </w:p>
              </w:tc>
              <w:tc>
                <w:tcPr>
                  <w:tcW w:w="1745" w:type="dxa"/>
                  <w:vAlign w:val="center"/>
                </w:tcPr>
                <w:p w14:paraId="525F21ED">
                  <w:pPr>
                    <w:pStyle w:val="84"/>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textAlignment w:val="auto"/>
                    <w:rPr>
                      <w:rFonts w:hint="eastAsia" w:ascii="Times New Roman" w:hAnsi="Times New Roman" w:eastAsia="宋体" w:cs="Times New Roman"/>
                      <w:b/>
                      <w:bCs/>
                      <w:color w:val="000000" w:themeColor="text1"/>
                      <w:sz w:val="21"/>
                      <w:szCs w:val="21"/>
                      <w:lang w:eastAsia="zh-CN"/>
                    </w:rPr>
                  </w:pPr>
                  <w:r>
                    <w:rPr>
                      <w:rFonts w:hint="eastAsia" w:ascii="Times New Roman" w:hAnsi="Times New Roman" w:eastAsia="宋体" w:cs="Times New Roman"/>
                      <w:b/>
                      <w:bCs/>
                      <w:color w:val="000000" w:themeColor="text1"/>
                      <w:sz w:val="21"/>
                      <w:szCs w:val="21"/>
                      <w:lang w:val="en-US" w:eastAsia="zh-CN"/>
                    </w:rPr>
                    <w:t>排放量（t/a）</w:t>
                  </w:r>
                </w:p>
              </w:tc>
            </w:tr>
            <w:tr w14:paraId="164D2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restart"/>
                  <w:vAlign w:val="center"/>
                </w:tcPr>
                <w:p w14:paraId="0F7C93B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868" w:type="dxa"/>
                  <w:vMerge w:val="restart"/>
                  <w:vAlign w:val="center"/>
                </w:tcPr>
                <w:p w14:paraId="3474189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化粪池</w:t>
                  </w:r>
                </w:p>
              </w:tc>
              <w:tc>
                <w:tcPr>
                  <w:tcW w:w="1740" w:type="dxa"/>
                  <w:tcBorders>
                    <w:bottom w:val="single" w:color="auto" w:sz="4" w:space="0"/>
                  </w:tcBorders>
                  <w:vAlign w:val="center"/>
                </w:tcPr>
                <w:p w14:paraId="74E2186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COD</w:t>
                  </w:r>
                  <w:r>
                    <w:rPr>
                      <w:rFonts w:hint="eastAsia" w:ascii="Times New Roman" w:hAnsi="Times New Roman" w:eastAsia="宋体" w:cs="Times New Roman"/>
                      <w:color w:val="000000" w:themeColor="text1"/>
                      <w:vertAlign w:val="subscript"/>
                      <w:lang w:val="en-US" w:eastAsia="zh-CN"/>
                    </w:rPr>
                    <w:t>cr</w:t>
                  </w:r>
                </w:p>
              </w:tc>
              <w:tc>
                <w:tcPr>
                  <w:tcW w:w="1755" w:type="dxa"/>
                  <w:tcBorders>
                    <w:bottom w:val="single" w:color="auto" w:sz="4" w:space="0"/>
                  </w:tcBorders>
                  <w:vAlign w:val="center"/>
                </w:tcPr>
                <w:p w14:paraId="49FB7005">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45" w:type="dxa"/>
                  <w:tcBorders>
                    <w:bottom w:val="single" w:color="auto" w:sz="4" w:space="0"/>
                  </w:tcBorders>
                  <w:vAlign w:val="center"/>
                </w:tcPr>
                <w:p w14:paraId="6141CA2A">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r>
                    <w:rPr>
                      <w:rFonts w:hint="eastAsia" w:cs="Times New Roman"/>
                      <w:color w:val="000000" w:themeColor="text1"/>
                      <w:lang w:val="en-US" w:eastAsia="zh-CN"/>
                    </w:rPr>
                    <w:t>41</w:t>
                  </w:r>
                </w:p>
              </w:tc>
            </w:tr>
            <w:tr w14:paraId="40ED7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1539A76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color w:val="000000" w:themeColor="text1"/>
                    </w:rPr>
                  </w:pPr>
                </w:p>
              </w:tc>
              <w:tc>
                <w:tcPr>
                  <w:tcW w:w="1868" w:type="dxa"/>
                  <w:vMerge w:val="continue"/>
                  <w:vAlign w:val="center"/>
                </w:tcPr>
                <w:p w14:paraId="119EC5F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p>
              </w:tc>
              <w:tc>
                <w:tcPr>
                  <w:tcW w:w="1740" w:type="dxa"/>
                  <w:tcBorders>
                    <w:bottom w:val="single" w:color="auto" w:sz="4" w:space="0"/>
                  </w:tcBorders>
                  <w:vAlign w:val="center"/>
                </w:tcPr>
                <w:p w14:paraId="0FEBF21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BOD</w:t>
                  </w:r>
                  <w:r>
                    <w:rPr>
                      <w:rFonts w:hint="eastAsia" w:ascii="Times New Roman" w:hAnsi="Times New Roman" w:eastAsia="宋体" w:cs="Times New Roman"/>
                      <w:color w:val="000000" w:themeColor="text1"/>
                      <w:vertAlign w:val="subscript"/>
                      <w:lang w:val="en-US" w:eastAsia="zh-CN"/>
                    </w:rPr>
                    <w:t>5</w:t>
                  </w:r>
                </w:p>
              </w:tc>
              <w:tc>
                <w:tcPr>
                  <w:tcW w:w="1755" w:type="dxa"/>
                  <w:tcBorders>
                    <w:bottom w:val="single" w:color="auto" w:sz="4" w:space="0"/>
                  </w:tcBorders>
                  <w:vAlign w:val="center"/>
                </w:tcPr>
                <w:p w14:paraId="0BDEBFA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45" w:type="dxa"/>
                  <w:tcBorders>
                    <w:bottom w:val="single" w:color="auto" w:sz="4" w:space="0"/>
                  </w:tcBorders>
                  <w:vAlign w:val="center"/>
                </w:tcPr>
                <w:p w14:paraId="743A534C">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r>
                    <w:rPr>
                      <w:rFonts w:hint="eastAsia" w:cs="Times New Roman"/>
                      <w:color w:val="000000" w:themeColor="text1"/>
                      <w:lang w:val="en-US" w:eastAsia="zh-CN"/>
                    </w:rPr>
                    <w:t>036</w:t>
                  </w:r>
                </w:p>
              </w:tc>
            </w:tr>
            <w:tr w14:paraId="03DD0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1BA2627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color w:val="000000" w:themeColor="text1"/>
                    </w:rPr>
                  </w:pPr>
                </w:p>
              </w:tc>
              <w:tc>
                <w:tcPr>
                  <w:tcW w:w="1868" w:type="dxa"/>
                  <w:vMerge w:val="continue"/>
                  <w:vAlign w:val="center"/>
                </w:tcPr>
                <w:p w14:paraId="559D4AB1">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p>
              </w:tc>
              <w:tc>
                <w:tcPr>
                  <w:tcW w:w="1740" w:type="dxa"/>
                  <w:tcBorders>
                    <w:bottom w:val="single" w:color="auto" w:sz="4" w:space="0"/>
                  </w:tcBorders>
                  <w:vAlign w:val="center"/>
                </w:tcPr>
                <w:p w14:paraId="5F0A04A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SS</w:t>
                  </w:r>
                </w:p>
              </w:tc>
              <w:tc>
                <w:tcPr>
                  <w:tcW w:w="1755" w:type="dxa"/>
                  <w:tcBorders>
                    <w:bottom w:val="single" w:color="auto" w:sz="4" w:space="0"/>
                  </w:tcBorders>
                  <w:vAlign w:val="center"/>
                </w:tcPr>
                <w:p w14:paraId="5A1E8923">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45" w:type="dxa"/>
                  <w:tcBorders>
                    <w:bottom w:val="single" w:color="auto" w:sz="4" w:space="0"/>
                  </w:tcBorders>
                  <w:vAlign w:val="center"/>
                </w:tcPr>
                <w:p w14:paraId="0494264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r>
                    <w:rPr>
                      <w:rFonts w:hint="eastAsia" w:cs="Times New Roman"/>
                      <w:color w:val="000000" w:themeColor="text1"/>
                      <w:lang w:val="en-US" w:eastAsia="zh-CN"/>
                    </w:rPr>
                    <w:t>036</w:t>
                  </w:r>
                </w:p>
              </w:tc>
            </w:tr>
            <w:tr w14:paraId="06549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2E553DA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color w:val="000000" w:themeColor="text1"/>
                    </w:rPr>
                  </w:pPr>
                </w:p>
              </w:tc>
              <w:tc>
                <w:tcPr>
                  <w:tcW w:w="1868" w:type="dxa"/>
                  <w:vMerge w:val="continue"/>
                  <w:vAlign w:val="center"/>
                </w:tcPr>
                <w:p w14:paraId="146EE7F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ascii="Times New Roman" w:hAnsi="Times New Roman" w:eastAsia="宋体" w:cs="Times New Roman"/>
                      <w:color w:val="000000" w:themeColor="text1"/>
                      <w:lang w:val="en-US" w:eastAsia="zh-CN"/>
                    </w:rPr>
                  </w:pPr>
                </w:p>
              </w:tc>
              <w:tc>
                <w:tcPr>
                  <w:tcW w:w="1740" w:type="dxa"/>
                  <w:tcBorders>
                    <w:bottom w:val="single" w:color="auto" w:sz="4" w:space="0"/>
                  </w:tcBorders>
                  <w:vAlign w:val="center"/>
                </w:tcPr>
                <w:p w14:paraId="29A0CC43">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氨氮</w:t>
                  </w:r>
                </w:p>
              </w:tc>
              <w:tc>
                <w:tcPr>
                  <w:tcW w:w="1755" w:type="dxa"/>
                  <w:tcBorders>
                    <w:bottom w:val="single" w:color="auto" w:sz="4" w:space="0"/>
                  </w:tcBorders>
                  <w:vAlign w:val="center"/>
                </w:tcPr>
                <w:p w14:paraId="2A0A5201">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45" w:type="dxa"/>
                  <w:tcBorders>
                    <w:bottom w:val="single" w:color="auto" w:sz="4" w:space="0"/>
                  </w:tcBorders>
                  <w:vAlign w:val="center"/>
                </w:tcPr>
                <w:p w14:paraId="3077D86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0.0</w:t>
                  </w:r>
                  <w:r>
                    <w:rPr>
                      <w:rFonts w:hint="eastAsia" w:cs="Times New Roman"/>
                      <w:color w:val="000000" w:themeColor="text1"/>
                      <w:lang w:val="en-US" w:eastAsia="zh-CN"/>
                    </w:rPr>
                    <w:t>18</w:t>
                  </w:r>
                </w:p>
              </w:tc>
            </w:tr>
            <w:tr w14:paraId="627FC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restart"/>
                  <w:vAlign w:val="center"/>
                </w:tcPr>
                <w:p w14:paraId="0D88AEE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868" w:type="dxa"/>
                  <w:vMerge w:val="restart"/>
                  <w:vAlign w:val="center"/>
                </w:tcPr>
                <w:p w14:paraId="7C248F93">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DA001</w:t>
                  </w:r>
                </w:p>
              </w:tc>
              <w:tc>
                <w:tcPr>
                  <w:tcW w:w="1740" w:type="dxa"/>
                  <w:vAlign w:val="center"/>
                </w:tcPr>
                <w:p w14:paraId="0E186EC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颗粒物</w:t>
                  </w:r>
                </w:p>
              </w:tc>
              <w:tc>
                <w:tcPr>
                  <w:tcW w:w="1755" w:type="dxa"/>
                  <w:vAlign w:val="center"/>
                </w:tcPr>
                <w:p w14:paraId="3B2CED0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45" w:type="dxa"/>
                  <w:vAlign w:val="center"/>
                </w:tcPr>
                <w:p w14:paraId="5D7195E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r>
                    <w:rPr>
                      <w:rFonts w:hint="eastAsia" w:cs="Times New Roman"/>
                      <w:color w:val="000000" w:themeColor="text1"/>
                      <w:lang w:val="en-US" w:eastAsia="zh-CN"/>
                    </w:rPr>
                    <w:t>922</w:t>
                  </w:r>
                </w:p>
              </w:tc>
            </w:tr>
            <w:tr w14:paraId="485558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716ECF9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18DFC8D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38BBD6B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SO</w:t>
                  </w:r>
                  <w:r>
                    <w:rPr>
                      <w:rFonts w:hint="eastAsia" w:cs="Times New Roman"/>
                      <w:color w:val="000000" w:themeColor="text1"/>
                      <w:vertAlign w:val="subscript"/>
                      <w:lang w:val="en-US" w:eastAsia="zh-CN"/>
                    </w:rPr>
                    <w:t>2</w:t>
                  </w:r>
                </w:p>
              </w:tc>
              <w:tc>
                <w:tcPr>
                  <w:tcW w:w="1755" w:type="dxa"/>
                  <w:vAlign w:val="center"/>
                </w:tcPr>
                <w:p w14:paraId="6F10035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w:t>
                  </w:r>
                </w:p>
              </w:tc>
              <w:tc>
                <w:tcPr>
                  <w:tcW w:w="1745" w:type="dxa"/>
                  <w:vAlign w:val="center"/>
                </w:tcPr>
                <w:p w14:paraId="796CF50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0.2</w:t>
                  </w:r>
                </w:p>
              </w:tc>
            </w:tr>
            <w:tr w14:paraId="1442F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3E037FA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67E5890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2905DCE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NOx</w:t>
                  </w:r>
                </w:p>
              </w:tc>
              <w:tc>
                <w:tcPr>
                  <w:tcW w:w="1755" w:type="dxa"/>
                  <w:vAlign w:val="center"/>
                </w:tcPr>
                <w:p w14:paraId="2A992FDC">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w:t>
                  </w:r>
                </w:p>
              </w:tc>
              <w:tc>
                <w:tcPr>
                  <w:tcW w:w="1745" w:type="dxa"/>
                  <w:vAlign w:val="center"/>
                </w:tcPr>
                <w:p w14:paraId="65D7402A">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1.86</w:t>
                  </w:r>
                </w:p>
              </w:tc>
            </w:tr>
            <w:tr w14:paraId="477C12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Align w:val="center"/>
                </w:tcPr>
                <w:p w14:paraId="78A9745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w:t>
                  </w:r>
                </w:p>
              </w:tc>
              <w:tc>
                <w:tcPr>
                  <w:tcW w:w="1868" w:type="dxa"/>
                  <w:vAlign w:val="center"/>
                </w:tcPr>
                <w:p w14:paraId="55A203A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车间生产设备</w:t>
                  </w:r>
                </w:p>
              </w:tc>
              <w:tc>
                <w:tcPr>
                  <w:tcW w:w="1740" w:type="dxa"/>
                  <w:vAlign w:val="center"/>
                </w:tcPr>
                <w:p w14:paraId="570B31D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3500" w:type="dxa"/>
                  <w:gridSpan w:val="2"/>
                  <w:vAlign w:val="center"/>
                </w:tcPr>
                <w:p w14:paraId="068D6333">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83</w:t>
                  </w:r>
                  <w:r>
                    <w:rPr>
                      <w:rFonts w:hint="default" w:ascii="Times New Roman" w:hAnsi="Times New Roman" w:eastAsia="宋体" w:cs="Times New Roman"/>
                      <w:color w:val="000000" w:themeColor="text1"/>
                      <w:lang w:val="en-US" w:eastAsia="zh-CN"/>
                    </w:rPr>
                    <w:t>~</w:t>
                  </w:r>
                  <w:r>
                    <w:rPr>
                      <w:rFonts w:hint="eastAsia" w:ascii="Times New Roman" w:hAnsi="Times New Roman" w:eastAsia="宋体" w:cs="Times New Roman"/>
                      <w:color w:val="000000" w:themeColor="text1"/>
                      <w:lang w:val="en-US" w:eastAsia="zh-CN"/>
                    </w:rPr>
                    <w:t>93dB</w:t>
                  </w:r>
                  <w:r>
                    <w:rPr>
                      <w:rFonts w:hint="eastAsia" w:cs="Times New Roman"/>
                      <w:color w:val="000000" w:themeColor="text1"/>
                      <w:lang w:val="en-US" w:eastAsia="zh-CN"/>
                    </w:rPr>
                    <w:t>(</w:t>
                  </w:r>
                  <w:r>
                    <w:rPr>
                      <w:rFonts w:hint="eastAsia" w:ascii="Times New Roman" w:hAnsi="Times New Roman" w:eastAsia="宋体" w:cs="Times New Roman"/>
                      <w:color w:val="000000" w:themeColor="text1"/>
                      <w:lang w:val="en-US" w:eastAsia="zh-CN"/>
                    </w:rPr>
                    <w:t>A</w:t>
                  </w:r>
                  <w:r>
                    <w:rPr>
                      <w:rFonts w:hint="eastAsia" w:cs="Times New Roman"/>
                      <w:color w:val="000000" w:themeColor="text1"/>
                      <w:lang w:val="en-US" w:eastAsia="zh-CN"/>
                    </w:rPr>
                    <w:t>)</w:t>
                  </w:r>
                </w:p>
              </w:tc>
            </w:tr>
            <w:tr w14:paraId="245F06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restart"/>
                  <w:vAlign w:val="center"/>
                </w:tcPr>
                <w:p w14:paraId="2EB18A0D">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w:t>
                  </w:r>
                </w:p>
              </w:tc>
              <w:tc>
                <w:tcPr>
                  <w:tcW w:w="1868" w:type="dxa"/>
                  <w:vMerge w:val="restart"/>
                  <w:vAlign w:val="center"/>
                </w:tcPr>
                <w:p w14:paraId="177D2E6E">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生产车间</w:t>
                  </w:r>
                </w:p>
              </w:tc>
              <w:tc>
                <w:tcPr>
                  <w:tcW w:w="1740" w:type="dxa"/>
                  <w:vAlign w:val="center"/>
                </w:tcPr>
                <w:p w14:paraId="2C4474A0">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废包装袋</w:t>
                  </w:r>
                </w:p>
              </w:tc>
              <w:tc>
                <w:tcPr>
                  <w:tcW w:w="1755" w:type="dxa"/>
                  <w:tcBorders>
                    <w:bottom w:val="single" w:color="auto" w:sz="4" w:space="0"/>
                  </w:tcBorders>
                  <w:vAlign w:val="center"/>
                </w:tcPr>
                <w:p w14:paraId="6D60F53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0.5</w:t>
                  </w:r>
                </w:p>
              </w:tc>
              <w:tc>
                <w:tcPr>
                  <w:tcW w:w="1745" w:type="dxa"/>
                  <w:tcBorders>
                    <w:bottom w:val="single" w:color="auto" w:sz="4" w:space="0"/>
                  </w:tcBorders>
                  <w:vAlign w:val="center"/>
                </w:tcPr>
                <w:p w14:paraId="2898479E">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r>
            <w:tr w14:paraId="2D6A0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2CA1E390">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274E408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712C328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废布袋</w:t>
                  </w:r>
                </w:p>
              </w:tc>
              <w:tc>
                <w:tcPr>
                  <w:tcW w:w="1755" w:type="dxa"/>
                  <w:tcBorders>
                    <w:bottom w:val="single" w:color="auto" w:sz="4" w:space="0"/>
                  </w:tcBorders>
                  <w:vAlign w:val="center"/>
                </w:tcPr>
                <w:p w14:paraId="7B6AB0C0">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0.7</w:t>
                  </w:r>
                </w:p>
              </w:tc>
              <w:tc>
                <w:tcPr>
                  <w:tcW w:w="1745" w:type="dxa"/>
                  <w:tcBorders>
                    <w:bottom w:val="single" w:color="auto" w:sz="4" w:space="0"/>
                  </w:tcBorders>
                  <w:vAlign w:val="center"/>
                </w:tcPr>
                <w:p w14:paraId="07147916">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r>
            <w:tr w14:paraId="1BDBB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0D87F2C1">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0300C638">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7E53DA3A">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废润滑油</w:t>
                  </w:r>
                </w:p>
              </w:tc>
              <w:tc>
                <w:tcPr>
                  <w:tcW w:w="1755" w:type="dxa"/>
                  <w:tcBorders>
                    <w:bottom w:val="single" w:color="auto" w:sz="4" w:space="0"/>
                  </w:tcBorders>
                  <w:vAlign w:val="center"/>
                </w:tcPr>
                <w:p w14:paraId="764856D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r>
                    <w:rPr>
                      <w:rFonts w:hint="eastAsia" w:cs="Times New Roman"/>
                      <w:color w:val="000000" w:themeColor="text1"/>
                      <w:lang w:val="en-US" w:eastAsia="zh-CN"/>
                    </w:rPr>
                    <w:t>2</w:t>
                  </w:r>
                </w:p>
              </w:tc>
              <w:tc>
                <w:tcPr>
                  <w:tcW w:w="1745" w:type="dxa"/>
                  <w:tcBorders>
                    <w:bottom w:val="single" w:color="auto" w:sz="4" w:space="0"/>
                  </w:tcBorders>
                  <w:vAlign w:val="center"/>
                </w:tcPr>
                <w:p w14:paraId="7964F29E">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r>
            <w:tr w14:paraId="5388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483BCEF3">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7AD8AF6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3EA9E9A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废润滑油桶</w:t>
                  </w:r>
                </w:p>
              </w:tc>
              <w:tc>
                <w:tcPr>
                  <w:tcW w:w="1755" w:type="dxa"/>
                  <w:tcBorders>
                    <w:bottom w:val="single" w:color="auto" w:sz="4" w:space="0"/>
                  </w:tcBorders>
                  <w:vAlign w:val="center"/>
                </w:tcPr>
                <w:p w14:paraId="5F86BC02">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0.1</w:t>
                  </w:r>
                </w:p>
              </w:tc>
              <w:tc>
                <w:tcPr>
                  <w:tcW w:w="1745" w:type="dxa"/>
                  <w:tcBorders>
                    <w:bottom w:val="single" w:color="auto" w:sz="4" w:space="0"/>
                  </w:tcBorders>
                  <w:vAlign w:val="center"/>
                </w:tcPr>
                <w:p w14:paraId="3DB225D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r>
            <w:tr w14:paraId="1811EA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17B705A4">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Merge w:val="continue"/>
                  <w:vAlign w:val="center"/>
                </w:tcPr>
                <w:p w14:paraId="7686FC3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740" w:type="dxa"/>
                  <w:vAlign w:val="center"/>
                </w:tcPr>
                <w:p w14:paraId="21D6BE32">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布袋收集粉尘</w:t>
                  </w:r>
                </w:p>
              </w:tc>
              <w:tc>
                <w:tcPr>
                  <w:tcW w:w="1755" w:type="dxa"/>
                  <w:vAlign w:val="center"/>
                </w:tcPr>
                <w:p w14:paraId="30FEAAE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cs="Times New Roman"/>
                      <w:color w:val="000000" w:themeColor="text1"/>
                      <w:lang w:val="en-US" w:eastAsia="zh-CN"/>
                    </w:rPr>
                  </w:pPr>
                  <w:r>
                    <w:rPr>
                      <w:rFonts w:hint="eastAsia" w:cs="Times New Roman"/>
                      <w:color w:val="000000" w:themeColor="text1"/>
                      <w:lang w:val="en-US" w:eastAsia="zh-CN"/>
                    </w:rPr>
                    <w:t>50</w:t>
                  </w:r>
                </w:p>
              </w:tc>
              <w:tc>
                <w:tcPr>
                  <w:tcW w:w="1745" w:type="dxa"/>
                  <w:vAlign w:val="center"/>
                </w:tcPr>
                <w:p w14:paraId="3A60E5CE">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r>
            <w:tr w14:paraId="47871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9" w:type="dxa"/>
                  <w:vMerge w:val="continue"/>
                  <w:vAlign w:val="center"/>
                </w:tcPr>
                <w:p w14:paraId="5BB9EDB5">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p>
              </w:tc>
              <w:tc>
                <w:tcPr>
                  <w:tcW w:w="1868" w:type="dxa"/>
                  <w:vAlign w:val="center"/>
                </w:tcPr>
                <w:p w14:paraId="1E93C19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办公生活区</w:t>
                  </w:r>
                </w:p>
              </w:tc>
              <w:tc>
                <w:tcPr>
                  <w:tcW w:w="1740" w:type="dxa"/>
                  <w:vAlign w:val="center"/>
                </w:tcPr>
                <w:p w14:paraId="38F14527">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lang w:val="en-US" w:eastAsia="zh-CN"/>
                    </w:rPr>
                    <w:t>生活垃圾</w:t>
                  </w:r>
                </w:p>
              </w:tc>
              <w:tc>
                <w:tcPr>
                  <w:tcW w:w="1755" w:type="dxa"/>
                  <w:vAlign w:val="center"/>
                </w:tcPr>
                <w:p w14:paraId="40AB594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6.75</w:t>
                  </w:r>
                </w:p>
              </w:tc>
              <w:tc>
                <w:tcPr>
                  <w:tcW w:w="1745" w:type="dxa"/>
                  <w:vAlign w:val="center"/>
                </w:tcPr>
                <w:p w14:paraId="2C7853EF">
                  <w:pPr>
                    <w:pStyle w:val="55"/>
                    <w:keepNext w:val="0"/>
                    <w:keepLines w:val="0"/>
                    <w:pageBreakBefore w:val="0"/>
                    <w:widowControl w:val="0"/>
                    <w:kinsoku/>
                    <w:wordWrap/>
                    <w:overflowPunct/>
                    <w:topLinePunct w:val="0"/>
                    <w:autoSpaceDE/>
                    <w:autoSpaceDN/>
                    <w:bidi w:val="0"/>
                    <w:adjustRightInd w:val="0"/>
                    <w:snapToGrid w:val="0"/>
                    <w:ind w:left="0" w:firstLine="0" w:firstLineChars="0"/>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r>
          </w:tbl>
          <w:p w14:paraId="1F4AC99E">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leftChars="0" w:right="0" w:firstLine="422" w:firstLineChars="200"/>
              <w:jc w:val="both"/>
              <w:textAlignment w:val="auto"/>
              <w:rPr>
                <w:rFonts w:hint="default" w:ascii="Times New Roman" w:hAnsi="Times New Roman" w:cs="Times New Roman"/>
                <w:b/>
                <w:bCs/>
                <w:color w:val="000000" w:themeColor="text1"/>
                <w:sz w:val="21"/>
                <w:szCs w:val="16"/>
                <w:lang w:val="en-US" w:eastAsia="zh-CN"/>
              </w:rPr>
            </w:pPr>
            <w:r>
              <w:rPr>
                <w:rFonts w:hint="eastAsia" w:ascii="Times New Roman" w:hAnsi="Times New Roman" w:eastAsia="宋体" w:cs="Times New Roman"/>
                <w:b/>
                <w:bCs/>
                <w:color w:val="000000" w:themeColor="text1"/>
                <w:sz w:val="21"/>
                <w:szCs w:val="16"/>
                <w:lang w:val="en-US" w:eastAsia="zh-CN"/>
              </w:rPr>
              <w:t>注</w:t>
            </w:r>
            <w:r>
              <w:rPr>
                <w:rFonts w:hint="eastAsia" w:ascii="Times New Roman" w:hAnsi="Times New Roman" w:cs="Times New Roman"/>
                <w:b/>
                <w:bCs/>
                <w:color w:val="000000" w:themeColor="text1"/>
                <w:sz w:val="21"/>
                <w:szCs w:val="16"/>
                <w:lang w:val="en-US" w:eastAsia="zh-CN"/>
              </w:rPr>
              <w:t>：以上数据均来源于验收数据。</w:t>
            </w:r>
          </w:p>
          <w:p w14:paraId="72CF5B2B">
            <w:pPr>
              <w:numPr>
                <w:ilvl w:val="0"/>
                <w:numId w:val="0"/>
              </w:numPr>
              <w:adjustRightInd w:val="0"/>
              <w:snapToGrid w:val="0"/>
              <w:ind w:leftChars="200"/>
              <w:rPr>
                <w:rFonts w:hint="default" w:ascii="Times New Roman" w:hAnsi="Times New Roman" w:eastAsia="宋体" w:cs="Times New Roman"/>
                <w:b/>
                <w:color w:val="000000" w:themeColor="text1"/>
              </w:rPr>
            </w:pPr>
            <w:r>
              <w:rPr>
                <w:rFonts w:hint="eastAsia" w:cs="Times New Roman"/>
                <w:b/>
                <w:color w:val="000000" w:themeColor="text1"/>
                <w:lang w:val="en-US" w:eastAsia="zh-CN"/>
              </w:rPr>
              <w:t>4</w:t>
            </w:r>
            <w:r>
              <w:rPr>
                <w:rFonts w:hint="default" w:ascii="Times New Roman" w:hAnsi="Times New Roman" w:eastAsia="宋体" w:cs="Times New Roman"/>
                <w:b/>
                <w:color w:val="000000" w:themeColor="text1"/>
              </w:rPr>
              <w:t>、现有工程污染物排放验收情况</w:t>
            </w:r>
          </w:p>
          <w:p w14:paraId="23C5A061">
            <w:pPr>
              <w:ind w:firstLine="480"/>
              <w:rPr>
                <w:rFonts w:hint="default" w:ascii="Times New Roman" w:hAnsi="Times New Roman" w:eastAsia="宋体" w:cs="Times New Roman"/>
                <w:bCs/>
                <w:color w:val="000000" w:themeColor="text1"/>
              </w:rPr>
            </w:pPr>
            <w:r>
              <w:rPr>
                <w:rFonts w:hint="eastAsia" w:cs="Times New Roman"/>
                <w:color w:val="000000" w:themeColor="text1"/>
                <w:lang w:eastAsia="zh-CN"/>
              </w:rPr>
              <w:t>本次</w:t>
            </w:r>
            <w:r>
              <w:rPr>
                <w:rFonts w:hint="default" w:ascii="Times New Roman" w:hAnsi="Times New Roman" w:eastAsia="宋体" w:cs="Times New Roman"/>
                <w:color w:val="000000" w:themeColor="text1"/>
              </w:rPr>
              <w:t>评价现有工程污染以及卫生防护距离情况引用现有工程验收报告中内容。根据《</w:t>
            </w:r>
            <w:r>
              <w:rPr>
                <w:rFonts w:hint="eastAsia" w:cs="Times New Roman"/>
                <w:color w:val="000000" w:themeColor="text1"/>
                <w:szCs w:val="32"/>
                <w:lang w:eastAsia="zh-CN"/>
              </w:rPr>
              <w:t>江西雷亚特导电碳黑有限公司</w:t>
            </w:r>
            <w:r>
              <w:rPr>
                <w:rFonts w:hint="eastAsia"/>
                <w:color w:val="000000" w:themeColor="text1"/>
                <w:sz w:val="24"/>
                <w:highlight w:val="none"/>
                <w:lang w:val="en-US" w:eastAsia="zh-CN"/>
              </w:rPr>
              <w:t>年产5000吨导电炭黑项目</w:t>
            </w:r>
            <w:r>
              <w:rPr>
                <w:rFonts w:hint="default" w:ascii="Times New Roman" w:hAnsi="Times New Roman" w:eastAsia="宋体" w:cs="Times New Roman"/>
                <w:color w:val="000000" w:themeColor="text1"/>
              </w:rPr>
              <w:t>竣工环境保护验收监测报告》，现有项目的卫生防护距离</w:t>
            </w:r>
            <w:r>
              <w:rPr>
                <w:rFonts w:hint="eastAsia" w:cs="Times New Roman"/>
                <w:color w:val="000000" w:themeColor="text1"/>
                <w:lang w:eastAsia="zh-CN"/>
              </w:rPr>
              <w:t>为以</w:t>
            </w:r>
            <w:r>
              <w:rPr>
                <w:rFonts w:hint="eastAsia" w:cs="Times New Roman"/>
                <w:color w:val="000000" w:themeColor="text1"/>
                <w:lang w:val="en-US" w:eastAsia="zh-CN"/>
              </w:rPr>
              <w:t>厂房</w:t>
            </w:r>
            <w:r>
              <w:rPr>
                <w:rFonts w:hint="default" w:ascii="Times New Roman" w:hAnsi="Times New Roman" w:eastAsia="宋体" w:cs="Times New Roman"/>
                <w:color w:val="000000" w:themeColor="text1"/>
              </w:rPr>
              <w:t>边界为起点</w:t>
            </w:r>
            <w:r>
              <w:rPr>
                <w:rFonts w:hint="eastAsia" w:cs="Times New Roman"/>
                <w:color w:val="000000" w:themeColor="text1"/>
                <w:lang w:val="en-US" w:eastAsia="zh-CN"/>
              </w:rPr>
              <w:t>50</w:t>
            </w:r>
            <w:r>
              <w:rPr>
                <w:rFonts w:hint="default" w:ascii="Times New Roman" w:hAnsi="Times New Roman" w:eastAsia="宋体" w:cs="Times New Roman"/>
                <w:color w:val="000000" w:themeColor="text1"/>
              </w:rPr>
              <w:t>m范围内为本项目的最终防护距离，根据验收时的现场调查，卫生防护距离内无居民区等环境敏感目标，满足现有项目卫生防护距离设置要求。项目现有工程污染情况如下：</w:t>
            </w:r>
          </w:p>
          <w:p w14:paraId="34242D7E">
            <w:pPr>
              <w:pStyle w:val="5"/>
              <w:numPr>
                <w:ilvl w:val="0"/>
                <w:numId w:val="7"/>
              </w:numPr>
              <w:adjustRightInd w:val="0"/>
              <w:snapToGrid w:val="0"/>
              <w:spacing w:before="0" w:after="0" w:line="360" w:lineRule="auto"/>
              <w:ind w:left="238" w:leftChars="0" w:firstLine="482" w:firstLineChars="0"/>
              <w:rPr>
                <w:rFonts w:hint="default" w:ascii="Times New Roman" w:hAnsi="Times New Roman" w:eastAsia="宋体" w:cs="Times New Roman"/>
                <w:bCs w:val="0"/>
                <w:color w:val="000000" w:themeColor="text1"/>
                <w:sz w:val="24"/>
                <w:szCs w:val="24"/>
              </w:rPr>
            </w:pPr>
            <w:r>
              <w:rPr>
                <w:rFonts w:hint="default" w:ascii="Times New Roman" w:hAnsi="Times New Roman" w:eastAsia="宋体" w:cs="Times New Roman"/>
                <w:bCs w:val="0"/>
                <w:color w:val="000000" w:themeColor="text1"/>
                <w:sz w:val="24"/>
                <w:szCs w:val="24"/>
              </w:rPr>
              <w:t>废水</w:t>
            </w:r>
          </w:p>
          <w:p w14:paraId="653A27CA">
            <w:pPr>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表2-1</w:t>
            </w:r>
            <w:r>
              <w:rPr>
                <w:rFonts w:hint="eastAsia" w:cs="Times New Roman"/>
                <w:b/>
                <w:color w:val="000000" w:themeColor="text1"/>
                <w:sz w:val="21"/>
                <w:szCs w:val="21"/>
                <w:lang w:val="en-US" w:eastAsia="zh-CN"/>
              </w:rPr>
              <w:t>8</w:t>
            </w:r>
            <w:r>
              <w:rPr>
                <w:rFonts w:hint="default" w:ascii="Times New Roman" w:hAnsi="Times New Roman" w:eastAsia="宋体" w:cs="Times New Roman"/>
                <w:b/>
                <w:color w:val="000000" w:themeColor="text1"/>
                <w:sz w:val="21"/>
                <w:szCs w:val="21"/>
              </w:rPr>
              <w:t xml:space="preserve"> </w:t>
            </w:r>
            <w:r>
              <w:rPr>
                <w:rFonts w:hint="eastAsia" w:cs="Times New Roman"/>
                <w:b/>
                <w:color w:val="000000" w:themeColor="text1"/>
                <w:sz w:val="21"/>
                <w:szCs w:val="21"/>
                <w:lang w:val="en-US" w:eastAsia="zh-CN"/>
              </w:rPr>
              <w:t xml:space="preserve">  综合废水</w:t>
            </w:r>
            <w:r>
              <w:rPr>
                <w:rFonts w:hint="default" w:ascii="Times New Roman" w:hAnsi="Times New Roman" w:eastAsia="宋体" w:cs="Times New Roman"/>
                <w:b/>
                <w:color w:val="000000" w:themeColor="text1"/>
                <w:sz w:val="21"/>
                <w:szCs w:val="21"/>
              </w:rPr>
              <w:t>排口监测结果统计一览表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68"/>
              <w:gridCol w:w="847"/>
              <w:gridCol w:w="739"/>
              <w:gridCol w:w="739"/>
              <w:gridCol w:w="737"/>
              <w:gridCol w:w="737"/>
              <w:gridCol w:w="739"/>
              <w:gridCol w:w="1193"/>
              <w:gridCol w:w="783"/>
              <w:gridCol w:w="793"/>
            </w:tblGrid>
            <w:tr w14:paraId="4BE01DF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restart"/>
                  <w:vAlign w:val="center"/>
                </w:tcPr>
                <w:p w14:paraId="03DDD2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606564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点位</w:t>
                  </w:r>
                </w:p>
              </w:tc>
              <w:tc>
                <w:tcPr>
                  <w:tcW w:w="531" w:type="pct"/>
                  <w:vMerge w:val="restart"/>
                  <w:vAlign w:val="center"/>
                </w:tcPr>
                <w:p w14:paraId="1759438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068526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463" w:type="pct"/>
                  <w:vMerge w:val="restart"/>
                  <w:vAlign w:val="center"/>
                </w:tcPr>
                <w:p w14:paraId="5B3A910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21A79EE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日期</w:t>
                  </w:r>
                </w:p>
              </w:tc>
              <w:tc>
                <w:tcPr>
                  <w:tcW w:w="2598" w:type="pct"/>
                  <w:gridSpan w:val="5"/>
                  <w:vAlign w:val="center"/>
                </w:tcPr>
                <w:p w14:paraId="05F964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监测结果</w:t>
                  </w:r>
                </w:p>
              </w:tc>
              <w:tc>
                <w:tcPr>
                  <w:tcW w:w="490" w:type="pct"/>
                  <w:vMerge w:val="restart"/>
                  <w:vAlign w:val="center"/>
                </w:tcPr>
                <w:p w14:paraId="1DF5D6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执行限值</w:t>
                  </w:r>
                </w:p>
              </w:tc>
              <w:tc>
                <w:tcPr>
                  <w:tcW w:w="497" w:type="pct"/>
                  <w:vMerge w:val="restart"/>
                  <w:vAlign w:val="center"/>
                </w:tcPr>
                <w:p w14:paraId="0BD4F2B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达标</w:t>
                  </w:r>
                </w:p>
                <w:p w14:paraId="492853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情况</w:t>
                  </w:r>
                </w:p>
              </w:tc>
            </w:tr>
            <w:tr w14:paraId="462457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76D0F1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Merge w:val="continue"/>
                  <w:vAlign w:val="center"/>
                </w:tcPr>
                <w:p w14:paraId="0563467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Merge w:val="continue"/>
                  <w:vAlign w:val="center"/>
                </w:tcPr>
                <w:p w14:paraId="43A86A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2D7FCA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①</w:t>
                  </w:r>
                </w:p>
              </w:tc>
              <w:tc>
                <w:tcPr>
                  <w:tcW w:w="461" w:type="pct"/>
                  <w:vAlign w:val="center"/>
                </w:tcPr>
                <w:p w14:paraId="28803CB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②</w:t>
                  </w:r>
                </w:p>
              </w:tc>
              <w:tc>
                <w:tcPr>
                  <w:tcW w:w="461" w:type="pct"/>
                  <w:vAlign w:val="center"/>
                </w:tcPr>
                <w:p w14:paraId="0FAE12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③</w:t>
                  </w:r>
                </w:p>
              </w:tc>
              <w:tc>
                <w:tcPr>
                  <w:tcW w:w="463" w:type="pct"/>
                  <w:vAlign w:val="center"/>
                </w:tcPr>
                <w:p w14:paraId="1C53C8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④</w:t>
                  </w:r>
                </w:p>
              </w:tc>
              <w:tc>
                <w:tcPr>
                  <w:tcW w:w="748" w:type="pct"/>
                  <w:vAlign w:val="center"/>
                </w:tcPr>
                <w:p w14:paraId="0D47F2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均值</w:t>
                  </w:r>
                </w:p>
                <w:p w14:paraId="5C206C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或范围</w:t>
                  </w:r>
                </w:p>
              </w:tc>
              <w:tc>
                <w:tcPr>
                  <w:tcW w:w="490" w:type="pct"/>
                  <w:vMerge w:val="continue"/>
                  <w:vAlign w:val="center"/>
                </w:tcPr>
                <w:p w14:paraId="040DDF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97" w:type="pct"/>
                  <w:vMerge w:val="continue"/>
                  <w:vAlign w:val="center"/>
                </w:tcPr>
                <w:p w14:paraId="67FF8A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r>
            <w:tr w14:paraId="56D0B4B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restart"/>
                  <w:vAlign w:val="center"/>
                </w:tcPr>
                <w:p w14:paraId="12E805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WW1</w:t>
                  </w:r>
                  <w:r>
                    <w:rPr>
                      <w:rFonts w:hint="default" w:ascii="Times New Roman" w:hAnsi="Times New Roman" w:eastAsia="宋体" w:cs="Times New Roman"/>
                      <w:color w:val="000000" w:themeColor="text1"/>
                      <w:sz w:val="21"/>
                      <w:szCs w:val="21"/>
                      <w:vertAlign w:val="superscript"/>
                    </w:rPr>
                    <w:t>#</w:t>
                  </w:r>
                  <w:r>
                    <w:rPr>
                      <w:rFonts w:hint="default" w:ascii="Times New Roman" w:hAnsi="Times New Roman" w:eastAsia="宋体" w:cs="Times New Roman"/>
                      <w:color w:val="000000" w:themeColor="text1"/>
                      <w:sz w:val="21"/>
                      <w:szCs w:val="21"/>
                    </w:rPr>
                    <w:t>综合废水总排口</w:t>
                  </w:r>
                </w:p>
              </w:tc>
              <w:tc>
                <w:tcPr>
                  <w:tcW w:w="531" w:type="pct"/>
                  <w:vAlign w:val="center"/>
                </w:tcPr>
                <w:p w14:paraId="3F3DC32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pH值</w:t>
                  </w:r>
                </w:p>
              </w:tc>
              <w:tc>
                <w:tcPr>
                  <w:tcW w:w="463" w:type="pct"/>
                  <w:vMerge w:val="restart"/>
                  <w:vAlign w:val="center"/>
                </w:tcPr>
                <w:p w14:paraId="1E17D3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2017年3月</w:t>
                  </w:r>
                </w:p>
                <w:p w14:paraId="033A471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07日</w:t>
                  </w:r>
                </w:p>
              </w:tc>
              <w:tc>
                <w:tcPr>
                  <w:tcW w:w="463" w:type="pct"/>
                  <w:vAlign w:val="center"/>
                </w:tcPr>
                <w:p w14:paraId="2A88088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7.10</w:t>
                  </w:r>
                </w:p>
              </w:tc>
              <w:tc>
                <w:tcPr>
                  <w:tcW w:w="461" w:type="pct"/>
                  <w:vAlign w:val="center"/>
                </w:tcPr>
                <w:p w14:paraId="02DFAE3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7.09</w:t>
                  </w:r>
                </w:p>
              </w:tc>
              <w:tc>
                <w:tcPr>
                  <w:tcW w:w="461" w:type="pct"/>
                  <w:vAlign w:val="center"/>
                </w:tcPr>
                <w:p w14:paraId="4A1E98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7.06</w:t>
                  </w:r>
                </w:p>
              </w:tc>
              <w:tc>
                <w:tcPr>
                  <w:tcW w:w="463" w:type="pct"/>
                  <w:vAlign w:val="center"/>
                </w:tcPr>
                <w:p w14:paraId="1C2DB1D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7.12</w:t>
                  </w:r>
                </w:p>
              </w:tc>
              <w:tc>
                <w:tcPr>
                  <w:tcW w:w="748" w:type="pct"/>
                  <w:vAlign w:val="center"/>
                </w:tcPr>
                <w:p w14:paraId="481EB8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7.06~7.12</w:t>
                  </w:r>
                </w:p>
              </w:tc>
              <w:tc>
                <w:tcPr>
                  <w:tcW w:w="490" w:type="pct"/>
                  <w:vAlign w:val="center"/>
                </w:tcPr>
                <w:p w14:paraId="294605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6~9</w:t>
                  </w:r>
                </w:p>
              </w:tc>
              <w:tc>
                <w:tcPr>
                  <w:tcW w:w="497" w:type="pct"/>
                  <w:vAlign w:val="center"/>
                </w:tcPr>
                <w:p w14:paraId="01D581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598FA4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13B6DF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4BFC65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COD</w:t>
                  </w:r>
                  <w:r>
                    <w:rPr>
                      <w:rFonts w:hint="default" w:ascii="Times New Roman" w:hAnsi="Times New Roman" w:eastAsia="宋体" w:cs="Times New Roman"/>
                      <w:color w:val="000000" w:themeColor="text1"/>
                      <w:sz w:val="21"/>
                      <w:szCs w:val="21"/>
                      <w:vertAlign w:val="subscript"/>
                    </w:rPr>
                    <w:t>Cr</w:t>
                  </w:r>
                </w:p>
              </w:tc>
              <w:tc>
                <w:tcPr>
                  <w:tcW w:w="463" w:type="pct"/>
                  <w:vMerge w:val="continue"/>
                  <w:vAlign w:val="center"/>
                </w:tcPr>
                <w:p w14:paraId="368BC3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6DCDAA1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211</w:t>
                  </w:r>
                </w:p>
              </w:tc>
              <w:tc>
                <w:tcPr>
                  <w:tcW w:w="461" w:type="pct"/>
                  <w:vAlign w:val="center"/>
                </w:tcPr>
                <w:p w14:paraId="7FCC15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206</w:t>
                  </w:r>
                </w:p>
              </w:tc>
              <w:tc>
                <w:tcPr>
                  <w:tcW w:w="461" w:type="pct"/>
                  <w:vAlign w:val="center"/>
                </w:tcPr>
                <w:p w14:paraId="16C22C8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209</w:t>
                  </w:r>
                </w:p>
              </w:tc>
              <w:tc>
                <w:tcPr>
                  <w:tcW w:w="463" w:type="pct"/>
                  <w:vAlign w:val="center"/>
                </w:tcPr>
                <w:p w14:paraId="177E270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202</w:t>
                  </w:r>
                </w:p>
              </w:tc>
              <w:tc>
                <w:tcPr>
                  <w:tcW w:w="748" w:type="pct"/>
                  <w:vAlign w:val="center"/>
                </w:tcPr>
                <w:p w14:paraId="6081ED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207</w:t>
                  </w:r>
                </w:p>
              </w:tc>
              <w:tc>
                <w:tcPr>
                  <w:tcW w:w="490" w:type="pct"/>
                  <w:vAlign w:val="center"/>
                </w:tcPr>
                <w:p w14:paraId="31122E9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220</w:t>
                  </w:r>
                </w:p>
              </w:tc>
              <w:tc>
                <w:tcPr>
                  <w:tcW w:w="497" w:type="pct"/>
                  <w:vAlign w:val="center"/>
                </w:tcPr>
                <w:p w14:paraId="461BCC9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6ACD7DA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764F58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39A0BD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BOD</w:t>
                  </w:r>
                  <w:r>
                    <w:rPr>
                      <w:rFonts w:hint="default" w:ascii="Times New Roman" w:hAnsi="Times New Roman" w:eastAsia="宋体" w:cs="Times New Roman"/>
                      <w:color w:val="000000" w:themeColor="text1"/>
                      <w:sz w:val="21"/>
                      <w:szCs w:val="21"/>
                      <w:vertAlign w:val="subscript"/>
                    </w:rPr>
                    <w:t>5</w:t>
                  </w:r>
                </w:p>
              </w:tc>
              <w:tc>
                <w:tcPr>
                  <w:tcW w:w="463" w:type="pct"/>
                  <w:vMerge w:val="continue"/>
                  <w:vAlign w:val="center"/>
                </w:tcPr>
                <w:p w14:paraId="575591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15157FA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133</w:t>
                  </w:r>
                </w:p>
              </w:tc>
              <w:tc>
                <w:tcPr>
                  <w:tcW w:w="461" w:type="pct"/>
                  <w:vAlign w:val="center"/>
                </w:tcPr>
                <w:p w14:paraId="7B0093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131</w:t>
                  </w:r>
                </w:p>
              </w:tc>
              <w:tc>
                <w:tcPr>
                  <w:tcW w:w="461" w:type="pct"/>
                  <w:vAlign w:val="center"/>
                </w:tcPr>
                <w:p w14:paraId="3CD01CE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w:t>
                  </w:r>
                </w:p>
              </w:tc>
              <w:tc>
                <w:tcPr>
                  <w:tcW w:w="463" w:type="pct"/>
                  <w:vAlign w:val="center"/>
                </w:tcPr>
                <w:p w14:paraId="36AF7A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127</w:t>
                  </w:r>
                </w:p>
              </w:tc>
              <w:tc>
                <w:tcPr>
                  <w:tcW w:w="748" w:type="pct"/>
                  <w:vAlign w:val="center"/>
                </w:tcPr>
                <w:p w14:paraId="2A03CFC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130</w:t>
                  </w:r>
                </w:p>
              </w:tc>
              <w:tc>
                <w:tcPr>
                  <w:tcW w:w="490" w:type="pct"/>
                  <w:vAlign w:val="center"/>
                </w:tcPr>
                <w:p w14:paraId="510966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497" w:type="pct"/>
                  <w:vAlign w:val="center"/>
                </w:tcPr>
                <w:p w14:paraId="1DE06C8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01CF0ED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57CDD0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6596F6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463" w:type="pct"/>
                  <w:vMerge w:val="continue"/>
                  <w:vAlign w:val="center"/>
                </w:tcPr>
                <w:p w14:paraId="5C61FD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216598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21.8</w:t>
                  </w:r>
                </w:p>
              </w:tc>
              <w:tc>
                <w:tcPr>
                  <w:tcW w:w="461" w:type="pct"/>
                  <w:vAlign w:val="center"/>
                </w:tcPr>
                <w:p w14:paraId="196139F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21.7</w:t>
                  </w:r>
                </w:p>
              </w:tc>
              <w:tc>
                <w:tcPr>
                  <w:tcW w:w="461" w:type="pct"/>
                  <w:vAlign w:val="center"/>
                </w:tcPr>
                <w:p w14:paraId="754E5AD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21.9</w:t>
                  </w:r>
                </w:p>
              </w:tc>
              <w:tc>
                <w:tcPr>
                  <w:tcW w:w="463" w:type="pct"/>
                  <w:vAlign w:val="center"/>
                </w:tcPr>
                <w:p w14:paraId="1359345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21.8</w:t>
                  </w:r>
                </w:p>
              </w:tc>
              <w:tc>
                <w:tcPr>
                  <w:tcW w:w="748" w:type="pct"/>
                  <w:vAlign w:val="center"/>
                </w:tcPr>
                <w:p w14:paraId="3820B3F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21.8</w:t>
                  </w:r>
                </w:p>
              </w:tc>
              <w:tc>
                <w:tcPr>
                  <w:tcW w:w="490" w:type="pct"/>
                  <w:vAlign w:val="center"/>
                </w:tcPr>
                <w:p w14:paraId="7D9793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w:t>
                  </w:r>
                </w:p>
              </w:tc>
              <w:tc>
                <w:tcPr>
                  <w:tcW w:w="497" w:type="pct"/>
                  <w:vAlign w:val="center"/>
                </w:tcPr>
                <w:p w14:paraId="784769A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5AB313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58DEBA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1CF2882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悬浮物</w:t>
                  </w:r>
                </w:p>
              </w:tc>
              <w:tc>
                <w:tcPr>
                  <w:tcW w:w="463" w:type="pct"/>
                  <w:vMerge w:val="continue"/>
                  <w:vAlign w:val="center"/>
                </w:tcPr>
                <w:p w14:paraId="0971D5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7597C7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110</w:t>
                  </w:r>
                </w:p>
              </w:tc>
              <w:tc>
                <w:tcPr>
                  <w:tcW w:w="461" w:type="pct"/>
                  <w:vAlign w:val="center"/>
                </w:tcPr>
                <w:p w14:paraId="68E1738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95</w:t>
                  </w:r>
                </w:p>
              </w:tc>
              <w:tc>
                <w:tcPr>
                  <w:tcW w:w="461" w:type="pct"/>
                  <w:vAlign w:val="center"/>
                </w:tcPr>
                <w:p w14:paraId="6A363F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w:t>
                  </w:r>
                </w:p>
              </w:tc>
              <w:tc>
                <w:tcPr>
                  <w:tcW w:w="463" w:type="pct"/>
                  <w:vAlign w:val="center"/>
                </w:tcPr>
                <w:p w14:paraId="0A18D80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105</w:t>
                  </w:r>
                </w:p>
              </w:tc>
              <w:tc>
                <w:tcPr>
                  <w:tcW w:w="748" w:type="pct"/>
                  <w:vAlign w:val="center"/>
                </w:tcPr>
                <w:p w14:paraId="5AFCF8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100</w:t>
                  </w:r>
                </w:p>
              </w:tc>
              <w:tc>
                <w:tcPr>
                  <w:tcW w:w="490" w:type="pct"/>
                  <w:vAlign w:val="center"/>
                </w:tcPr>
                <w:p w14:paraId="3A3BE4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497" w:type="pct"/>
                  <w:vAlign w:val="center"/>
                </w:tcPr>
                <w:p w14:paraId="4DB89F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4645A86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100361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7C7FDA7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pH值</w:t>
                  </w:r>
                </w:p>
              </w:tc>
              <w:tc>
                <w:tcPr>
                  <w:tcW w:w="463" w:type="pct"/>
                  <w:vMerge w:val="restart"/>
                  <w:vAlign w:val="center"/>
                </w:tcPr>
                <w:p w14:paraId="501C74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2017年3月</w:t>
                  </w:r>
                </w:p>
                <w:p w14:paraId="349DD7B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08日</w:t>
                  </w:r>
                </w:p>
              </w:tc>
              <w:tc>
                <w:tcPr>
                  <w:tcW w:w="463" w:type="pct"/>
                  <w:vAlign w:val="center"/>
                </w:tcPr>
                <w:p w14:paraId="46620A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7.15</w:t>
                  </w:r>
                </w:p>
              </w:tc>
              <w:tc>
                <w:tcPr>
                  <w:tcW w:w="461" w:type="pct"/>
                  <w:vAlign w:val="center"/>
                </w:tcPr>
                <w:p w14:paraId="4A283C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7.08</w:t>
                  </w:r>
                </w:p>
              </w:tc>
              <w:tc>
                <w:tcPr>
                  <w:tcW w:w="461" w:type="pct"/>
                  <w:vAlign w:val="center"/>
                </w:tcPr>
                <w:p w14:paraId="00C686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7.26</w:t>
                  </w:r>
                </w:p>
              </w:tc>
              <w:tc>
                <w:tcPr>
                  <w:tcW w:w="463" w:type="pct"/>
                  <w:vAlign w:val="center"/>
                </w:tcPr>
                <w:p w14:paraId="7D218E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7.05</w:t>
                  </w:r>
                </w:p>
              </w:tc>
              <w:tc>
                <w:tcPr>
                  <w:tcW w:w="748" w:type="pct"/>
                  <w:vAlign w:val="center"/>
                </w:tcPr>
                <w:p w14:paraId="3BE8D08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7.05~7.26</w:t>
                  </w:r>
                </w:p>
              </w:tc>
              <w:tc>
                <w:tcPr>
                  <w:tcW w:w="490" w:type="pct"/>
                  <w:vAlign w:val="center"/>
                </w:tcPr>
                <w:p w14:paraId="55C13E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6~9</w:t>
                  </w:r>
                </w:p>
              </w:tc>
              <w:tc>
                <w:tcPr>
                  <w:tcW w:w="497" w:type="pct"/>
                  <w:vAlign w:val="center"/>
                </w:tcPr>
                <w:p w14:paraId="4B2706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73DB1F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7C465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3372DD6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COD</w:t>
                  </w:r>
                  <w:r>
                    <w:rPr>
                      <w:rFonts w:hint="default" w:ascii="Times New Roman" w:hAnsi="Times New Roman" w:eastAsia="宋体" w:cs="Times New Roman"/>
                      <w:color w:val="000000" w:themeColor="text1"/>
                      <w:sz w:val="21"/>
                      <w:szCs w:val="21"/>
                      <w:vertAlign w:val="subscript"/>
                    </w:rPr>
                    <w:t>Cr</w:t>
                  </w:r>
                </w:p>
              </w:tc>
              <w:tc>
                <w:tcPr>
                  <w:tcW w:w="463" w:type="pct"/>
                  <w:vMerge w:val="continue"/>
                  <w:vAlign w:val="center"/>
                </w:tcPr>
                <w:p w14:paraId="04619A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2B37EB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211</w:t>
                  </w:r>
                </w:p>
              </w:tc>
              <w:tc>
                <w:tcPr>
                  <w:tcW w:w="461" w:type="pct"/>
                  <w:vAlign w:val="center"/>
                </w:tcPr>
                <w:p w14:paraId="22C71B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209</w:t>
                  </w:r>
                </w:p>
              </w:tc>
              <w:tc>
                <w:tcPr>
                  <w:tcW w:w="461" w:type="pct"/>
                  <w:vAlign w:val="center"/>
                </w:tcPr>
                <w:p w14:paraId="1B9F5E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186</w:t>
                  </w:r>
                </w:p>
              </w:tc>
              <w:tc>
                <w:tcPr>
                  <w:tcW w:w="463" w:type="pct"/>
                  <w:vAlign w:val="center"/>
                </w:tcPr>
                <w:p w14:paraId="6BBE578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194</w:t>
                  </w:r>
                </w:p>
              </w:tc>
              <w:tc>
                <w:tcPr>
                  <w:tcW w:w="748" w:type="pct"/>
                </w:tcPr>
                <w:p w14:paraId="436E7B4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w:t>
                  </w:r>
                </w:p>
              </w:tc>
              <w:tc>
                <w:tcPr>
                  <w:tcW w:w="490" w:type="pct"/>
                  <w:vAlign w:val="center"/>
                </w:tcPr>
                <w:p w14:paraId="69442A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220</w:t>
                  </w:r>
                </w:p>
              </w:tc>
              <w:tc>
                <w:tcPr>
                  <w:tcW w:w="497" w:type="pct"/>
                  <w:vAlign w:val="center"/>
                </w:tcPr>
                <w:p w14:paraId="4354B7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1190983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5D7F2C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7BAAAB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BOD</w:t>
                  </w:r>
                  <w:r>
                    <w:rPr>
                      <w:rFonts w:hint="default" w:ascii="Times New Roman" w:hAnsi="Times New Roman" w:eastAsia="宋体" w:cs="Times New Roman"/>
                      <w:color w:val="000000" w:themeColor="text1"/>
                      <w:sz w:val="21"/>
                      <w:szCs w:val="21"/>
                      <w:vertAlign w:val="subscript"/>
                    </w:rPr>
                    <w:t>5</w:t>
                  </w:r>
                </w:p>
              </w:tc>
              <w:tc>
                <w:tcPr>
                  <w:tcW w:w="463" w:type="pct"/>
                  <w:vMerge w:val="continue"/>
                  <w:vAlign w:val="center"/>
                </w:tcPr>
                <w:p w14:paraId="5C299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751428F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w:t>
                  </w:r>
                </w:p>
              </w:tc>
              <w:tc>
                <w:tcPr>
                  <w:tcW w:w="461" w:type="pct"/>
                  <w:vAlign w:val="center"/>
                </w:tcPr>
                <w:p w14:paraId="5A747D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117</w:t>
                  </w:r>
                </w:p>
              </w:tc>
              <w:tc>
                <w:tcPr>
                  <w:tcW w:w="461" w:type="pct"/>
                  <w:vAlign w:val="center"/>
                </w:tcPr>
                <w:p w14:paraId="793BCA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115</w:t>
                  </w:r>
                </w:p>
              </w:tc>
              <w:tc>
                <w:tcPr>
                  <w:tcW w:w="463" w:type="pct"/>
                  <w:vAlign w:val="center"/>
                </w:tcPr>
                <w:p w14:paraId="34D475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129</w:t>
                  </w:r>
                </w:p>
              </w:tc>
              <w:tc>
                <w:tcPr>
                  <w:tcW w:w="748" w:type="pct"/>
                </w:tcPr>
                <w:p w14:paraId="4AE4D8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120</w:t>
                  </w:r>
                </w:p>
              </w:tc>
              <w:tc>
                <w:tcPr>
                  <w:tcW w:w="490" w:type="pct"/>
                  <w:vAlign w:val="center"/>
                </w:tcPr>
                <w:p w14:paraId="6F4E058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497" w:type="pct"/>
                  <w:vAlign w:val="center"/>
                </w:tcPr>
                <w:p w14:paraId="14EE34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553741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5C3DE7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66C4FF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氨氮</w:t>
                  </w:r>
                </w:p>
              </w:tc>
              <w:tc>
                <w:tcPr>
                  <w:tcW w:w="463" w:type="pct"/>
                  <w:vMerge w:val="continue"/>
                  <w:vAlign w:val="center"/>
                </w:tcPr>
                <w:p w14:paraId="651695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0C384B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21.3</w:t>
                  </w:r>
                </w:p>
              </w:tc>
              <w:tc>
                <w:tcPr>
                  <w:tcW w:w="461" w:type="pct"/>
                  <w:vAlign w:val="center"/>
                </w:tcPr>
                <w:p w14:paraId="034BBD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22.0</w:t>
                  </w:r>
                </w:p>
              </w:tc>
              <w:tc>
                <w:tcPr>
                  <w:tcW w:w="461" w:type="pct"/>
                  <w:vAlign w:val="center"/>
                </w:tcPr>
                <w:p w14:paraId="7515B6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21.9</w:t>
                  </w:r>
                </w:p>
              </w:tc>
              <w:tc>
                <w:tcPr>
                  <w:tcW w:w="463" w:type="pct"/>
                  <w:vAlign w:val="center"/>
                </w:tcPr>
                <w:p w14:paraId="50DA67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21.7</w:t>
                  </w:r>
                </w:p>
              </w:tc>
              <w:tc>
                <w:tcPr>
                  <w:tcW w:w="748" w:type="pct"/>
                </w:tcPr>
                <w:p w14:paraId="4ED0D6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21.7</w:t>
                  </w:r>
                </w:p>
              </w:tc>
              <w:tc>
                <w:tcPr>
                  <w:tcW w:w="490" w:type="pct"/>
                  <w:vAlign w:val="center"/>
                </w:tcPr>
                <w:p w14:paraId="5712799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w:t>
                  </w:r>
                </w:p>
              </w:tc>
              <w:tc>
                <w:tcPr>
                  <w:tcW w:w="497" w:type="pct"/>
                  <w:vAlign w:val="center"/>
                </w:tcPr>
                <w:p w14:paraId="018522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4015957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419" w:type="pct"/>
                  <w:vMerge w:val="continue"/>
                  <w:vAlign w:val="center"/>
                </w:tcPr>
                <w:p w14:paraId="7FB1D0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531" w:type="pct"/>
                  <w:vAlign w:val="center"/>
                </w:tcPr>
                <w:p w14:paraId="5B662D0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悬浮物</w:t>
                  </w:r>
                </w:p>
              </w:tc>
              <w:tc>
                <w:tcPr>
                  <w:tcW w:w="463" w:type="pct"/>
                  <w:vMerge w:val="continue"/>
                  <w:vAlign w:val="center"/>
                </w:tcPr>
                <w:p w14:paraId="6B4DA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p>
              </w:tc>
              <w:tc>
                <w:tcPr>
                  <w:tcW w:w="463" w:type="pct"/>
                  <w:vAlign w:val="center"/>
                </w:tcPr>
                <w:p w14:paraId="6E11BD0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w:t>
                  </w:r>
                </w:p>
              </w:tc>
              <w:tc>
                <w:tcPr>
                  <w:tcW w:w="461" w:type="pct"/>
                  <w:vAlign w:val="center"/>
                </w:tcPr>
                <w:p w14:paraId="17C2C1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115</w:t>
                  </w:r>
                </w:p>
              </w:tc>
              <w:tc>
                <w:tcPr>
                  <w:tcW w:w="461" w:type="pct"/>
                  <w:vAlign w:val="center"/>
                </w:tcPr>
                <w:p w14:paraId="0B5B0E1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105</w:t>
                  </w:r>
                </w:p>
              </w:tc>
              <w:tc>
                <w:tcPr>
                  <w:tcW w:w="463" w:type="pct"/>
                  <w:vAlign w:val="center"/>
                </w:tcPr>
                <w:p w14:paraId="69578E6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105</w:t>
                  </w:r>
                </w:p>
              </w:tc>
              <w:tc>
                <w:tcPr>
                  <w:tcW w:w="748" w:type="pct"/>
                  <w:vAlign w:val="center"/>
                </w:tcPr>
                <w:p w14:paraId="6B0EEB5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104</w:t>
                  </w:r>
                </w:p>
              </w:tc>
              <w:tc>
                <w:tcPr>
                  <w:tcW w:w="490" w:type="pct"/>
                  <w:vAlign w:val="center"/>
                </w:tcPr>
                <w:p w14:paraId="1124B1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497" w:type="pct"/>
                  <w:vAlign w:val="center"/>
                </w:tcPr>
                <w:p w14:paraId="3DC16A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bl>
          <w:p w14:paraId="28563268">
            <w:pPr>
              <w:pStyle w:val="2"/>
              <w:spacing w:before="0" w:after="0" w:line="360" w:lineRule="auto"/>
              <w:ind w:firstLine="480" w:firstLineChars="200"/>
              <w:jc w:val="both"/>
              <w:rPr>
                <w:b w:val="0"/>
                <w:color w:val="000000" w:themeColor="text1"/>
                <w:kern w:val="2"/>
                <w:sz w:val="24"/>
              </w:rPr>
            </w:pPr>
            <w:bookmarkStart w:id="2" w:name="由表9-5可知，验收监测期间，生活污水排口监测项目的日均浓度最大值分别为：化学需"/>
            <w:bookmarkEnd w:id="2"/>
            <w:r>
              <w:rPr>
                <w:b w:val="0"/>
                <w:color w:val="000000" w:themeColor="text1"/>
                <w:kern w:val="2"/>
                <w:sz w:val="24"/>
              </w:rPr>
              <w:t>由</w:t>
            </w:r>
            <w:r>
              <w:rPr>
                <w:rFonts w:hint="eastAsia"/>
                <w:b w:val="0"/>
                <w:color w:val="000000" w:themeColor="text1"/>
                <w:kern w:val="2"/>
                <w:sz w:val="24"/>
                <w:lang w:val="en-US" w:eastAsia="zh-CN"/>
              </w:rPr>
              <w:t>上</w:t>
            </w:r>
            <w:r>
              <w:rPr>
                <w:b w:val="0"/>
                <w:color w:val="000000" w:themeColor="text1"/>
                <w:kern w:val="2"/>
                <w:sz w:val="24"/>
              </w:rPr>
              <w:t>表可知，验收监测期间，</w:t>
            </w:r>
            <w:r>
              <w:rPr>
                <w:rFonts w:hint="eastAsia"/>
                <w:b w:val="0"/>
                <w:color w:val="000000" w:themeColor="text1"/>
                <w:kern w:val="2"/>
                <w:sz w:val="24"/>
                <w:lang w:val="en-US" w:eastAsia="zh-CN"/>
              </w:rPr>
              <w:t>综合废水总排口（WW1#）的监测项目中，各项因子pH值（范围7.05~7.26）化学需氧量（最大日均浓度207 mg/L）、五日生化需氧量（最大日均浓度130 mg/L）、氨氮（最大日均浓度21.8 mg/L）、悬浮物（最大日均浓度104 mg/L）均满足赤湖工业园污水处理厂接管</w:t>
            </w:r>
            <w:r>
              <w:rPr>
                <w:rFonts w:hint="default"/>
                <w:b w:val="0"/>
                <w:color w:val="000000" w:themeColor="text1"/>
                <w:kern w:val="2"/>
                <w:sz w:val="24"/>
              </w:rPr>
              <w:t>标准</w:t>
            </w:r>
            <w:r>
              <w:rPr>
                <w:b w:val="0"/>
                <w:color w:val="000000" w:themeColor="text1"/>
                <w:kern w:val="2"/>
                <w:sz w:val="24"/>
              </w:rPr>
              <w:t>要求。</w:t>
            </w:r>
          </w:p>
          <w:p w14:paraId="287EDC52">
            <w:pPr>
              <w:pStyle w:val="5"/>
              <w:numPr>
                <w:ilvl w:val="3"/>
                <w:numId w:val="0"/>
              </w:numPr>
              <w:adjustRightInd w:val="0"/>
              <w:snapToGrid w:val="0"/>
              <w:spacing w:before="0" w:after="0" w:line="360" w:lineRule="auto"/>
              <w:ind w:firstLine="482"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（2）废气</w:t>
            </w:r>
          </w:p>
          <w:p w14:paraId="676982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rPr>
            </w:pPr>
            <w:r>
              <w:rPr>
                <w:rFonts w:hint="eastAsia" w:cs="Times New Roman"/>
                <w:color w:val="000000" w:themeColor="text1"/>
                <w:lang w:val="en-US" w:eastAsia="zh-CN"/>
              </w:rPr>
              <w:t>1）</w:t>
            </w:r>
            <w:r>
              <w:rPr>
                <w:rFonts w:hint="default" w:ascii="Times New Roman" w:hAnsi="Times New Roman" w:eastAsia="宋体" w:cs="Times New Roman"/>
                <w:color w:val="000000" w:themeColor="text1"/>
              </w:rPr>
              <w:t>无组织废气</w:t>
            </w:r>
          </w:p>
          <w:p w14:paraId="0AC7250F">
            <w:pPr>
              <w:pStyle w:val="4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表2-1</w:t>
            </w:r>
            <w:r>
              <w:rPr>
                <w:rFonts w:hint="eastAsia" w:ascii="Times New Roman" w:hAnsi="Times New Roman" w:eastAsia="宋体" w:cs="Times New Roman"/>
                <w:b/>
                <w:bCs w:val="0"/>
                <w:color w:val="000000" w:themeColor="text1"/>
                <w:sz w:val="21"/>
                <w:szCs w:val="21"/>
                <w:lang w:val="en-US" w:eastAsia="zh-CN"/>
              </w:rPr>
              <w:t>9</w:t>
            </w:r>
            <w:r>
              <w:rPr>
                <w:rFonts w:hint="default" w:ascii="Times New Roman" w:hAnsi="Times New Roman" w:eastAsia="宋体" w:cs="Times New Roman"/>
                <w:b/>
                <w:bCs w:val="0"/>
                <w:color w:val="000000" w:themeColor="text1"/>
                <w:sz w:val="21"/>
                <w:szCs w:val="21"/>
              </w:rPr>
              <w:t xml:space="preserve"> 无组织废气检测结果统计一览表</w:t>
            </w:r>
          </w:p>
          <w:tbl>
            <w:tblPr>
              <w:tblStyle w:val="131"/>
              <w:tblW w:w="8211" w:type="dxa"/>
              <w:tblInd w:w="125" w:type="dxa"/>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Layout w:type="fixed"/>
              <w:tblCellMar>
                <w:top w:w="0" w:type="dxa"/>
                <w:left w:w="0" w:type="dxa"/>
                <w:bottom w:w="0" w:type="dxa"/>
                <w:right w:w="0" w:type="dxa"/>
              </w:tblCellMar>
            </w:tblPr>
            <w:tblGrid>
              <w:gridCol w:w="1473"/>
              <w:gridCol w:w="1268"/>
              <w:gridCol w:w="1185"/>
              <w:gridCol w:w="4285"/>
            </w:tblGrid>
            <w:tr w14:paraId="456E18D7">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3926" w:type="dxa"/>
                  <w:gridSpan w:val="3"/>
                  <w:vMerge w:val="restart"/>
                  <w:tcBorders>
                    <w:top w:val="single" w:color="000000" w:sz="12" w:space="0"/>
                    <w:left w:val="nil"/>
                    <w:bottom w:val="single" w:color="000000" w:sz="4" w:space="0"/>
                    <w:right w:val="single" w:color="000000" w:sz="4" w:space="0"/>
                  </w:tcBorders>
                  <w:vAlign w:val="center"/>
                </w:tcPr>
                <w:p w14:paraId="48D246C3">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采样地点及时间</w:t>
                  </w:r>
                </w:p>
              </w:tc>
              <w:tc>
                <w:tcPr>
                  <w:tcW w:w="4285" w:type="dxa"/>
                  <w:tcBorders>
                    <w:top w:val="single" w:color="000000" w:sz="12" w:space="0"/>
                    <w:left w:val="single" w:color="000000" w:sz="4" w:space="0"/>
                    <w:bottom w:val="single" w:color="000000" w:sz="4" w:space="0"/>
                    <w:right w:val="nil"/>
                  </w:tcBorders>
                  <w:vAlign w:val="center"/>
                </w:tcPr>
                <w:p w14:paraId="25DA0EE0">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检测结果</w:t>
                  </w:r>
                </w:p>
              </w:tc>
            </w:tr>
            <w:tr w14:paraId="38946BE1">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3926" w:type="dxa"/>
                  <w:gridSpan w:val="3"/>
                  <w:vMerge w:val="continue"/>
                  <w:tcBorders>
                    <w:top w:val="single" w:color="000000" w:sz="4" w:space="0"/>
                    <w:left w:val="nil"/>
                    <w:bottom w:val="single" w:color="000000" w:sz="4" w:space="0"/>
                    <w:right w:val="single" w:color="000000" w:sz="4" w:space="0"/>
                  </w:tcBorders>
                  <w:vAlign w:val="center"/>
                </w:tcPr>
                <w:p w14:paraId="4C1C8B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rPr>
                  </w:pPr>
                </w:p>
              </w:tc>
              <w:tc>
                <w:tcPr>
                  <w:tcW w:w="4285" w:type="dxa"/>
                  <w:tcBorders>
                    <w:top w:val="single" w:color="000000" w:sz="4" w:space="0"/>
                    <w:left w:val="single" w:color="000000" w:sz="4" w:space="0"/>
                    <w:bottom w:val="single" w:color="000000" w:sz="4" w:space="0"/>
                    <w:right w:val="nil"/>
                  </w:tcBorders>
                  <w:vAlign w:val="center"/>
                </w:tcPr>
                <w:p w14:paraId="77F1FF98">
                  <w:pPr>
                    <w:pStyle w:val="77"/>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rPr>
                  </w:pPr>
                  <w:r>
                    <w:rPr>
                      <w:rFonts w:hint="eastAsia" w:ascii="Times New Roman" w:hAnsi="Times New Roman" w:eastAsia="宋体" w:cs="Times New Roman"/>
                      <w:b/>
                      <w:bCs w:val="0"/>
                      <w:color w:val="000000" w:themeColor="text1"/>
                      <w:spacing w:val="-19"/>
                      <w:sz w:val="21"/>
                      <w:szCs w:val="21"/>
                      <w:lang w:val="en-US" w:eastAsia="zh-CN"/>
                    </w:rPr>
                    <w:t>颗粒物</w:t>
                  </w:r>
                  <w:r>
                    <w:rPr>
                      <w:rFonts w:hint="default" w:ascii="Times New Roman" w:hAnsi="Times New Roman" w:eastAsia="宋体" w:cs="Times New Roman"/>
                      <w:b/>
                      <w:bCs w:val="0"/>
                      <w:color w:val="000000" w:themeColor="text1"/>
                      <w:sz w:val="21"/>
                      <w:szCs w:val="21"/>
                    </w:rPr>
                    <w:t>（mg/m</w:t>
                  </w:r>
                  <w:r>
                    <w:rPr>
                      <w:rFonts w:hint="default" w:ascii="Times New Roman" w:hAnsi="Times New Roman" w:eastAsia="宋体" w:cs="Times New Roman"/>
                      <w:b/>
                      <w:bCs w:val="0"/>
                      <w:color w:val="000000" w:themeColor="text1"/>
                      <w:sz w:val="21"/>
                      <w:szCs w:val="21"/>
                      <w:vertAlign w:val="superscript"/>
                    </w:rPr>
                    <w:t>3</w:t>
                  </w:r>
                  <w:r>
                    <w:rPr>
                      <w:rFonts w:hint="default" w:ascii="Times New Roman" w:hAnsi="Times New Roman" w:eastAsia="宋体" w:cs="Times New Roman"/>
                      <w:b/>
                      <w:bCs w:val="0"/>
                      <w:color w:val="000000" w:themeColor="text1"/>
                      <w:sz w:val="21"/>
                      <w:szCs w:val="21"/>
                    </w:rPr>
                    <w:t>）</w:t>
                  </w:r>
                </w:p>
              </w:tc>
            </w:tr>
            <w:tr w14:paraId="67E302A5">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restart"/>
                  <w:tcBorders>
                    <w:top w:val="single" w:color="000000" w:sz="4" w:space="0"/>
                    <w:left w:val="nil"/>
                    <w:bottom w:val="single" w:color="000000" w:sz="4" w:space="0"/>
                    <w:right w:val="single" w:color="000000" w:sz="4" w:space="0"/>
                  </w:tcBorders>
                  <w:vAlign w:val="center"/>
                </w:tcPr>
                <w:p w14:paraId="20CE391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201</w:t>
                  </w:r>
                  <w:r>
                    <w:rPr>
                      <w:rFonts w:hint="eastAsia" w:ascii="Times New Roman" w:hAnsi="Times New Roman" w:eastAsia="宋体" w:cs="Times New Roman"/>
                      <w:color w:val="000000" w:themeColor="text1"/>
                      <w:sz w:val="21"/>
                      <w:szCs w:val="21"/>
                      <w:lang w:val="en-US" w:eastAsia="zh-CN"/>
                    </w:rPr>
                    <w:t>7</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03/07</w:t>
                  </w: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3C9A0D41">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厂区上风向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1AAB5C67">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223B4CF0">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0.141</w:t>
                  </w:r>
                </w:p>
              </w:tc>
            </w:tr>
            <w:tr w14:paraId="2697ABAA">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22CB154D">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43C78BAC">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79B88BF4">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661D9142">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0.148</w:t>
                  </w:r>
                </w:p>
              </w:tc>
            </w:tr>
            <w:tr w14:paraId="01168DA8">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1A57F3A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4CA572BB">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7A1905C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7BDADD32">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0.132</w:t>
                  </w:r>
                </w:p>
              </w:tc>
            </w:tr>
            <w:tr w14:paraId="26642EAB">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58661B8C">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40E7619F">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40F09132">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4C5DE3FB">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0.149</w:t>
                  </w:r>
                </w:p>
              </w:tc>
            </w:tr>
            <w:tr w14:paraId="2E94E033">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6F4ED97D">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59D004B4">
                  <w:pPr>
                    <w:pStyle w:val="77"/>
                    <w:spacing w:line="240" w:lineRule="auto"/>
                    <w:ind w:firstLine="0" w:firstLineChars="0"/>
                    <w:jc w:val="center"/>
                    <w:rPr>
                      <w:rFonts w:hint="default" w:ascii="Times New Roman" w:hAnsi="Times New Roman" w:eastAsia="宋体" w:cs="Times New Roman"/>
                      <w:b/>
                      <w:color w:val="000000" w:themeColor="text1"/>
                      <w:sz w:val="21"/>
                      <w:szCs w:val="21"/>
                    </w:rPr>
                  </w:pPr>
                </w:p>
                <w:p w14:paraId="4A77172F">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4EC7CCA0">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28A887AF">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0.465</w:t>
                  </w:r>
                </w:p>
              </w:tc>
            </w:tr>
            <w:tr w14:paraId="7E444ED1">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298D04BC">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69E29C1B">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99099B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7261712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0.486</w:t>
                  </w:r>
                </w:p>
              </w:tc>
            </w:tr>
            <w:tr w14:paraId="0687C45F">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50FBA9AA">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0851A70F">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C2D35EA">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43E0B416">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0.487</w:t>
                  </w:r>
                </w:p>
              </w:tc>
            </w:tr>
            <w:tr w14:paraId="2C34F465">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06E9D4D5">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5818166E">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46201D11">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15A0B95B">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0.449</w:t>
                  </w:r>
                </w:p>
              </w:tc>
            </w:tr>
            <w:tr w14:paraId="47ABCC4C">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3ED941B4">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68561994">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134BB11D">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224AF6E4">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0.421</w:t>
                  </w:r>
                </w:p>
              </w:tc>
            </w:tr>
            <w:tr w14:paraId="057A2976">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6770DB51">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439CFD5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866C7EF">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353EEC71">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0.434</w:t>
                  </w:r>
                </w:p>
              </w:tc>
            </w:tr>
            <w:tr w14:paraId="241C07D4">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449B1C8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1049132F">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0C32BCA7">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00373904">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0.416</w:t>
                  </w:r>
                </w:p>
              </w:tc>
            </w:tr>
            <w:tr w14:paraId="4B7644EB">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69AA958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3D6F4CF1">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93B672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05E5137A">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0.424</w:t>
                  </w:r>
                </w:p>
              </w:tc>
            </w:tr>
            <w:tr w14:paraId="2B335A16">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35CAFF4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496CD14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504E28AF">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5E6B4270">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0.435</w:t>
                  </w:r>
                </w:p>
              </w:tc>
            </w:tr>
            <w:tr w14:paraId="3267D980">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3D61212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629C897E">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FC48DE3">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4EB4E744">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0.456</w:t>
                  </w:r>
                </w:p>
              </w:tc>
            </w:tr>
            <w:tr w14:paraId="25862E3A">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4D9C230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6A37651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0F9E8E10">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656BB0A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0.453</w:t>
                  </w:r>
                </w:p>
              </w:tc>
            </w:tr>
            <w:tr w14:paraId="7AAA2F0E">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0B93D8F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78D2A9D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320FC0B">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616C8626">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0.443</w:t>
                  </w:r>
                </w:p>
              </w:tc>
            </w:tr>
            <w:tr w14:paraId="38F3E903">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restart"/>
                  <w:tcBorders>
                    <w:top w:val="single" w:color="000000" w:sz="4" w:space="0"/>
                    <w:left w:val="nil"/>
                    <w:bottom w:val="single" w:color="000000" w:sz="4" w:space="0"/>
                    <w:right w:val="single" w:color="000000" w:sz="4" w:space="0"/>
                  </w:tcBorders>
                  <w:vAlign w:val="center"/>
                </w:tcPr>
                <w:p w14:paraId="002BE36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201</w:t>
                  </w:r>
                  <w:r>
                    <w:rPr>
                      <w:rFonts w:hint="eastAsia" w:ascii="Times New Roman" w:hAnsi="Times New Roman" w:eastAsia="宋体" w:cs="Times New Roman"/>
                      <w:color w:val="000000" w:themeColor="text1"/>
                      <w:sz w:val="21"/>
                      <w:szCs w:val="21"/>
                      <w:lang w:val="en-US" w:eastAsia="zh-CN"/>
                    </w:rPr>
                    <w:t>7</w:t>
                  </w:r>
                  <w:r>
                    <w:rPr>
                      <w:rFonts w:hint="default" w:ascii="Times New Roman" w:hAnsi="Times New Roman" w:eastAsia="宋体" w:cs="Times New Roman"/>
                      <w:color w:val="000000" w:themeColor="text1"/>
                      <w:sz w:val="21"/>
                      <w:szCs w:val="21"/>
                    </w:rPr>
                    <w:t>/</w:t>
                  </w:r>
                  <w:r>
                    <w:rPr>
                      <w:rFonts w:hint="eastAsia" w:ascii="Times New Roman" w:hAnsi="Times New Roman" w:eastAsia="宋体" w:cs="Times New Roman"/>
                      <w:color w:val="000000" w:themeColor="text1"/>
                      <w:sz w:val="21"/>
                      <w:szCs w:val="21"/>
                      <w:lang w:val="en-US" w:eastAsia="zh-CN"/>
                    </w:rPr>
                    <w:t>03/08</w:t>
                  </w: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7161303F">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厂区上风向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2CE737AA">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29BC1D3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0.159</w:t>
                  </w:r>
                </w:p>
              </w:tc>
            </w:tr>
            <w:tr w14:paraId="1E4D8385">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28740E79">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67AB9CB0">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71A5C55A">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1267DE30">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0.147</w:t>
                  </w:r>
                </w:p>
              </w:tc>
            </w:tr>
            <w:tr w14:paraId="02CC804D">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2E012DC5">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3C1603F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352E5286">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44AEB82A">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0.144</w:t>
                  </w:r>
                </w:p>
              </w:tc>
            </w:tr>
            <w:tr w14:paraId="0478DE58">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4AD4CB21">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7AC2157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13AD7B8E">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265E2FCA">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0.146</w:t>
                  </w:r>
                </w:p>
              </w:tc>
            </w:tr>
            <w:tr w14:paraId="202C8529">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4813C36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1E2F6BDE">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3ED2730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5D7F3164">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0.446</w:t>
                  </w:r>
                </w:p>
              </w:tc>
            </w:tr>
            <w:tr w14:paraId="54C7281B">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2AABBEAE">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7450381D">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18997E79">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1AF5B16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0.452</w:t>
                  </w:r>
                </w:p>
              </w:tc>
            </w:tr>
            <w:tr w14:paraId="5650C6F2">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305D8C36">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075DC76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6EDE03E1">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286D9A02">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0.471</w:t>
                  </w:r>
                </w:p>
              </w:tc>
            </w:tr>
            <w:tr w14:paraId="13A7F50C">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16CCB7C0">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3BC83B0A">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452D4137">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43177D88">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0.453</w:t>
                  </w:r>
                </w:p>
              </w:tc>
            </w:tr>
            <w:tr w14:paraId="213E2B84">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044E8E1F">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76A213B9">
                  <w:pPr>
                    <w:pStyle w:val="77"/>
                    <w:spacing w:line="240" w:lineRule="auto"/>
                    <w:ind w:firstLine="0" w:firstLineChars="0"/>
                    <w:jc w:val="center"/>
                    <w:rPr>
                      <w:rFonts w:hint="default" w:ascii="Times New Roman" w:hAnsi="Times New Roman" w:eastAsia="宋体" w:cs="Times New Roman"/>
                      <w:b/>
                      <w:color w:val="000000" w:themeColor="text1"/>
                      <w:sz w:val="21"/>
                      <w:szCs w:val="21"/>
                    </w:rPr>
                  </w:pPr>
                </w:p>
                <w:p w14:paraId="207A17C6">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0D9CF032">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2CD4F520">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0.482</w:t>
                  </w:r>
                </w:p>
              </w:tc>
            </w:tr>
            <w:tr w14:paraId="14F76779">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5DFCF245">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60843F78">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19EEE33C">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39FC9C95">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0.473</w:t>
                  </w:r>
                </w:p>
              </w:tc>
            </w:tr>
            <w:tr w14:paraId="2C05BD8A">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1B53BE5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3C9C67D6">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520403AA">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42185493">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0.474</w:t>
                  </w:r>
                </w:p>
              </w:tc>
            </w:tr>
            <w:tr w14:paraId="04F5E1E1">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786C272B">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2A70BAF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8256CA2">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3AE7A62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0.468</w:t>
                  </w:r>
                </w:p>
              </w:tc>
            </w:tr>
            <w:tr w14:paraId="571ECAAD">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4C5DCD6B">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restart"/>
                  <w:tcBorders>
                    <w:top w:val="single" w:color="000000" w:sz="4" w:space="0"/>
                    <w:left w:val="single" w:color="000000" w:sz="4" w:space="0"/>
                    <w:bottom w:val="single" w:color="000000" w:sz="4" w:space="0"/>
                    <w:right w:val="single" w:color="000000" w:sz="4" w:space="0"/>
                  </w:tcBorders>
                  <w:vAlign w:val="center"/>
                </w:tcPr>
                <w:p w14:paraId="055B8BF4">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厂区下风向</w:t>
                  </w:r>
                </w:p>
              </w:tc>
              <w:tc>
                <w:tcPr>
                  <w:tcW w:w="1185" w:type="dxa"/>
                  <w:tcBorders>
                    <w:top w:val="single" w:color="000000" w:sz="4" w:space="0"/>
                    <w:left w:val="single" w:color="000000" w:sz="4" w:space="0"/>
                    <w:bottom w:val="single" w:color="000000" w:sz="4" w:space="0"/>
                    <w:right w:val="single" w:color="000000" w:sz="4" w:space="0"/>
                  </w:tcBorders>
                  <w:vAlign w:val="center"/>
                </w:tcPr>
                <w:p w14:paraId="5970E06F">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第一次</w:t>
                  </w:r>
                </w:p>
              </w:tc>
              <w:tc>
                <w:tcPr>
                  <w:tcW w:w="4285" w:type="dxa"/>
                  <w:tcBorders>
                    <w:top w:val="single" w:color="000000" w:sz="4" w:space="0"/>
                    <w:left w:val="single" w:color="000000" w:sz="4" w:space="0"/>
                    <w:bottom w:val="single" w:color="000000" w:sz="4" w:space="0"/>
                    <w:right w:val="nil"/>
                  </w:tcBorders>
                  <w:vAlign w:val="center"/>
                </w:tcPr>
                <w:p w14:paraId="66F70A1F">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0.451</w:t>
                  </w:r>
                </w:p>
              </w:tc>
            </w:tr>
            <w:tr w14:paraId="752D3328">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1A7685AD">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538FAB13">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150E7151">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第二次</w:t>
                  </w:r>
                </w:p>
              </w:tc>
              <w:tc>
                <w:tcPr>
                  <w:tcW w:w="4285" w:type="dxa"/>
                  <w:tcBorders>
                    <w:top w:val="single" w:color="000000" w:sz="4" w:space="0"/>
                    <w:left w:val="single" w:color="000000" w:sz="4" w:space="0"/>
                    <w:bottom w:val="single" w:color="000000" w:sz="4" w:space="0"/>
                    <w:right w:val="nil"/>
                  </w:tcBorders>
                  <w:vAlign w:val="center"/>
                </w:tcPr>
                <w:p w14:paraId="314FE1F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0.426</w:t>
                  </w:r>
                </w:p>
              </w:tc>
            </w:tr>
            <w:tr w14:paraId="1FD44D9A">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706AB7AB">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54AB2E12">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2190A41B">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第三次</w:t>
                  </w:r>
                </w:p>
              </w:tc>
              <w:tc>
                <w:tcPr>
                  <w:tcW w:w="4285" w:type="dxa"/>
                  <w:tcBorders>
                    <w:top w:val="single" w:color="000000" w:sz="4" w:space="0"/>
                    <w:left w:val="single" w:color="000000" w:sz="4" w:space="0"/>
                    <w:bottom w:val="single" w:color="000000" w:sz="4" w:space="0"/>
                    <w:right w:val="nil"/>
                  </w:tcBorders>
                  <w:vAlign w:val="center"/>
                </w:tcPr>
                <w:p w14:paraId="5C11F934">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0.443</w:t>
                  </w:r>
                </w:p>
              </w:tc>
            </w:tr>
            <w:tr w14:paraId="281AD3FC">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1473" w:type="dxa"/>
                  <w:vMerge w:val="continue"/>
                  <w:tcBorders>
                    <w:top w:val="single" w:color="000000" w:sz="4" w:space="0"/>
                    <w:left w:val="nil"/>
                    <w:bottom w:val="single" w:color="000000" w:sz="4" w:space="0"/>
                    <w:right w:val="single" w:color="000000" w:sz="4" w:space="0"/>
                  </w:tcBorders>
                  <w:vAlign w:val="center"/>
                </w:tcPr>
                <w:p w14:paraId="699B7046">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268" w:type="dxa"/>
                  <w:vMerge w:val="continue"/>
                  <w:tcBorders>
                    <w:top w:val="single" w:color="000000" w:sz="4" w:space="0"/>
                    <w:left w:val="single" w:color="000000" w:sz="4" w:space="0"/>
                    <w:bottom w:val="single" w:color="000000" w:sz="4" w:space="0"/>
                    <w:right w:val="single" w:color="000000" w:sz="4" w:space="0"/>
                  </w:tcBorders>
                  <w:vAlign w:val="center"/>
                </w:tcPr>
                <w:p w14:paraId="37033797">
                  <w:pPr>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185" w:type="dxa"/>
                  <w:tcBorders>
                    <w:top w:val="single" w:color="000000" w:sz="4" w:space="0"/>
                    <w:left w:val="single" w:color="000000" w:sz="4" w:space="0"/>
                    <w:bottom w:val="single" w:color="000000" w:sz="4" w:space="0"/>
                    <w:right w:val="single" w:color="000000" w:sz="4" w:space="0"/>
                  </w:tcBorders>
                  <w:vAlign w:val="center"/>
                </w:tcPr>
                <w:p w14:paraId="7FD816A6">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第四次</w:t>
                  </w:r>
                </w:p>
              </w:tc>
              <w:tc>
                <w:tcPr>
                  <w:tcW w:w="4285" w:type="dxa"/>
                  <w:tcBorders>
                    <w:top w:val="single" w:color="000000" w:sz="4" w:space="0"/>
                    <w:left w:val="single" w:color="000000" w:sz="4" w:space="0"/>
                    <w:bottom w:val="single" w:color="000000" w:sz="4" w:space="0"/>
                    <w:right w:val="nil"/>
                  </w:tcBorders>
                  <w:vAlign w:val="center"/>
                </w:tcPr>
                <w:p w14:paraId="1CBF0FF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0.424</w:t>
                  </w:r>
                </w:p>
              </w:tc>
            </w:tr>
            <w:tr w14:paraId="08BE9961">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3926" w:type="dxa"/>
                  <w:gridSpan w:val="3"/>
                  <w:tcBorders>
                    <w:top w:val="single" w:color="000000" w:sz="4" w:space="0"/>
                    <w:left w:val="nil"/>
                    <w:bottom w:val="single" w:color="000000" w:sz="4" w:space="0"/>
                    <w:right w:val="single" w:color="000000" w:sz="4" w:space="0"/>
                  </w:tcBorders>
                  <w:vAlign w:val="center"/>
                </w:tcPr>
                <w:p w14:paraId="0FB3B975">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最大值</w:t>
                  </w:r>
                </w:p>
              </w:tc>
              <w:tc>
                <w:tcPr>
                  <w:tcW w:w="4285" w:type="dxa"/>
                  <w:tcBorders>
                    <w:top w:val="single" w:color="000000" w:sz="4" w:space="0"/>
                    <w:left w:val="single" w:color="000000" w:sz="4" w:space="0"/>
                    <w:bottom w:val="single" w:color="000000" w:sz="4" w:space="0"/>
                    <w:right w:val="nil"/>
                  </w:tcBorders>
                  <w:vAlign w:val="center"/>
                </w:tcPr>
                <w:p w14:paraId="0ED11028">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0.451</w:t>
                  </w:r>
                </w:p>
              </w:tc>
            </w:tr>
            <w:tr w14:paraId="73435065">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3926" w:type="dxa"/>
                  <w:gridSpan w:val="3"/>
                  <w:tcBorders>
                    <w:top w:val="single" w:color="000000" w:sz="4" w:space="0"/>
                    <w:left w:val="nil"/>
                    <w:bottom w:val="single" w:color="000000" w:sz="4" w:space="0"/>
                    <w:right w:val="single" w:color="000000" w:sz="4" w:space="0"/>
                  </w:tcBorders>
                  <w:vAlign w:val="center"/>
                </w:tcPr>
                <w:p w14:paraId="57E9D4C0">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标准限值</w:t>
                  </w:r>
                </w:p>
              </w:tc>
              <w:tc>
                <w:tcPr>
                  <w:tcW w:w="4285" w:type="dxa"/>
                  <w:tcBorders>
                    <w:top w:val="single" w:color="000000" w:sz="4" w:space="0"/>
                    <w:left w:val="single" w:color="000000" w:sz="4" w:space="0"/>
                    <w:bottom w:val="single" w:color="000000" w:sz="4" w:space="0"/>
                    <w:right w:val="nil"/>
                  </w:tcBorders>
                  <w:vAlign w:val="center"/>
                </w:tcPr>
                <w:p w14:paraId="271190AC">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肉眼不可见</w:t>
                  </w:r>
                </w:p>
              </w:tc>
            </w:tr>
            <w:tr w14:paraId="40597B46">
              <w:tblPrEx>
                <w:tblBorders>
                  <w:top w:val="single" w:color="000000" w:sz="4" w:space="0"/>
                  <w:left w:val="none" w:color="auto" w:sz="0" w:space="0"/>
                  <w:bottom w:val="single" w:color="000000" w:sz="4" w:space="0"/>
                  <w:right w:val="none" w:color="auto" w:sz="0" w:space="0"/>
                  <w:insideH w:val="none" w:color="auto" w:sz="0" w:space="0"/>
                  <w:insideV w:val="single" w:color="000000" w:sz="4" w:space="0"/>
                </w:tblBorders>
                <w:tblCellMar>
                  <w:top w:w="0" w:type="dxa"/>
                  <w:left w:w="0" w:type="dxa"/>
                  <w:bottom w:w="0" w:type="dxa"/>
                  <w:right w:w="0" w:type="dxa"/>
                </w:tblCellMar>
              </w:tblPrEx>
              <w:trPr>
                <w:trHeight w:val="397" w:hRule="atLeast"/>
              </w:trPr>
              <w:tc>
                <w:tcPr>
                  <w:tcW w:w="3926" w:type="dxa"/>
                  <w:gridSpan w:val="3"/>
                  <w:tcBorders>
                    <w:top w:val="single" w:color="000000" w:sz="4" w:space="0"/>
                    <w:left w:val="nil"/>
                    <w:bottom w:val="single" w:color="000000" w:sz="12" w:space="0"/>
                    <w:right w:val="single" w:color="000000" w:sz="4" w:space="0"/>
                  </w:tcBorders>
                  <w:vAlign w:val="center"/>
                </w:tcPr>
                <w:p w14:paraId="5682C9E5">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达标情况</w:t>
                  </w:r>
                </w:p>
              </w:tc>
              <w:tc>
                <w:tcPr>
                  <w:tcW w:w="4285" w:type="dxa"/>
                  <w:tcBorders>
                    <w:top w:val="single" w:color="000000" w:sz="4" w:space="0"/>
                    <w:left w:val="single" w:color="000000" w:sz="4" w:space="0"/>
                    <w:bottom w:val="single" w:color="000000" w:sz="12" w:space="0"/>
                    <w:right w:val="nil"/>
                  </w:tcBorders>
                  <w:vAlign w:val="center"/>
                </w:tcPr>
                <w:p w14:paraId="5F730F6A">
                  <w:pPr>
                    <w:pStyle w:val="77"/>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bl>
          <w:p w14:paraId="3BB718A0">
            <w:pPr>
              <w:spacing w:line="360" w:lineRule="auto"/>
              <w:ind w:firstLine="482"/>
              <w:rPr>
                <w:rFonts w:hint="default"/>
                <w:color w:val="000000" w:themeColor="text1"/>
                <w:kern w:val="0"/>
                <w:sz w:val="24"/>
                <w:szCs w:val="24"/>
              </w:rPr>
            </w:pPr>
            <w:r>
              <w:rPr>
                <w:rFonts w:hint="default"/>
                <w:color w:val="000000" w:themeColor="text1"/>
                <w:sz w:val="24"/>
                <w:szCs w:val="24"/>
              </w:rPr>
              <w:t>由</w:t>
            </w:r>
            <w:r>
              <w:rPr>
                <w:rFonts w:hint="eastAsia"/>
                <w:color w:val="000000" w:themeColor="text1"/>
                <w:sz w:val="24"/>
                <w:szCs w:val="24"/>
                <w:lang w:val="en-US" w:eastAsia="zh-CN"/>
              </w:rPr>
              <w:t>上</w:t>
            </w:r>
            <w:r>
              <w:rPr>
                <w:rFonts w:hint="default"/>
                <w:color w:val="000000" w:themeColor="text1"/>
                <w:sz w:val="24"/>
                <w:szCs w:val="24"/>
              </w:rPr>
              <w:t>表可知，验收监测期间，</w:t>
            </w:r>
            <w:r>
              <w:rPr>
                <w:rFonts w:hint="eastAsia"/>
                <w:color w:val="000000" w:themeColor="text1"/>
                <w:sz w:val="24"/>
                <w:szCs w:val="24"/>
                <w:lang w:val="en-US" w:eastAsia="zh-CN"/>
              </w:rPr>
              <w:t>厂界</w:t>
            </w:r>
            <w:r>
              <w:rPr>
                <w:rFonts w:hint="default"/>
                <w:color w:val="000000" w:themeColor="text1"/>
                <w:sz w:val="24"/>
                <w:szCs w:val="24"/>
              </w:rPr>
              <w:t>的颗粒物最大排放浓度为</w:t>
            </w:r>
            <w:r>
              <w:rPr>
                <w:rFonts w:hint="eastAsia"/>
                <w:color w:val="000000" w:themeColor="text1"/>
                <w:sz w:val="24"/>
                <w:szCs w:val="24"/>
                <w:lang w:val="en-US" w:eastAsia="zh-CN"/>
              </w:rPr>
              <w:t>0.482</w:t>
            </w:r>
            <w:r>
              <w:rPr>
                <w:rFonts w:hint="default"/>
                <w:color w:val="000000" w:themeColor="text1"/>
                <w:sz w:val="24"/>
                <w:szCs w:val="24"/>
              </w:rPr>
              <w:t>mg/m</w:t>
            </w:r>
            <w:r>
              <w:rPr>
                <w:rFonts w:hint="default"/>
                <w:color w:val="000000" w:themeColor="text1"/>
                <w:sz w:val="24"/>
                <w:szCs w:val="24"/>
                <w:vertAlign w:val="superscript"/>
              </w:rPr>
              <w:t>3</w:t>
            </w:r>
            <w:r>
              <w:rPr>
                <w:rFonts w:hint="default"/>
                <w:color w:val="000000" w:themeColor="text1"/>
                <w:sz w:val="24"/>
                <w:szCs w:val="24"/>
              </w:rPr>
              <w:t>，大气污染物可分别达到</w:t>
            </w:r>
            <w:r>
              <w:rPr>
                <w:rFonts w:hint="default" w:ascii="Times New Roman" w:hAnsi="Times New Roman" w:eastAsia="宋体" w:cs="Times New Roman"/>
                <w:color w:val="000000" w:themeColor="text1"/>
              </w:rPr>
              <w:t>《大气污染物综合排放标准》（</w:t>
            </w:r>
            <w:r>
              <w:rPr>
                <w:rFonts w:hint="eastAsia" w:cs="Times New Roman"/>
                <w:color w:val="000000" w:themeColor="text1"/>
                <w:lang w:val="en-US" w:eastAsia="zh-CN"/>
              </w:rPr>
              <w:t>GB16297-1996</w:t>
            </w:r>
            <w:r>
              <w:rPr>
                <w:rFonts w:hint="default" w:ascii="Times New Roman" w:hAnsi="Times New Roman" w:eastAsia="宋体" w:cs="Times New Roman"/>
                <w:color w:val="000000" w:themeColor="text1"/>
              </w:rPr>
              <w:t>）</w:t>
            </w:r>
            <w:r>
              <w:rPr>
                <w:rFonts w:hint="eastAsia" w:ascii="Times New Roman" w:hAnsi="Times New Roman" w:eastAsia="宋体" w:cs="Times New Roman"/>
                <w:color w:val="000000" w:themeColor="text1"/>
                <w:lang w:val="en-US" w:eastAsia="zh-CN"/>
              </w:rPr>
              <w:t>无组织排放</w:t>
            </w:r>
            <w:r>
              <w:rPr>
                <w:rFonts w:hint="default"/>
                <w:color w:val="000000" w:themeColor="text1"/>
                <w:kern w:val="0"/>
                <w:sz w:val="24"/>
                <w:szCs w:val="24"/>
              </w:rPr>
              <w:t>标准限值。</w:t>
            </w:r>
          </w:p>
          <w:p w14:paraId="42346D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rPr>
            </w:pPr>
            <w:r>
              <w:rPr>
                <w:rFonts w:hint="eastAsia" w:cs="Times New Roman"/>
                <w:color w:val="000000" w:themeColor="text1"/>
                <w:lang w:val="en-US" w:eastAsia="zh-CN"/>
              </w:rPr>
              <w:t>2）</w:t>
            </w:r>
            <w:r>
              <w:rPr>
                <w:rFonts w:hint="eastAsia" w:ascii="Times New Roman" w:hAnsi="Times New Roman" w:eastAsia="宋体" w:cs="Times New Roman"/>
                <w:color w:val="000000" w:themeColor="text1"/>
                <w:lang w:val="en-US" w:eastAsia="zh-CN"/>
              </w:rPr>
              <w:t>有</w:t>
            </w:r>
            <w:r>
              <w:rPr>
                <w:rFonts w:hint="default" w:ascii="Times New Roman" w:hAnsi="Times New Roman" w:eastAsia="宋体" w:cs="Times New Roman"/>
                <w:color w:val="000000" w:themeColor="text1"/>
              </w:rPr>
              <w:t>组织废气</w:t>
            </w:r>
          </w:p>
          <w:p w14:paraId="426FEC3E">
            <w:pPr>
              <w:pStyle w:val="4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w:t>
            </w:r>
            <w:r>
              <w:rPr>
                <w:rFonts w:hint="eastAsia" w:ascii="Times New Roman" w:hAnsi="Times New Roman" w:eastAsia="宋体" w:cs="Times New Roman"/>
                <w:b/>
                <w:bCs w:val="0"/>
                <w:color w:val="000000" w:themeColor="text1"/>
                <w:sz w:val="21"/>
                <w:szCs w:val="21"/>
                <w:lang w:val="en-US" w:eastAsia="zh-CN"/>
              </w:rPr>
              <w:t>20</w:t>
            </w:r>
            <w:r>
              <w:rPr>
                <w:rFonts w:hint="default" w:ascii="Times New Roman" w:hAnsi="Times New Roman" w:eastAsia="宋体" w:cs="Times New Roman"/>
                <w:b/>
                <w:bCs w:val="0"/>
                <w:color w:val="000000" w:themeColor="text1"/>
                <w:sz w:val="21"/>
                <w:szCs w:val="21"/>
              </w:rPr>
              <w:t xml:space="preserve"> </w:t>
            </w:r>
            <w:r>
              <w:rPr>
                <w:rFonts w:hint="eastAsia" w:ascii="Times New Roman" w:hAnsi="Times New Roman" w:eastAsia="宋体" w:cs="Times New Roman"/>
                <w:b/>
                <w:bCs w:val="0"/>
                <w:color w:val="000000" w:themeColor="text1"/>
                <w:sz w:val="21"/>
                <w:szCs w:val="21"/>
                <w:lang w:val="en-US" w:eastAsia="zh-CN"/>
              </w:rPr>
              <w:t xml:space="preserve"> 有</w:t>
            </w:r>
            <w:r>
              <w:rPr>
                <w:rFonts w:hint="default" w:ascii="Times New Roman" w:hAnsi="Times New Roman" w:eastAsia="宋体" w:cs="Times New Roman"/>
                <w:b/>
                <w:bCs w:val="0"/>
                <w:color w:val="000000" w:themeColor="text1"/>
                <w:sz w:val="21"/>
                <w:szCs w:val="21"/>
              </w:rPr>
              <w:t>组织废气检测结果统计一览表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761"/>
              <w:gridCol w:w="616"/>
              <w:gridCol w:w="960"/>
              <w:gridCol w:w="960"/>
              <w:gridCol w:w="960"/>
              <w:gridCol w:w="845"/>
              <w:gridCol w:w="616"/>
              <w:gridCol w:w="632"/>
            </w:tblGrid>
            <w:tr w14:paraId="53F64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restart"/>
                  <w:vAlign w:val="center"/>
                </w:tcPr>
                <w:p w14:paraId="30C189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监测点位</w:t>
                  </w:r>
                </w:p>
              </w:tc>
              <w:tc>
                <w:tcPr>
                  <w:tcW w:w="2126" w:type="dxa"/>
                  <w:vMerge w:val="restart"/>
                  <w:vAlign w:val="center"/>
                </w:tcPr>
                <w:p w14:paraId="77DB69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监测项目</w:t>
                  </w:r>
                </w:p>
              </w:tc>
              <w:tc>
                <w:tcPr>
                  <w:tcW w:w="709" w:type="dxa"/>
                  <w:vMerge w:val="restart"/>
                  <w:vAlign w:val="center"/>
                </w:tcPr>
                <w:p w14:paraId="1264B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监测</w:t>
                  </w:r>
                </w:p>
                <w:p w14:paraId="1D5553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日期</w:t>
                  </w:r>
                </w:p>
              </w:tc>
              <w:tc>
                <w:tcPr>
                  <w:tcW w:w="4394" w:type="dxa"/>
                  <w:gridSpan w:val="4"/>
                  <w:vAlign w:val="center"/>
                </w:tcPr>
                <w:p w14:paraId="45867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监测结果</w:t>
                  </w:r>
                </w:p>
              </w:tc>
              <w:tc>
                <w:tcPr>
                  <w:tcW w:w="709" w:type="dxa"/>
                  <w:vMerge w:val="restart"/>
                  <w:vAlign w:val="center"/>
                </w:tcPr>
                <w:p w14:paraId="68898C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执行限值</w:t>
                  </w:r>
                </w:p>
              </w:tc>
              <w:tc>
                <w:tcPr>
                  <w:tcW w:w="729" w:type="dxa"/>
                  <w:vMerge w:val="restart"/>
                  <w:vAlign w:val="center"/>
                </w:tcPr>
                <w:p w14:paraId="3651FE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达标</w:t>
                  </w:r>
                </w:p>
                <w:p w14:paraId="254FF4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情况</w:t>
                  </w:r>
                </w:p>
              </w:tc>
            </w:tr>
            <w:tr w14:paraId="02513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75700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Merge w:val="continue"/>
                  <w:vAlign w:val="center"/>
                </w:tcPr>
                <w:p w14:paraId="780BA4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709" w:type="dxa"/>
                  <w:vMerge w:val="continue"/>
                  <w:vAlign w:val="center"/>
                </w:tcPr>
                <w:p w14:paraId="26BEBD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7388B8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cs="宋体"/>
                      <w:b/>
                      <w:bCs/>
                      <w:color w:val="000000" w:themeColor="text1"/>
                      <w:sz w:val="21"/>
                      <w:szCs w:val="21"/>
                    </w:rPr>
                    <w:t>①</w:t>
                  </w:r>
                </w:p>
              </w:tc>
              <w:tc>
                <w:tcPr>
                  <w:tcW w:w="1134" w:type="dxa"/>
                  <w:vAlign w:val="center"/>
                </w:tcPr>
                <w:p w14:paraId="5298C2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cs="宋体"/>
                      <w:b/>
                      <w:bCs/>
                      <w:color w:val="000000" w:themeColor="text1"/>
                      <w:sz w:val="21"/>
                      <w:szCs w:val="21"/>
                    </w:rPr>
                    <w:t>②</w:t>
                  </w:r>
                </w:p>
              </w:tc>
              <w:tc>
                <w:tcPr>
                  <w:tcW w:w="1134" w:type="dxa"/>
                  <w:vAlign w:val="center"/>
                </w:tcPr>
                <w:p w14:paraId="242C88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cs="宋体"/>
                      <w:b/>
                      <w:bCs/>
                      <w:color w:val="000000" w:themeColor="text1"/>
                      <w:sz w:val="21"/>
                      <w:szCs w:val="21"/>
                    </w:rPr>
                    <w:t>③</w:t>
                  </w:r>
                </w:p>
              </w:tc>
              <w:tc>
                <w:tcPr>
                  <w:tcW w:w="992" w:type="dxa"/>
                  <w:vAlign w:val="center"/>
                </w:tcPr>
                <w:p w14:paraId="5C0F86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均值</w:t>
                  </w:r>
                </w:p>
              </w:tc>
              <w:tc>
                <w:tcPr>
                  <w:tcW w:w="709" w:type="dxa"/>
                  <w:vMerge w:val="continue"/>
                  <w:vAlign w:val="center"/>
                </w:tcPr>
                <w:p w14:paraId="73646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729" w:type="dxa"/>
                  <w:vMerge w:val="continue"/>
                  <w:vAlign w:val="center"/>
                </w:tcPr>
                <w:p w14:paraId="6B7AAE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r>
            <w:tr w14:paraId="58F88B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restart"/>
                  <w:vAlign w:val="center"/>
                </w:tcPr>
                <w:p w14:paraId="423AE9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G1</w:t>
                  </w:r>
                  <w:r>
                    <w:rPr>
                      <w:rFonts w:hint="eastAsia"/>
                      <w:color w:val="000000" w:themeColor="text1"/>
                      <w:sz w:val="21"/>
                      <w:szCs w:val="21"/>
                      <w:vertAlign w:val="superscript"/>
                    </w:rPr>
                    <w:t>#</w:t>
                  </w:r>
                </w:p>
                <w:p w14:paraId="52311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混合工艺废气净化装置出口</w:t>
                  </w:r>
                </w:p>
              </w:tc>
              <w:tc>
                <w:tcPr>
                  <w:tcW w:w="2126" w:type="dxa"/>
                  <w:vAlign w:val="center"/>
                </w:tcPr>
                <w:p w14:paraId="6BC533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颗粒物排放浓度</w:t>
                  </w:r>
                </w:p>
                <w:p w14:paraId="042A44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mg/m</w:t>
                  </w:r>
                  <w:r>
                    <w:rPr>
                      <w:rFonts w:hint="eastAsia"/>
                      <w:color w:val="000000" w:themeColor="text1"/>
                      <w:sz w:val="21"/>
                      <w:szCs w:val="21"/>
                      <w:vertAlign w:val="superscript"/>
                    </w:rPr>
                    <w:t>3</w:t>
                  </w:r>
                </w:p>
              </w:tc>
              <w:tc>
                <w:tcPr>
                  <w:tcW w:w="709" w:type="dxa"/>
                  <w:vMerge w:val="restart"/>
                  <w:vAlign w:val="center"/>
                </w:tcPr>
                <w:p w14:paraId="4C234B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lang w:eastAsia="zh-CN"/>
                    </w:rPr>
                    <w:t>3月7日</w:t>
                  </w:r>
                </w:p>
              </w:tc>
              <w:tc>
                <w:tcPr>
                  <w:tcW w:w="1134" w:type="dxa"/>
                  <w:vAlign w:val="center"/>
                </w:tcPr>
                <w:p w14:paraId="03CA1B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77.2</w:t>
                  </w:r>
                </w:p>
              </w:tc>
              <w:tc>
                <w:tcPr>
                  <w:tcW w:w="1134" w:type="dxa"/>
                  <w:vAlign w:val="center"/>
                </w:tcPr>
                <w:p w14:paraId="1A6CC3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76.8</w:t>
                  </w:r>
                </w:p>
              </w:tc>
              <w:tc>
                <w:tcPr>
                  <w:tcW w:w="1134" w:type="dxa"/>
                  <w:vAlign w:val="center"/>
                </w:tcPr>
                <w:p w14:paraId="3802E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74.1</w:t>
                  </w:r>
                </w:p>
              </w:tc>
              <w:tc>
                <w:tcPr>
                  <w:tcW w:w="992" w:type="dxa"/>
                  <w:vAlign w:val="center"/>
                </w:tcPr>
                <w:p w14:paraId="0FB6A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76.0</w:t>
                  </w:r>
                </w:p>
              </w:tc>
              <w:tc>
                <w:tcPr>
                  <w:tcW w:w="709" w:type="dxa"/>
                  <w:vAlign w:val="center"/>
                </w:tcPr>
                <w:p w14:paraId="7DCBD9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120</w:t>
                  </w:r>
                </w:p>
              </w:tc>
              <w:tc>
                <w:tcPr>
                  <w:tcW w:w="729" w:type="dxa"/>
                  <w:vAlign w:val="center"/>
                </w:tcPr>
                <w:p w14:paraId="09FA3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6E5D5E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3435A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14E453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颗粒物排放速率</w:t>
                  </w:r>
                </w:p>
                <w:p w14:paraId="3CF590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kg/h</w:t>
                  </w:r>
                </w:p>
              </w:tc>
              <w:tc>
                <w:tcPr>
                  <w:tcW w:w="709" w:type="dxa"/>
                  <w:vMerge w:val="continue"/>
                  <w:vAlign w:val="center"/>
                </w:tcPr>
                <w:p w14:paraId="6129E4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3B713A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0.906</w:t>
                  </w:r>
                </w:p>
              </w:tc>
              <w:tc>
                <w:tcPr>
                  <w:tcW w:w="1134" w:type="dxa"/>
                  <w:vAlign w:val="center"/>
                </w:tcPr>
                <w:p w14:paraId="3AE403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0.872</w:t>
                  </w:r>
                </w:p>
              </w:tc>
              <w:tc>
                <w:tcPr>
                  <w:tcW w:w="1134" w:type="dxa"/>
                  <w:vAlign w:val="center"/>
                </w:tcPr>
                <w:p w14:paraId="1BC9F1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0.867</w:t>
                  </w:r>
                </w:p>
              </w:tc>
              <w:tc>
                <w:tcPr>
                  <w:tcW w:w="992" w:type="dxa"/>
                  <w:vAlign w:val="center"/>
                </w:tcPr>
                <w:p w14:paraId="615BCC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0.882</w:t>
                  </w:r>
                </w:p>
              </w:tc>
              <w:tc>
                <w:tcPr>
                  <w:tcW w:w="709" w:type="dxa"/>
                  <w:vAlign w:val="center"/>
                </w:tcPr>
                <w:p w14:paraId="2A3C22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3.5</w:t>
                  </w:r>
                </w:p>
              </w:tc>
              <w:tc>
                <w:tcPr>
                  <w:tcW w:w="729" w:type="dxa"/>
                  <w:vAlign w:val="center"/>
                </w:tcPr>
                <w:p w14:paraId="1FDB92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10F46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08058E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50547B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氮氧化物排放浓度mg/m</w:t>
                  </w:r>
                  <w:r>
                    <w:rPr>
                      <w:rFonts w:hint="eastAsia"/>
                      <w:color w:val="000000" w:themeColor="text1"/>
                      <w:sz w:val="21"/>
                      <w:szCs w:val="21"/>
                      <w:vertAlign w:val="superscript"/>
                    </w:rPr>
                    <w:t>3</w:t>
                  </w:r>
                </w:p>
              </w:tc>
              <w:tc>
                <w:tcPr>
                  <w:tcW w:w="709" w:type="dxa"/>
                  <w:vMerge w:val="continue"/>
                  <w:vAlign w:val="center"/>
                </w:tcPr>
                <w:p w14:paraId="773D8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03385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w:t>
                  </w:r>
                </w:p>
              </w:tc>
              <w:tc>
                <w:tcPr>
                  <w:tcW w:w="1134" w:type="dxa"/>
                  <w:vAlign w:val="center"/>
                </w:tcPr>
                <w:p w14:paraId="37BE52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w:t>
                  </w:r>
                </w:p>
              </w:tc>
              <w:tc>
                <w:tcPr>
                  <w:tcW w:w="1134" w:type="dxa"/>
                  <w:vAlign w:val="center"/>
                </w:tcPr>
                <w:p w14:paraId="39310C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w:t>
                  </w:r>
                </w:p>
              </w:tc>
              <w:tc>
                <w:tcPr>
                  <w:tcW w:w="992" w:type="dxa"/>
                  <w:vAlign w:val="center"/>
                </w:tcPr>
                <w:p w14:paraId="7B4B5B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6</w:t>
                  </w:r>
                </w:p>
              </w:tc>
              <w:tc>
                <w:tcPr>
                  <w:tcW w:w="709" w:type="dxa"/>
                  <w:vAlign w:val="center"/>
                </w:tcPr>
                <w:p w14:paraId="4BD23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240</w:t>
                  </w:r>
                </w:p>
              </w:tc>
              <w:tc>
                <w:tcPr>
                  <w:tcW w:w="729" w:type="dxa"/>
                  <w:vAlign w:val="center"/>
                </w:tcPr>
                <w:p w14:paraId="13FB3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59C31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3ECE5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083831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氮氧化物排放速率kg/h</w:t>
                  </w:r>
                </w:p>
              </w:tc>
              <w:tc>
                <w:tcPr>
                  <w:tcW w:w="709" w:type="dxa"/>
                  <w:vMerge w:val="continue"/>
                  <w:vAlign w:val="center"/>
                </w:tcPr>
                <w:p w14:paraId="4869C4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5BE666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0.0587</w:t>
                  </w:r>
                </w:p>
              </w:tc>
              <w:tc>
                <w:tcPr>
                  <w:tcW w:w="1134" w:type="dxa"/>
                  <w:vAlign w:val="center"/>
                </w:tcPr>
                <w:p w14:paraId="423498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0.0795</w:t>
                  </w:r>
                </w:p>
              </w:tc>
              <w:tc>
                <w:tcPr>
                  <w:tcW w:w="1134" w:type="dxa"/>
                  <w:vAlign w:val="center"/>
                </w:tcPr>
                <w:p w14:paraId="577A5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0.0585</w:t>
                  </w:r>
                </w:p>
              </w:tc>
              <w:tc>
                <w:tcPr>
                  <w:tcW w:w="992" w:type="dxa"/>
                  <w:vAlign w:val="center"/>
                </w:tcPr>
                <w:p w14:paraId="62BDC1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0.0656</w:t>
                  </w:r>
                </w:p>
              </w:tc>
              <w:tc>
                <w:tcPr>
                  <w:tcW w:w="709" w:type="dxa"/>
                  <w:vAlign w:val="center"/>
                </w:tcPr>
                <w:p w14:paraId="25A5FA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0.77</w:t>
                  </w:r>
                </w:p>
              </w:tc>
              <w:tc>
                <w:tcPr>
                  <w:tcW w:w="729" w:type="dxa"/>
                  <w:vAlign w:val="center"/>
                </w:tcPr>
                <w:p w14:paraId="6ED5DD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2856E4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4BD0F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6CEEA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二氧化硫排放浓度mg/m</w:t>
                  </w:r>
                  <w:r>
                    <w:rPr>
                      <w:rFonts w:hint="eastAsia"/>
                      <w:color w:val="000000" w:themeColor="text1"/>
                      <w:sz w:val="21"/>
                      <w:szCs w:val="21"/>
                      <w:vertAlign w:val="superscript"/>
                    </w:rPr>
                    <w:t>3</w:t>
                  </w:r>
                </w:p>
              </w:tc>
              <w:tc>
                <w:tcPr>
                  <w:tcW w:w="709" w:type="dxa"/>
                  <w:vMerge w:val="continue"/>
                  <w:vAlign w:val="center"/>
                </w:tcPr>
                <w:p w14:paraId="35D7EC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454C3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4</w:t>
                  </w:r>
                </w:p>
              </w:tc>
              <w:tc>
                <w:tcPr>
                  <w:tcW w:w="1134" w:type="dxa"/>
                  <w:vAlign w:val="center"/>
                </w:tcPr>
                <w:p w14:paraId="018B4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8</w:t>
                  </w:r>
                </w:p>
              </w:tc>
              <w:tc>
                <w:tcPr>
                  <w:tcW w:w="1134" w:type="dxa"/>
                  <w:vAlign w:val="center"/>
                </w:tcPr>
                <w:p w14:paraId="651B22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6</w:t>
                  </w:r>
                </w:p>
              </w:tc>
              <w:tc>
                <w:tcPr>
                  <w:tcW w:w="992" w:type="dxa"/>
                  <w:vAlign w:val="center"/>
                </w:tcPr>
                <w:p w14:paraId="3D483E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6</w:t>
                  </w:r>
                </w:p>
              </w:tc>
              <w:tc>
                <w:tcPr>
                  <w:tcW w:w="709" w:type="dxa"/>
                  <w:vAlign w:val="center"/>
                </w:tcPr>
                <w:p w14:paraId="2AC3D2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550</w:t>
                  </w:r>
                </w:p>
              </w:tc>
              <w:tc>
                <w:tcPr>
                  <w:tcW w:w="729" w:type="dxa"/>
                  <w:vAlign w:val="center"/>
                </w:tcPr>
                <w:p w14:paraId="72E6B3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69252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798D9A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7F4D7B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二氧化硫排放速率kg/h</w:t>
                  </w:r>
                </w:p>
              </w:tc>
              <w:tc>
                <w:tcPr>
                  <w:tcW w:w="709" w:type="dxa"/>
                  <w:vMerge w:val="continue"/>
                  <w:vAlign w:val="center"/>
                </w:tcPr>
                <w:p w14:paraId="36E5C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25973D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0.0469</w:t>
                  </w:r>
                </w:p>
              </w:tc>
              <w:tc>
                <w:tcPr>
                  <w:tcW w:w="1134" w:type="dxa"/>
                  <w:vAlign w:val="center"/>
                </w:tcPr>
                <w:p w14:paraId="32CAC9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0.0908</w:t>
                  </w:r>
                </w:p>
              </w:tc>
              <w:tc>
                <w:tcPr>
                  <w:tcW w:w="1134" w:type="dxa"/>
                  <w:vAlign w:val="center"/>
                </w:tcPr>
                <w:p w14:paraId="47781C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0.0702</w:t>
                  </w:r>
                </w:p>
              </w:tc>
              <w:tc>
                <w:tcPr>
                  <w:tcW w:w="992" w:type="dxa"/>
                  <w:vAlign w:val="center"/>
                </w:tcPr>
                <w:p w14:paraId="02EFD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宋体"/>
                      <w:color w:val="000000" w:themeColor="text1"/>
                      <w:sz w:val="21"/>
                      <w:szCs w:val="21"/>
                    </w:rPr>
                  </w:pPr>
                  <w:r>
                    <w:rPr>
                      <w:rFonts w:hint="eastAsia" w:cs="宋体"/>
                      <w:color w:val="000000" w:themeColor="text1"/>
                      <w:sz w:val="21"/>
                      <w:szCs w:val="21"/>
                    </w:rPr>
                    <w:t>0.0693</w:t>
                  </w:r>
                </w:p>
              </w:tc>
              <w:tc>
                <w:tcPr>
                  <w:tcW w:w="709" w:type="dxa"/>
                  <w:vAlign w:val="center"/>
                </w:tcPr>
                <w:p w14:paraId="2E790C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2.6</w:t>
                  </w:r>
                </w:p>
              </w:tc>
              <w:tc>
                <w:tcPr>
                  <w:tcW w:w="729" w:type="dxa"/>
                  <w:vAlign w:val="center"/>
                </w:tcPr>
                <w:p w14:paraId="10BC7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6C877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330661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59A3FC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标干风量</w:t>
                  </w:r>
                </w:p>
                <w:p w14:paraId="695FD4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709" w:type="dxa"/>
                  <w:vMerge w:val="continue"/>
                  <w:vAlign w:val="center"/>
                </w:tcPr>
                <w:p w14:paraId="537189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7253E8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11737</w:t>
                  </w:r>
                </w:p>
              </w:tc>
              <w:tc>
                <w:tcPr>
                  <w:tcW w:w="1134" w:type="dxa"/>
                  <w:vAlign w:val="center"/>
                </w:tcPr>
                <w:p w14:paraId="5E2995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11351</w:t>
                  </w:r>
                </w:p>
              </w:tc>
              <w:tc>
                <w:tcPr>
                  <w:tcW w:w="1134" w:type="dxa"/>
                  <w:vAlign w:val="center"/>
                </w:tcPr>
                <w:p w14:paraId="54164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11704</w:t>
                  </w:r>
                </w:p>
              </w:tc>
              <w:tc>
                <w:tcPr>
                  <w:tcW w:w="992" w:type="dxa"/>
                  <w:vAlign w:val="center"/>
                </w:tcPr>
                <w:p w14:paraId="71E560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cs="宋体"/>
                      <w:color w:val="000000" w:themeColor="text1"/>
                      <w:sz w:val="21"/>
                      <w:szCs w:val="21"/>
                    </w:rPr>
                  </w:pPr>
                  <w:r>
                    <w:rPr>
                      <w:rFonts w:hint="eastAsia" w:cs="宋体"/>
                      <w:color w:val="000000" w:themeColor="text1"/>
                      <w:sz w:val="21"/>
                      <w:szCs w:val="21"/>
                    </w:rPr>
                    <w:t>11597</w:t>
                  </w:r>
                </w:p>
              </w:tc>
              <w:tc>
                <w:tcPr>
                  <w:tcW w:w="709" w:type="dxa"/>
                  <w:vAlign w:val="center"/>
                </w:tcPr>
                <w:p w14:paraId="7D616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c>
                <w:tcPr>
                  <w:tcW w:w="729" w:type="dxa"/>
                  <w:vAlign w:val="center"/>
                </w:tcPr>
                <w:p w14:paraId="1254C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r>
            <w:tr w14:paraId="25CFF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54C134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37720F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颗粒物排放浓度</w:t>
                  </w:r>
                </w:p>
                <w:p w14:paraId="24AF2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mg/m</w:t>
                  </w:r>
                  <w:r>
                    <w:rPr>
                      <w:rFonts w:hint="eastAsia"/>
                      <w:color w:val="000000" w:themeColor="text1"/>
                      <w:sz w:val="21"/>
                      <w:szCs w:val="21"/>
                      <w:vertAlign w:val="superscript"/>
                    </w:rPr>
                    <w:t>3</w:t>
                  </w:r>
                </w:p>
              </w:tc>
              <w:tc>
                <w:tcPr>
                  <w:tcW w:w="709" w:type="dxa"/>
                  <w:vMerge w:val="restart"/>
                  <w:vAlign w:val="center"/>
                </w:tcPr>
                <w:p w14:paraId="033698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lang w:eastAsia="zh-CN"/>
                    </w:rPr>
                    <w:t>3月8日</w:t>
                  </w:r>
                </w:p>
              </w:tc>
              <w:tc>
                <w:tcPr>
                  <w:tcW w:w="1134" w:type="dxa"/>
                  <w:vAlign w:val="center"/>
                </w:tcPr>
                <w:p w14:paraId="66AF4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75.7</w:t>
                  </w:r>
                </w:p>
              </w:tc>
              <w:tc>
                <w:tcPr>
                  <w:tcW w:w="1134" w:type="dxa"/>
                  <w:vAlign w:val="center"/>
                </w:tcPr>
                <w:p w14:paraId="50CAD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76.3</w:t>
                  </w:r>
                </w:p>
              </w:tc>
              <w:tc>
                <w:tcPr>
                  <w:tcW w:w="1134" w:type="dxa"/>
                  <w:vAlign w:val="center"/>
                </w:tcPr>
                <w:p w14:paraId="76189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73.8</w:t>
                  </w:r>
                </w:p>
              </w:tc>
              <w:tc>
                <w:tcPr>
                  <w:tcW w:w="992" w:type="dxa"/>
                  <w:vAlign w:val="center"/>
                </w:tcPr>
                <w:p w14:paraId="457B34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75.3</w:t>
                  </w:r>
                </w:p>
              </w:tc>
              <w:tc>
                <w:tcPr>
                  <w:tcW w:w="709" w:type="dxa"/>
                  <w:vAlign w:val="center"/>
                </w:tcPr>
                <w:p w14:paraId="0B4BAF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120</w:t>
                  </w:r>
                </w:p>
              </w:tc>
              <w:tc>
                <w:tcPr>
                  <w:tcW w:w="729" w:type="dxa"/>
                  <w:vAlign w:val="center"/>
                </w:tcPr>
                <w:p w14:paraId="29F6B9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2A6A5A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34F70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61DE96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颗粒物排放速率</w:t>
                  </w:r>
                </w:p>
                <w:p w14:paraId="754A3D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kg/h</w:t>
                  </w:r>
                </w:p>
              </w:tc>
              <w:tc>
                <w:tcPr>
                  <w:tcW w:w="709" w:type="dxa"/>
                  <w:vMerge w:val="continue"/>
                  <w:vAlign w:val="center"/>
                </w:tcPr>
                <w:p w14:paraId="6555E1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5FDC6D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0.859</w:t>
                  </w:r>
                </w:p>
              </w:tc>
              <w:tc>
                <w:tcPr>
                  <w:tcW w:w="1134" w:type="dxa"/>
                  <w:vAlign w:val="center"/>
                </w:tcPr>
                <w:p w14:paraId="409FB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0.879</w:t>
                  </w:r>
                </w:p>
              </w:tc>
              <w:tc>
                <w:tcPr>
                  <w:tcW w:w="1134" w:type="dxa"/>
                  <w:vAlign w:val="center"/>
                </w:tcPr>
                <w:p w14:paraId="7E626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0.874</w:t>
                  </w:r>
                </w:p>
              </w:tc>
              <w:tc>
                <w:tcPr>
                  <w:tcW w:w="992" w:type="dxa"/>
                  <w:vAlign w:val="center"/>
                </w:tcPr>
                <w:p w14:paraId="55B066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0.871</w:t>
                  </w:r>
                </w:p>
              </w:tc>
              <w:tc>
                <w:tcPr>
                  <w:tcW w:w="709" w:type="dxa"/>
                  <w:vAlign w:val="center"/>
                </w:tcPr>
                <w:p w14:paraId="628F3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3.5</w:t>
                  </w:r>
                </w:p>
              </w:tc>
              <w:tc>
                <w:tcPr>
                  <w:tcW w:w="729" w:type="dxa"/>
                  <w:vAlign w:val="center"/>
                </w:tcPr>
                <w:p w14:paraId="7D60A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0A666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07B706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554483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氮氧化物排放浓度mg/m</w:t>
                  </w:r>
                  <w:r>
                    <w:rPr>
                      <w:rFonts w:hint="eastAsia"/>
                      <w:color w:val="000000" w:themeColor="text1"/>
                      <w:sz w:val="21"/>
                      <w:szCs w:val="21"/>
                      <w:vertAlign w:val="superscript"/>
                    </w:rPr>
                    <w:t>3</w:t>
                  </w:r>
                </w:p>
              </w:tc>
              <w:tc>
                <w:tcPr>
                  <w:tcW w:w="709" w:type="dxa"/>
                  <w:vMerge w:val="continue"/>
                  <w:vAlign w:val="center"/>
                </w:tcPr>
                <w:p w14:paraId="6C3B1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5B5488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9</w:t>
                  </w:r>
                </w:p>
              </w:tc>
              <w:tc>
                <w:tcPr>
                  <w:tcW w:w="1134" w:type="dxa"/>
                  <w:vAlign w:val="center"/>
                </w:tcPr>
                <w:p w14:paraId="66CF8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w:t>
                  </w:r>
                </w:p>
              </w:tc>
              <w:tc>
                <w:tcPr>
                  <w:tcW w:w="1134" w:type="dxa"/>
                  <w:vAlign w:val="center"/>
                </w:tcPr>
                <w:p w14:paraId="75DD7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w:t>
                  </w:r>
                </w:p>
              </w:tc>
              <w:tc>
                <w:tcPr>
                  <w:tcW w:w="992" w:type="dxa"/>
                  <w:vAlign w:val="center"/>
                </w:tcPr>
                <w:p w14:paraId="355D5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w:t>
                  </w:r>
                </w:p>
              </w:tc>
              <w:tc>
                <w:tcPr>
                  <w:tcW w:w="709" w:type="dxa"/>
                  <w:vAlign w:val="center"/>
                </w:tcPr>
                <w:p w14:paraId="25259D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240</w:t>
                  </w:r>
                </w:p>
              </w:tc>
              <w:tc>
                <w:tcPr>
                  <w:tcW w:w="729" w:type="dxa"/>
                  <w:vAlign w:val="center"/>
                </w:tcPr>
                <w:p w14:paraId="44189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22BC8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7C2C93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6179F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氮氧化物排放速率kg/h</w:t>
                  </w:r>
                </w:p>
              </w:tc>
              <w:tc>
                <w:tcPr>
                  <w:tcW w:w="709" w:type="dxa"/>
                  <w:vMerge w:val="continue"/>
                  <w:vAlign w:val="center"/>
                </w:tcPr>
                <w:p w14:paraId="2117C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7E05E1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0.102</w:t>
                  </w:r>
                </w:p>
              </w:tc>
              <w:tc>
                <w:tcPr>
                  <w:tcW w:w="1134" w:type="dxa"/>
                  <w:vAlign w:val="center"/>
                </w:tcPr>
                <w:p w14:paraId="7819D8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0.0576</w:t>
                  </w:r>
                </w:p>
              </w:tc>
              <w:tc>
                <w:tcPr>
                  <w:tcW w:w="1134" w:type="dxa"/>
                  <w:vAlign w:val="center"/>
                </w:tcPr>
                <w:p w14:paraId="266EA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0.0829</w:t>
                  </w:r>
                </w:p>
              </w:tc>
              <w:tc>
                <w:tcPr>
                  <w:tcW w:w="992" w:type="dxa"/>
                  <w:vAlign w:val="center"/>
                </w:tcPr>
                <w:p w14:paraId="10806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0.0808</w:t>
                  </w:r>
                </w:p>
              </w:tc>
              <w:tc>
                <w:tcPr>
                  <w:tcW w:w="709" w:type="dxa"/>
                  <w:vAlign w:val="center"/>
                </w:tcPr>
                <w:p w14:paraId="2CA29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0.77</w:t>
                  </w:r>
                </w:p>
              </w:tc>
              <w:tc>
                <w:tcPr>
                  <w:tcW w:w="729" w:type="dxa"/>
                  <w:vAlign w:val="center"/>
                </w:tcPr>
                <w:p w14:paraId="152CFE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02B61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0A02D1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7174D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二氧化硫排放浓度mg/m</w:t>
                  </w:r>
                  <w:r>
                    <w:rPr>
                      <w:rFonts w:hint="eastAsia"/>
                      <w:color w:val="000000" w:themeColor="text1"/>
                      <w:sz w:val="21"/>
                      <w:szCs w:val="21"/>
                      <w:vertAlign w:val="superscript"/>
                    </w:rPr>
                    <w:t>3</w:t>
                  </w:r>
                </w:p>
              </w:tc>
              <w:tc>
                <w:tcPr>
                  <w:tcW w:w="709" w:type="dxa"/>
                  <w:vMerge w:val="continue"/>
                  <w:vAlign w:val="center"/>
                </w:tcPr>
                <w:p w14:paraId="034736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6F10DD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w:t>
                  </w:r>
                </w:p>
              </w:tc>
              <w:tc>
                <w:tcPr>
                  <w:tcW w:w="1134" w:type="dxa"/>
                  <w:vAlign w:val="center"/>
                </w:tcPr>
                <w:p w14:paraId="59DDE5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6</w:t>
                  </w:r>
                </w:p>
              </w:tc>
              <w:tc>
                <w:tcPr>
                  <w:tcW w:w="1134" w:type="dxa"/>
                  <w:vAlign w:val="center"/>
                </w:tcPr>
                <w:p w14:paraId="0148EE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8</w:t>
                  </w:r>
                </w:p>
              </w:tc>
              <w:tc>
                <w:tcPr>
                  <w:tcW w:w="992" w:type="dxa"/>
                  <w:vAlign w:val="center"/>
                </w:tcPr>
                <w:p w14:paraId="3E30E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7</w:t>
                  </w:r>
                </w:p>
              </w:tc>
              <w:tc>
                <w:tcPr>
                  <w:tcW w:w="709" w:type="dxa"/>
                  <w:vAlign w:val="center"/>
                </w:tcPr>
                <w:p w14:paraId="410EE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550</w:t>
                  </w:r>
                </w:p>
              </w:tc>
              <w:tc>
                <w:tcPr>
                  <w:tcW w:w="729" w:type="dxa"/>
                  <w:vAlign w:val="center"/>
                </w:tcPr>
                <w:p w14:paraId="6AB29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6A881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3A97B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690B7F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二氧化硫排放速率kg/h</w:t>
                  </w:r>
                </w:p>
              </w:tc>
              <w:tc>
                <w:tcPr>
                  <w:tcW w:w="709" w:type="dxa"/>
                  <w:vMerge w:val="continue"/>
                  <w:vAlign w:val="center"/>
                </w:tcPr>
                <w:p w14:paraId="3A183C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14F877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0.0794</w:t>
                  </w:r>
                </w:p>
              </w:tc>
              <w:tc>
                <w:tcPr>
                  <w:tcW w:w="1134" w:type="dxa"/>
                  <w:vAlign w:val="center"/>
                </w:tcPr>
                <w:p w14:paraId="72E12B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0.0691</w:t>
                  </w:r>
                </w:p>
              </w:tc>
              <w:tc>
                <w:tcPr>
                  <w:tcW w:w="1134" w:type="dxa"/>
                  <w:vAlign w:val="center"/>
                </w:tcPr>
                <w:p w14:paraId="39E90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0.0947</w:t>
                  </w:r>
                </w:p>
              </w:tc>
              <w:tc>
                <w:tcPr>
                  <w:tcW w:w="992" w:type="dxa"/>
                  <w:vAlign w:val="center"/>
                </w:tcPr>
                <w:p w14:paraId="37E35C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0.0811</w:t>
                  </w:r>
                </w:p>
              </w:tc>
              <w:tc>
                <w:tcPr>
                  <w:tcW w:w="709" w:type="dxa"/>
                  <w:vAlign w:val="center"/>
                </w:tcPr>
                <w:p w14:paraId="40A6C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2.6</w:t>
                  </w:r>
                </w:p>
              </w:tc>
              <w:tc>
                <w:tcPr>
                  <w:tcW w:w="729" w:type="dxa"/>
                  <w:vAlign w:val="center"/>
                </w:tcPr>
                <w:p w14:paraId="36053B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达标</w:t>
                  </w:r>
                </w:p>
              </w:tc>
            </w:tr>
            <w:tr w14:paraId="65604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5" w:type="dxa"/>
                  <w:vMerge w:val="continue"/>
                  <w:vAlign w:val="center"/>
                </w:tcPr>
                <w:p w14:paraId="1CB6A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2126" w:type="dxa"/>
                  <w:vAlign w:val="center"/>
                </w:tcPr>
                <w:p w14:paraId="42224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标干风量</w:t>
                  </w:r>
                </w:p>
                <w:p w14:paraId="4AE257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color w:val="000000" w:themeColor="text1"/>
                      <w:sz w:val="21"/>
                      <w:szCs w:val="21"/>
                    </w:rPr>
                    <w:t>m</w:t>
                  </w:r>
                  <w:r>
                    <w:rPr>
                      <w:color w:val="000000" w:themeColor="text1"/>
                      <w:sz w:val="21"/>
                      <w:szCs w:val="21"/>
                      <w:vertAlign w:val="superscript"/>
                    </w:rPr>
                    <w:t>3</w:t>
                  </w:r>
                  <w:r>
                    <w:rPr>
                      <w:color w:val="000000" w:themeColor="text1"/>
                      <w:sz w:val="21"/>
                      <w:szCs w:val="21"/>
                    </w:rPr>
                    <w:t>/h</w:t>
                  </w:r>
                </w:p>
              </w:tc>
              <w:tc>
                <w:tcPr>
                  <w:tcW w:w="709" w:type="dxa"/>
                  <w:vMerge w:val="continue"/>
                  <w:vAlign w:val="center"/>
                </w:tcPr>
                <w:p w14:paraId="2F6E6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134" w:type="dxa"/>
                  <w:vAlign w:val="center"/>
                </w:tcPr>
                <w:p w14:paraId="1C4D7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11342</w:t>
                  </w:r>
                </w:p>
              </w:tc>
              <w:tc>
                <w:tcPr>
                  <w:tcW w:w="1134" w:type="dxa"/>
                  <w:vAlign w:val="center"/>
                </w:tcPr>
                <w:p w14:paraId="0AA670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11524</w:t>
                  </w:r>
                </w:p>
              </w:tc>
              <w:tc>
                <w:tcPr>
                  <w:tcW w:w="1134" w:type="dxa"/>
                  <w:vAlign w:val="center"/>
                </w:tcPr>
                <w:p w14:paraId="1095C1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11838</w:t>
                  </w:r>
                </w:p>
              </w:tc>
              <w:tc>
                <w:tcPr>
                  <w:tcW w:w="992" w:type="dxa"/>
                  <w:vAlign w:val="center"/>
                </w:tcPr>
                <w:p w14:paraId="0BC67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11568</w:t>
                  </w:r>
                </w:p>
              </w:tc>
              <w:tc>
                <w:tcPr>
                  <w:tcW w:w="709" w:type="dxa"/>
                  <w:vAlign w:val="center"/>
                </w:tcPr>
                <w:p w14:paraId="0F2487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c>
                <w:tcPr>
                  <w:tcW w:w="729" w:type="dxa"/>
                  <w:vAlign w:val="center"/>
                </w:tcPr>
                <w:p w14:paraId="46EE68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r>
          </w:tbl>
          <w:p w14:paraId="38C1B292">
            <w:pPr>
              <w:spacing w:line="360" w:lineRule="auto"/>
              <w:ind w:firstLine="482"/>
              <w:rPr>
                <w:rFonts w:hint="default"/>
                <w:color w:val="000000" w:themeColor="text1"/>
                <w:sz w:val="24"/>
                <w:szCs w:val="24"/>
              </w:rPr>
            </w:pPr>
            <w:r>
              <w:rPr>
                <w:rFonts w:hint="default"/>
                <w:color w:val="000000" w:themeColor="text1"/>
                <w:sz w:val="24"/>
                <w:szCs w:val="24"/>
              </w:rPr>
              <w:t>由</w:t>
            </w:r>
            <w:r>
              <w:rPr>
                <w:rFonts w:hint="eastAsia"/>
                <w:color w:val="000000" w:themeColor="text1"/>
                <w:sz w:val="24"/>
                <w:szCs w:val="24"/>
                <w:lang w:val="en-US" w:eastAsia="zh-CN"/>
              </w:rPr>
              <w:t>上</w:t>
            </w:r>
            <w:r>
              <w:rPr>
                <w:rFonts w:hint="default"/>
                <w:color w:val="000000" w:themeColor="text1"/>
                <w:sz w:val="24"/>
                <w:szCs w:val="24"/>
              </w:rPr>
              <w:t>表可知，验收监测期间，</w:t>
            </w:r>
            <w:r>
              <w:rPr>
                <w:color w:val="000000" w:themeColor="text1"/>
                <w:sz w:val="24"/>
              </w:rPr>
              <w:t>混合工艺废气净化装置出口</w:t>
            </w:r>
            <w:r>
              <w:rPr>
                <w:rFonts w:hint="eastAsia"/>
                <w:color w:val="000000" w:themeColor="text1"/>
                <w:sz w:val="24"/>
              </w:rPr>
              <w:t>（G1</w:t>
            </w:r>
            <w:r>
              <w:rPr>
                <w:rFonts w:hint="eastAsia"/>
                <w:color w:val="000000" w:themeColor="text1"/>
                <w:sz w:val="24"/>
                <w:vertAlign w:val="superscript"/>
              </w:rPr>
              <w:t>#</w:t>
            </w:r>
            <w:r>
              <w:rPr>
                <w:rFonts w:hint="eastAsia"/>
                <w:color w:val="000000" w:themeColor="text1"/>
                <w:sz w:val="24"/>
              </w:rPr>
              <w:t>）处颗粒物</w:t>
            </w:r>
            <w:r>
              <w:rPr>
                <w:rFonts w:hint="eastAsia"/>
                <w:color w:val="000000" w:themeColor="text1"/>
                <w:sz w:val="24"/>
                <w:lang w:eastAsia="zh-CN"/>
              </w:rPr>
              <w:t>（</w:t>
            </w:r>
            <w:r>
              <w:rPr>
                <w:rFonts w:hint="eastAsia"/>
                <w:color w:val="000000" w:themeColor="text1"/>
                <w:sz w:val="24"/>
              </w:rPr>
              <w:t>最大日均排放浓度为76.0mg/m</w:t>
            </w:r>
            <w:r>
              <w:rPr>
                <w:rFonts w:hint="eastAsia"/>
                <w:color w:val="000000" w:themeColor="text1"/>
                <w:sz w:val="24"/>
                <w:vertAlign w:val="superscript"/>
              </w:rPr>
              <w:t>3</w:t>
            </w:r>
            <w:r>
              <w:rPr>
                <w:rFonts w:hint="eastAsia"/>
                <w:color w:val="000000" w:themeColor="text1"/>
                <w:sz w:val="24"/>
              </w:rPr>
              <w:t>，最大日均排放速率为0.882 kg/h</w:t>
            </w:r>
            <w:r>
              <w:rPr>
                <w:rFonts w:hint="eastAsia"/>
                <w:color w:val="000000" w:themeColor="text1"/>
                <w:sz w:val="24"/>
                <w:lang w:eastAsia="zh-CN"/>
              </w:rPr>
              <w:t>）</w:t>
            </w:r>
            <w:r>
              <w:rPr>
                <w:rFonts w:hint="eastAsia"/>
                <w:color w:val="000000" w:themeColor="text1"/>
                <w:sz w:val="24"/>
              </w:rPr>
              <w:t>，二氧化硫</w:t>
            </w:r>
            <w:r>
              <w:rPr>
                <w:rFonts w:hint="eastAsia"/>
                <w:color w:val="000000" w:themeColor="text1"/>
                <w:sz w:val="24"/>
                <w:lang w:eastAsia="zh-CN"/>
              </w:rPr>
              <w:t>（</w:t>
            </w:r>
            <w:r>
              <w:rPr>
                <w:rFonts w:hint="eastAsia"/>
                <w:color w:val="000000" w:themeColor="text1"/>
                <w:sz w:val="24"/>
              </w:rPr>
              <w:t>最大日均排放浓度为7 mg/m</w:t>
            </w:r>
            <w:r>
              <w:rPr>
                <w:rFonts w:hint="eastAsia"/>
                <w:color w:val="000000" w:themeColor="text1"/>
                <w:sz w:val="24"/>
                <w:vertAlign w:val="superscript"/>
              </w:rPr>
              <w:t>3</w:t>
            </w:r>
            <w:r>
              <w:rPr>
                <w:rFonts w:hint="eastAsia"/>
                <w:color w:val="000000" w:themeColor="text1"/>
                <w:sz w:val="24"/>
              </w:rPr>
              <w:t>，最大日均排放速率为0.0811 kg/h</w:t>
            </w:r>
            <w:r>
              <w:rPr>
                <w:rFonts w:hint="eastAsia"/>
                <w:color w:val="000000" w:themeColor="text1"/>
                <w:sz w:val="24"/>
                <w:lang w:eastAsia="zh-CN"/>
              </w:rPr>
              <w:t>）</w:t>
            </w:r>
            <w:r>
              <w:rPr>
                <w:rFonts w:hint="eastAsia"/>
                <w:color w:val="000000" w:themeColor="text1"/>
                <w:sz w:val="24"/>
              </w:rPr>
              <w:t>，氮氧化物</w:t>
            </w:r>
            <w:r>
              <w:rPr>
                <w:rFonts w:hint="eastAsia"/>
                <w:color w:val="000000" w:themeColor="text1"/>
                <w:sz w:val="24"/>
                <w:lang w:eastAsia="zh-CN"/>
              </w:rPr>
              <w:t>（</w:t>
            </w:r>
            <w:r>
              <w:rPr>
                <w:rFonts w:hint="eastAsia"/>
                <w:color w:val="000000" w:themeColor="text1"/>
                <w:sz w:val="24"/>
              </w:rPr>
              <w:t>最大日均排放浓度为7 mg/m</w:t>
            </w:r>
            <w:r>
              <w:rPr>
                <w:rFonts w:hint="eastAsia"/>
                <w:color w:val="000000" w:themeColor="text1"/>
                <w:sz w:val="24"/>
                <w:vertAlign w:val="superscript"/>
              </w:rPr>
              <w:t>3</w:t>
            </w:r>
            <w:r>
              <w:rPr>
                <w:rFonts w:hint="eastAsia"/>
                <w:color w:val="000000" w:themeColor="text1"/>
                <w:sz w:val="24"/>
              </w:rPr>
              <w:t>，最大日均排放速率为0.0808 kg/h</w:t>
            </w:r>
            <w:r>
              <w:rPr>
                <w:rFonts w:hint="eastAsia"/>
                <w:color w:val="000000" w:themeColor="text1"/>
                <w:sz w:val="24"/>
                <w:lang w:eastAsia="zh-CN"/>
              </w:rPr>
              <w:t>）</w:t>
            </w:r>
            <w:r>
              <w:rPr>
                <w:rFonts w:hint="eastAsia"/>
                <w:color w:val="000000" w:themeColor="text1"/>
                <w:sz w:val="24"/>
              </w:rPr>
              <w:t>，均达到《大气污染物综合排放标准》（GB16297-1996）表2二级标准</w:t>
            </w:r>
            <w:r>
              <w:rPr>
                <w:rFonts w:hint="default"/>
                <w:color w:val="000000" w:themeColor="text1"/>
                <w:kern w:val="0"/>
                <w:sz w:val="24"/>
                <w:szCs w:val="24"/>
              </w:rPr>
              <w:t>。</w:t>
            </w:r>
          </w:p>
          <w:p w14:paraId="64706E0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360" w:lineRule="auto"/>
              <w:ind w:left="0" w:leftChars="0" w:firstLine="482" w:firstLineChars="200"/>
              <w:textAlignment w:val="auto"/>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sz w:val="24"/>
                <w:szCs w:val="24"/>
                <w:lang w:eastAsia="zh-CN"/>
              </w:rPr>
              <w:t>（</w:t>
            </w:r>
            <w:r>
              <w:rPr>
                <w:rFonts w:hint="eastAsia" w:ascii="Times New Roman" w:hAnsi="Times New Roman" w:eastAsia="宋体" w:cs="Times New Roman"/>
                <w:color w:val="000000" w:themeColor="text1"/>
                <w:sz w:val="24"/>
                <w:szCs w:val="24"/>
                <w:lang w:val="en-US" w:eastAsia="zh-CN"/>
              </w:rPr>
              <w:t>3</w:t>
            </w:r>
            <w:r>
              <w:rPr>
                <w:rFonts w:hint="eastAsia"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噪声</w:t>
            </w:r>
          </w:p>
          <w:p w14:paraId="501F9088">
            <w:pPr>
              <w:pStyle w:val="46"/>
              <w:keepNext w:val="0"/>
              <w:keepLines w:val="0"/>
              <w:pageBreakBefore w:val="0"/>
              <w:kinsoku/>
              <w:wordWrap/>
              <w:overflowPunct/>
              <w:topLinePunct w:val="0"/>
              <w:autoSpaceDE/>
              <w:autoSpaceDN/>
              <w:bidi w:val="0"/>
              <w:adjustRightInd/>
              <w:snapToGrid/>
              <w:spacing w:before="0" w:after="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rPr>
            </w:pPr>
            <w:r>
              <w:rPr>
                <w:rFonts w:hint="default" w:ascii="Times New Roman" w:hAnsi="Times New Roman" w:eastAsia="宋体" w:cs="Times New Roman"/>
                <w:b/>
                <w:bCs w:val="0"/>
                <w:color w:val="000000" w:themeColor="text1"/>
                <w:sz w:val="21"/>
                <w:szCs w:val="21"/>
              </w:rPr>
              <w:t>表2-</w:t>
            </w:r>
            <w:r>
              <w:rPr>
                <w:rFonts w:hint="eastAsia" w:ascii="Times New Roman" w:hAnsi="Times New Roman" w:eastAsia="宋体" w:cs="Times New Roman"/>
                <w:b/>
                <w:bCs w:val="0"/>
                <w:color w:val="000000" w:themeColor="text1"/>
                <w:sz w:val="21"/>
                <w:szCs w:val="21"/>
                <w:lang w:val="en-US" w:eastAsia="zh-CN"/>
              </w:rPr>
              <w:t>21</w:t>
            </w:r>
            <w:r>
              <w:rPr>
                <w:rFonts w:hint="default" w:ascii="Times New Roman" w:hAnsi="Times New Roman" w:eastAsia="宋体" w:cs="Times New Roman"/>
                <w:b/>
                <w:bCs w:val="0"/>
                <w:color w:val="000000" w:themeColor="text1"/>
                <w:sz w:val="21"/>
                <w:szCs w:val="21"/>
              </w:rPr>
              <w:t xml:space="preserve">  厂界噪声监测结果一览表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55"/>
              <w:gridCol w:w="2055"/>
              <w:gridCol w:w="1170"/>
              <w:gridCol w:w="1414"/>
              <w:gridCol w:w="889"/>
              <w:gridCol w:w="889"/>
            </w:tblGrid>
            <w:tr w14:paraId="50AEA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560" w:type="dxa"/>
                  <w:vAlign w:val="center"/>
                </w:tcPr>
                <w:p w14:paraId="12CEA5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rFonts w:hint="eastAsia"/>
                      <w:b/>
                      <w:bCs/>
                      <w:color w:val="000000" w:themeColor="text1"/>
                      <w:kern w:val="0"/>
                      <w:sz w:val="21"/>
                      <w:szCs w:val="21"/>
                    </w:rPr>
                    <w:t>监测</w:t>
                  </w:r>
                  <w:r>
                    <w:rPr>
                      <w:b/>
                      <w:bCs/>
                      <w:color w:val="000000" w:themeColor="text1"/>
                      <w:kern w:val="0"/>
                      <w:sz w:val="21"/>
                      <w:szCs w:val="21"/>
                    </w:rPr>
                    <w:t>日期</w:t>
                  </w:r>
                </w:p>
              </w:tc>
              <w:tc>
                <w:tcPr>
                  <w:tcW w:w="2061" w:type="dxa"/>
                  <w:vAlign w:val="center"/>
                </w:tcPr>
                <w:p w14:paraId="2F8CF0A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rFonts w:hint="eastAsia"/>
                      <w:b/>
                      <w:bCs/>
                      <w:color w:val="000000" w:themeColor="text1"/>
                      <w:kern w:val="0"/>
                      <w:sz w:val="21"/>
                      <w:szCs w:val="21"/>
                    </w:rPr>
                    <w:t>点位编号及名称</w:t>
                  </w:r>
                </w:p>
              </w:tc>
              <w:tc>
                <w:tcPr>
                  <w:tcW w:w="1173" w:type="dxa"/>
                  <w:vAlign w:val="center"/>
                </w:tcPr>
                <w:p w14:paraId="51BC56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b/>
                      <w:bCs/>
                      <w:color w:val="000000" w:themeColor="text1"/>
                      <w:kern w:val="0"/>
                      <w:sz w:val="21"/>
                      <w:szCs w:val="21"/>
                    </w:rPr>
                    <w:t>监测时段</w:t>
                  </w:r>
                </w:p>
              </w:tc>
              <w:tc>
                <w:tcPr>
                  <w:tcW w:w="1418" w:type="dxa"/>
                  <w:vAlign w:val="center"/>
                </w:tcPr>
                <w:p w14:paraId="0E5084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rFonts w:hint="eastAsia"/>
                      <w:b/>
                      <w:bCs/>
                      <w:color w:val="000000" w:themeColor="text1"/>
                      <w:kern w:val="0"/>
                      <w:sz w:val="21"/>
                      <w:szCs w:val="21"/>
                    </w:rPr>
                    <w:t>测定结果</w:t>
                  </w:r>
                  <w:r>
                    <w:rPr>
                      <w:b/>
                      <w:color w:val="000000" w:themeColor="text1"/>
                      <w:sz w:val="21"/>
                      <w:szCs w:val="21"/>
                    </w:rPr>
                    <w:t>L</w:t>
                  </w:r>
                  <w:r>
                    <w:rPr>
                      <w:b/>
                      <w:color w:val="000000" w:themeColor="text1"/>
                      <w:sz w:val="21"/>
                      <w:szCs w:val="21"/>
                      <w:vertAlign w:val="subscript"/>
                    </w:rPr>
                    <w:t>eq</w:t>
                  </w:r>
                </w:p>
              </w:tc>
              <w:tc>
                <w:tcPr>
                  <w:tcW w:w="891" w:type="dxa"/>
                  <w:vAlign w:val="center"/>
                </w:tcPr>
                <w:p w14:paraId="7CE3C9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rFonts w:hint="eastAsia"/>
                      <w:b/>
                      <w:bCs/>
                      <w:color w:val="000000" w:themeColor="text1"/>
                      <w:kern w:val="0"/>
                      <w:sz w:val="21"/>
                      <w:szCs w:val="21"/>
                    </w:rPr>
                    <w:t>标准限值</w:t>
                  </w:r>
                </w:p>
              </w:tc>
              <w:tc>
                <w:tcPr>
                  <w:tcW w:w="891" w:type="dxa"/>
                  <w:vAlign w:val="center"/>
                </w:tcPr>
                <w:p w14:paraId="7708C9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kern w:val="0"/>
                      <w:sz w:val="21"/>
                      <w:szCs w:val="21"/>
                    </w:rPr>
                  </w:pPr>
                  <w:r>
                    <w:rPr>
                      <w:rFonts w:hint="eastAsia"/>
                      <w:b/>
                      <w:bCs/>
                      <w:color w:val="000000" w:themeColor="text1"/>
                      <w:kern w:val="0"/>
                      <w:sz w:val="21"/>
                      <w:szCs w:val="21"/>
                    </w:rPr>
                    <w:t>达标情况</w:t>
                  </w:r>
                </w:p>
              </w:tc>
            </w:tr>
            <w:tr w14:paraId="14EAE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vAlign w:val="center"/>
                </w:tcPr>
                <w:p w14:paraId="49055E4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rPr>
                  </w:pPr>
                  <w:r>
                    <w:rPr>
                      <w:rFonts w:hint="eastAsia"/>
                      <w:color w:val="000000" w:themeColor="text1"/>
                      <w:sz w:val="21"/>
                      <w:szCs w:val="21"/>
                    </w:rPr>
                    <w:t>2017.03.07</w:t>
                  </w:r>
                </w:p>
              </w:tc>
              <w:tc>
                <w:tcPr>
                  <w:tcW w:w="2061" w:type="dxa"/>
                  <w:vMerge w:val="restart"/>
                  <w:vAlign w:val="center"/>
                </w:tcPr>
                <w:p w14:paraId="3617766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vertAlign w:val="superscript"/>
                    </w:rPr>
                  </w:pPr>
                  <w:r>
                    <w:rPr>
                      <w:rFonts w:hint="eastAsia"/>
                      <w:color w:val="000000" w:themeColor="text1"/>
                      <w:sz w:val="21"/>
                      <w:szCs w:val="21"/>
                    </w:rPr>
                    <w:t>N1</w:t>
                  </w:r>
                  <w:r>
                    <w:rPr>
                      <w:rFonts w:hint="eastAsia"/>
                      <w:color w:val="000000" w:themeColor="text1"/>
                      <w:sz w:val="21"/>
                      <w:szCs w:val="21"/>
                      <w:vertAlign w:val="superscript"/>
                    </w:rPr>
                    <w:t>#</w:t>
                  </w:r>
                  <w:r>
                    <w:rPr>
                      <w:rFonts w:hint="eastAsia"/>
                      <w:color w:val="000000" w:themeColor="text1"/>
                      <w:sz w:val="21"/>
                      <w:szCs w:val="21"/>
                    </w:rPr>
                    <w:t>厂界东侧外1m</w:t>
                  </w:r>
                </w:p>
              </w:tc>
              <w:tc>
                <w:tcPr>
                  <w:tcW w:w="1173" w:type="dxa"/>
                  <w:vAlign w:val="center"/>
                </w:tcPr>
                <w:p w14:paraId="17B3559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2342B75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57.4</w:t>
                  </w:r>
                </w:p>
              </w:tc>
              <w:tc>
                <w:tcPr>
                  <w:tcW w:w="891" w:type="dxa"/>
                  <w:vAlign w:val="center"/>
                </w:tcPr>
                <w:p w14:paraId="2628EE7B">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32176FA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6CF19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2C9811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5137D30D">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349DC64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5C4C5564">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49.1</w:t>
                  </w:r>
                </w:p>
              </w:tc>
              <w:tc>
                <w:tcPr>
                  <w:tcW w:w="891" w:type="dxa"/>
                  <w:vAlign w:val="center"/>
                </w:tcPr>
                <w:p w14:paraId="6E10052D">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2D880263">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4267F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171385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5E29FF3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N2</w:t>
                  </w:r>
                  <w:r>
                    <w:rPr>
                      <w:rFonts w:hint="eastAsia"/>
                      <w:color w:val="000000" w:themeColor="text1"/>
                      <w:sz w:val="21"/>
                      <w:szCs w:val="21"/>
                      <w:vertAlign w:val="superscript"/>
                    </w:rPr>
                    <w:t>#</w:t>
                  </w:r>
                  <w:r>
                    <w:rPr>
                      <w:rFonts w:hint="eastAsia"/>
                      <w:color w:val="000000" w:themeColor="text1"/>
                      <w:sz w:val="21"/>
                      <w:szCs w:val="21"/>
                    </w:rPr>
                    <w:t>厂界南侧外1m</w:t>
                  </w:r>
                </w:p>
              </w:tc>
              <w:tc>
                <w:tcPr>
                  <w:tcW w:w="1173" w:type="dxa"/>
                  <w:vAlign w:val="center"/>
                </w:tcPr>
                <w:p w14:paraId="65DF680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6AB1D8D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59.5</w:t>
                  </w:r>
                </w:p>
              </w:tc>
              <w:tc>
                <w:tcPr>
                  <w:tcW w:w="891" w:type="dxa"/>
                  <w:vAlign w:val="center"/>
                </w:tcPr>
                <w:p w14:paraId="1B546D6B">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709D0613">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726F8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21FB7C9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01B36DF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51A671D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3BD682D5">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51.2</w:t>
                  </w:r>
                </w:p>
              </w:tc>
              <w:tc>
                <w:tcPr>
                  <w:tcW w:w="891" w:type="dxa"/>
                  <w:vAlign w:val="center"/>
                </w:tcPr>
                <w:p w14:paraId="73633BEE">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3739483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582DB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2409C40">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0A760F35">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N3</w:t>
                  </w:r>
                  <w:r>
                    <w:rPr>
                      <w:rFonts w:hint="eastAsia"/>
                      <w:color w:val="000000" w:themeColor="text1"/>
                      <w:sz w:val="21"/>
                      <w:szCs w:val="21"/>
                      <w:vertAlign w:val="superscript"/>
                    </w:rPr>
                    <w:t>#</w:t>
                  </w:r>
                  <w:r>
                    <w:rPr>
                      <w:rFonts w:hint="eastAsia"/>
                      <w:color w:val="000000" w:themeColor="text1"/>
                      <w:sz w:val="21"/>
                      <w:szCs w:val="21"/>
                    </w:rPr>
                    <w:t>厂界西侧外1m</w:t>
                  </w:r>
                </w:p>
              </w:tc>
              <w:tc>
                <w:tcPr>
                  <w:tcW w:w="1173" w:type="dxa"/>
                  <w:vAlign w:val="center"/>
                </w:tcPr>
                <w:p w14:paraId="214A095E">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3643393E">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56.3</w:t>
                  </w:r>
                </w:p>
              </w:tc>
              <w:tc>
                <w:tcPr>
                  <w:tcW w:w="891" w:type="dxa"/>
                  <w:vAlign w:val="center"/>
                </w:tcPr>
                <w:p w14:paraId="7811239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12F794B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38235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E24687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014BFBF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7BA106A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06A53D33">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52.3</w:t>
                  </w:r>
                </w:p>
              </w:tc>
              <w:tc>
                <w:tcPr>
                  <w:tcW w:w="891" w:type="dxa"/>
                  <w:vAlign w:val="center"/>
                </w:tcPr>
                <w:p w14:paraId="5EFFC56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150CAA2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1E641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80D94D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72732D6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N4</w:t>
                  </w:r>
                  <w:r>
                    <w:rPr>
                      <w:rFonts w:hint="eastAsia"/>
                      <w:color w:val="000000" w:themeColor="text1"/>
                      <w:sz w:val="21"/>
                      <w:szCs w:val="21"/>
                      <w:vertAlign w:val="superscript"/>
                    </w:rPr>
                    <w:t>#</w:t>
                  </w:r>
                  <w:r>
                    <w:rPr>
                      <w:rFonts w:hint="eastAsia"/>
                      <w:color w:val="000000" w:themeColor="text1"/>
                      <w:sz w:val="21"/>
                      <w:szCs w:val="21"/>
                    </w:rPr>
                    <w:t>厂界北侧外1m</w:t>
                  </w:r>
                </w:p>
              </w:tc>
              <w:tc>
                <w:tcPr>
                  <w:tcW w:w="1173" w:type="dxa"/>
                  <w:vAlign w:val="center"/>
                </w:tcPr>
                <w:p w14:paraId="6371DFED">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07CB937B">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56.8</w:t>
                  </w:r>
                </w:p>
              </w:tc>
              <w:tc>
                <w:tcPr>
                  <w:tcW w:w="891" w:type="dxa"/>
                  <w:vAlign w:val="center"/>
                </w:tcPr>
                <w:p w14:paraId="6C17FA0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09709CE3">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44CEE2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560" w:type="dxa"/>
                  <w:vMerge w:val="continue"/>
                  <w:vAlign w:val="center"/>
                </w:tcPr>
                <w:p w14:paraId="04D1EA9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1E084A1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635B1F6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53EB9BE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49.6</w:t>
                  </w:r>
                </w:p>
              </w:tc>
              <w:tc>
                <w:tcPr>
                  <w:tcW w:w="891" w:type="dxa"/>
                  <w:vAlign w:val="center"/>
                </w:tcPr>
                <w:p w14:paraId="45C0BE8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5386FB2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721C14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restart"/>
                  <w:vAlign w:val="center"/>
                </w:tcPr>
                <w:p w14:paraId="0E637F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rPr>
                  </w:pPr>
                  <w:r>
                    <w:rPr>
                      <w:rFonts w:hint="eastAsia"/>
                      <w:color w:val="000000" w:themeColor="text1"/>
                      <w:sz w:val="21"/>
                      <w:szCs w:val="21"/>
                    </w:rPr>
                    <w:t>2017.03.08</w:t>
                  </w:r>
                </w:p>
              </w:tc>
              <w:tc>
                <w:tcPr>
                  <w:tcW w:w="2061" w:type="dxa"/>
                  <w:vMerge w:val="restart"/>
                  <w:vAlign w:val="center"/>
                </w:tcPr>
                <w:p w14:paraId="3D43C4F0">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vertAlign w:val="superscript"/>
                    </w:rPr>
                  </w:pPr>
                  <w:r>
                    <w:rPr>
                      <w:rFonts w:hint="eastAsia"/>
                      <w:color w:val="000000" w:themeColor="text1"/>
                      <w:sz w:val="21"/>
                      <w:szCs w:val="21"/>
                    </w:rPr>
                    <w:t>N1</w:t>
                  </w:r>
                  <w:r>
                    <w:rPr>
                      <w:rFonts w:hint="eastAsia"/>
                      <w:color w:val="000000" w:themeColor="text1"/>
                      <w:sz w:val="21"/>
                      <w:szCs w:val="21"/>
                      <w:vertAlign w:val="superscript"/>
                    </w:rPr>
                    <w:t>#</w:t>
                  </w:r>
                  <w:r>
                    <w:rPr>
                      <w:rFonts w:hint="eastAsia"/>
                      <w:color w:val="000000" w:themeColor="text1"/>
                      <w:sz w:val="21"/>
                      <w:szCs w:val="21"/>
                    </w:rPr>
                    <w:t>厂界东侧外1m</w:t>
                  </w:r>
                </w:p>
              </w:tc>
              <w:tc>
                <w:tcPr>
                  <w:tcW w:w="1173" w:type="dxa"/>
                  <w:vAlign w:val="center"/>
                </w:tcPr>
                <w:p w14:paraId="49A428A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1D819A0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58.9</w:t>
                  </w:r>
                </w:p>
              </w:tc>
              <w:tc>
                <w:tcPr>
                  <w:tcW w:w="891" w:type="dxa"/>
                  <w:vAlign w:val="center"/>
                </w:tcPr>
                <w:p w14:paraId="63612D3F">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5494BC6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3D2DA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502613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57BE670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7DDB2EF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0FF1926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51.6</w:t>
                  </w:r>
                </w:p>
              </w:tc>
              <w:tc>
                <w:tcPr>
                  <w:tcW w:w="891" w:type="dxa"/>
                  <w:vAlign w:val="center"/>
                </w:tcPr>
                <w:p w14:paraId="6AC964A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1D58CAA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67E9E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45E9F7B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3E8DE85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N2</w:t>
                  </w:r>
                  <w:r>
                    <w:rPr>
                      <w:rFonts w:hint="eastAsia"/>
                      <w:color w:val="000000" w:themeColor="text1"/>
                      <w:sz w:val="21"/>
                      <w:szCs w:val="21"/>
                      <w:vertAlign w:val="superscript"/>
                    </w:rPr>
                    <w:t>#</w:t>
                  </w:r>
                  <w:r>
                    <w:rPr>
                      <w:rFonts w:hint="eastAsia"/>
                      <w:color w:val="000000" w:themeColor="text1"/>
                      <w:sz w:val="21"/>
                      <w:szCs w:val="21"/>
                    </w:rPr>
                    <w:t>厂界南侧外1m</w:t>
                  </w:r>
                </w:p>
              </w:tc>
              <w:tc>
                <w:tcPr>
                  <w:tcW w:w="1173" w:type="dxa"/>
                  <w:vAlign w:val="center"/>
                </w:tcPr>
                <w:p w14:paraId="37F1BBA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4044A0E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62.4</w:t>
                  </w:r>
                </w:p>
              </w:tc>
              <w:tc>
                <w:tcPr>
                  <w:tcW w:w="891" w:type="dxa"/>
                  <w:vAlign w:val="center"/>
                </w:tcPr>
                <w:p w14:paraId="17639598">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194E0B6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3E4C3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178C4FC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56F72B0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29B98D7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75EF647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52.1</w:t>
                  </w:r>
                </w:p>
              </w:tc>
              <w:tc>
                <w:tcPr>
                  <w:tcW w:w="891" w:type="dxa"/>
                  <w:vAlign w:val="center"/>
                </w:tcPr>
                <w:p w14:paraId="07F4F815">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55ADAA6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7F327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52C7532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162A89A5">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N3</w:t>
                  </w:r>
                  <w:r>
                    <w:rPr>
                      <w:rFonts w:hint="eastAsia"/>
                      <w:color w:val="000000" w:themeColor="text1"/>
                      <w:sz w:val="21"/>
                      <w:szCs w:val="21"/>
                      <w:vertAlign w:val="superscript"/>
                    </w:rPr>
                    <w:t>#</w:t>
                  </w:r>
                  <w:r>
                    <w:rPr>
                      <w:rFonts w:hint="eastAsia"/>
                      <w:color w:val="000000" w:themeColor="text1"/>
                      <w:sz w:val="21"/>
                      <w:szCs w:val="21"/>
                    </w:rPr>
                    <w:t>厂界西侧外1m</w:t>
                  </w:r>
                </w:p>
              </w:tc>
              <w:tc>
                <w:tcPr>
                  <w:tcW w:w="1173" w:type="dxa"/>
                  <w:vAlign w:val="center"/>
                </w:tcPr>
                <w:p w14:paraId="10711FD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1374717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63.1</w:t>
                  </w:r>
                </w:p>
              </w:tc>
              <w:tc>
                <w:tcPr>
                  <w:tcW w:w="891" w:type="dxa"/>
                  <w:vAlign w:val="center"/>
                </w:tcPr>
                <w:p w14:paraId="773B103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052C42A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38C98A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560" w:type="dxa"/>
                  <w:vMerge w:val="continue"/>
                  <w:vAlign w:val="center"/>
                </w:tcPr>
                <w:p w14:paraId="723A6BCB">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03395FE2">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36D8926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12F4056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51.8</w:t>
                  </w:r>
                </w:p>
              </w:tc>
              <w:tc>
                <w:tcPr>
                  <w:tcW w:w="891" w:type="dxa"/>
                  <w:vAlign w:val="center"/>
                </w:tcPr>
                <w:p w14:paraId="1D5D87D9">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6530BE45">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2539D5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1560" w:type="dxa"/>
                  <w:vMerge w:val="continue"/>
                  <w:vAlign w:val="center"/>
                </w:tcPr>
                <w:p w14:paraId="54DA8CDF">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restart"/>
                  <w:vAlign w:val="center"/>
                </w:tcPr>
                <w:p w14:paraId="4F38EF8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N4</w:t>
                  </w:r>
                  <w:r>
                    <w:rPr>
                      <w:rFonts w:hint="eastAsia"/>
                      <w:color w:val="000000" w:themeColor="text1"/>
                      <w:sz w:val="21"/>
                      <w:szCs w:val="21"/>
                      <w:vertAlign w:val="superscript"/>
                    </w:rPr>
                    <w:t>#</w:t>
                  </w:r>
                  <w:r>
                    <w:rPr>
                      <w:rFonts w:hint="eastAsia"/>
                      <w:color w:val="000000" w:themeColor="text1"/>
                      <w:sz w:val="21"/>
                      <w:szCs w:val="21"/>
                    </w:rPr>
                    <w:t>厂界北侧外1m</w:t>
                  </w:r>
                </w:p>
              </w:tc>
              <w:tc>
                <w:tcPr>
                  <w:tcW w:w="1173" w:type="dxa"/>
                  <w:vAlign w:val="center"/>
                </w:tcPr>
                <w:p w14:paraId="714924A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昼间</w:t>
                  </w:r>
                </w:p>
              </w:tc>
              <w:tc>
                <w:tcPr>
                  <w:tcW w:w="1418" w:type="dxa"/>
                  <w:vAlign w:val="center"/>
                </w:tcPr>
                <w:p w14:paraId="5011497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59.7</w:t>
                  </w:r>
                </w:p>
              </w:tc>
              <w:tc>
                <w:tcPr>
                  <w:tcW w:w="891" w:type="dxa"/>
                  <w:vAlign w:val="center"/>
                </w:tcPr>
                <w:p w14:paraId="4EA4454A">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65</w:t>
                  </w:r>
                </w:p>
              </w:tc>
              <w:tc>
                <w:tcPr>
                  <w:tcW w:w="891" w:type="dxa"/>
                  <w:vAlign w:val="center"/>
                </w:tcPr>
                <w:p w14:paraId="41C148E6">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r w14:paraId="32F76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60" w:type="dxa"/>
                  <w:vMerge w:val="continue"/>
                  <w:vAlign w:val="center"/>
                </w:tcPr>
                <w:p w14:paraId="6B71C73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2061" w:type="dxa"/>
                  <w:vMerge w:val="continue"/>
                  <w:vAlign w:val="center"/>
                </w:tcPr>
                <w:p w14:paraId="5F6361BD">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p>
              </w:tc>
              <w:tc>
                <w:tcPr>
                  <w:tcW w:w="1173" w:type="dxa"/>
                  <w:vAlign w:val="center"/>
                </w:tcPr>
                <w:p w14:paraId="10A514A7">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color w:val="000000" w:themeColor="text1"/>
                      <w:sz w:val="21"/>
                      <w:szCs w:val="21"/>
                    </w:rPr>
                    <w:t>夜间</w:t>
                  </w:r>
                </w:p>
              </w:tc>
              <w:tc>
                <w:tcPr>
                  <w:tcW w:w="1418" w:type="dxa"/>
                  <w:vAlign w:val="center"/>
                </w:tcPr>
                <w:p w14:paraId="609D0264">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49.7</w:t>
                  </w:r>
                </w:p>
              </w:tc>
              <w:tc>
                <w:tcPr>
                  <w:tcW w:w="891" w:type="dxa"/>
                  <w:vAlign w:val="center"/>
                </w:tcPr>
                <w:p w14:paraId="19DF8F7C">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55</w:t>
                  </w:r>
                </w:p>
              </w:tc>
              <w:tc>
                <w:tcPr>
                  <w:tcW w:w="891" w:type="dxa"/>
                  <w:vAlign w:val="center"/>
                </w:tcPr>
                <w:p w14:paraId="38536D51">
                  <w:pPr>
                    <w:keepNext w:val="0"/>
                    <w:keepLines w:val="0"/>
                    <w:pageBreakBefore w:val="0"/>
                    <w:kinsoku/>
                    <w:wordWrap/>
                    <w:overflowPunct/>
                    <w:topLinePunct w:val="0"/>
                    <w:autoSpaceDE/>
                    <w:autoSpaceDN/>
                    <w:bidi w:val="0"/>
                    <w:spacing w:line="240" w:lineRule="auto"/>
                    <w:ind w:firstLine="0" w:firstLineChars="0"/>
                    <w:jc w:val="center"/>
                    <w:textAlignment w:val="auto"/>
                    <w:rPr>
                      <w:color w:val="000000" w:themeColor="text1"/>
                      <w:sz w:val="21"/>
                      <w:szCs w:val="21"/>
                    </w:rPr>
                  </w:pPr>
                  <w:r>
                    <w:rPr>
                      <w:rFonts w:hint="eastAsia"/>
                      <w:color w:val="000000" w:themeColor="text1"/>
                      <w:sz w:val="21"/>
                      <w:szCs w:val="21"/>
                    </w:rPr>
                    <w:t>达标</w:t>
                  </w:r>
                </w:p>
              </w:tc>
            </w:tr>
          </w:tbl>
          <w:p w14:paraId="1AA89650">
            <w:pPr>
              <w:spacing w:line="360" w:lineRule="auto"/>
              <w:ind w:firstLine="482"/>
              <w:rPr>
                <w:rFonts w:hint="default"/>
                <w:color w:val="000000" w:themeColor="text1"/>
                <w:sz w:val="24"/>
                <w:szCs w:val="24"/>
              </w:rPr>
            </w:pPr>
            <w:r>
              <w:rPr>
                <w:rFonts w:hint="default"/>
                <w:color w:val="000000" w:themeColor="text1"/>
                <w:sz w:val="24"/>
                <w:szCs w:val="24"/>
              </w:rPr>
              <w:t>由</w:t>
            </w:r>
            <w:r>
              <w:rPr>
                <w:rFonts w:hint="eastAsia"/>
                <w:color w:val="000000" w:themeColor="text1"/>
                <w:sz w:val="24"/>
                <w:szCs w:val="24"/>
                <w:lang w:val="en-US" w:eastAsia="zh-CN"/>
              </w:rPr>
              <w:t>上</w:t>
            </w:r>
            <w:r>
              <w:rPr>
                <w:rFonts w:hint="default"/>
                <w:color w:val="000000" w:themeColor="text1"/>
                <w:sz w:val="24"/>
                <w:szCs w:val="24"/>
              </w:rPr>
              <w:t>表可知，验收监测期间，</w:t>
            </w:r>
            <w:r>
              <w:rPr>
                <w:rFonts w:hint="eastAsia"/>
                <w:color w:val="000000" w:themeColor="text1"/>
                <w:sz w:val="24"/>
                <w:szCs w:val="24"/>
                <w:lang w:val="en-US" w:eastAsia="zh-CN"/>
              </w:rPr>
              <w:t>现有</w:t>
            </w:r>
            <w:r>
              <w:rPr>
                <w:rFonts w:hint="default"/>
                <w:color w:val="000000" w:themeColor="text1"/>
                <w:sz w:val="24"/>
                <w:szCs w:val="24"/>
              </w:rPr>
              <w:t>项目</w:t>
            </w:r>
            <w:r>
              <w:rPr>
                <w:rFonts w:hint="eastAsia"/>
                <w:color w:val="000000" w:themeColor="text1"/>
                <w:sz w:val="24"/>
              </w:rPr>
              <w:t>厂界</w:t>
            </w:r>
            <w:r>
              <w:rPr>
                <w:color w:val="000000" w:themeColor="text1"/>
                <w:sz w:val="24"/>
              </w:rPr>
              <w:t>N1</w:t>
            </w:r>
            <w:r>
              <w:rPr>
                <w:color w:val="000000" w:themeColor="text1"/>
                <w:sz w:val="24"/>
                <w:vertAlign w:val="superscript"/>
              </w:rPr>
              <w:t>#</w:t>
            </w:r>
            <w:r>
              <w:rPr>
                <w:rFonts w:hint="eastAsia"/>
                <w:color w:val="000000" w:themeColor="text1"/>
                <w:sz w:val="24"/>
              </w:rPr>
              <w:t>、</w:t>
            </w:r>
            <w:r>
              <w:rPr>
                <w:color w:val="000000" w:themeColor="text1"/>
                <w:sz w:val="24"/>
              </w:rPr>
              <w:t>N2</w:t>
            </w:r>
            <w:r>
              <w:rPr>
                <w:color w:val="000000" w:themeColor="text1"/>
                <w:sz w:val="24"/>
                <w:vertAlign w:val="superscript"/>
              </w:rPr>
              <w:t>#</w:t>
            </w:r>
            <w:r>
              <w:rPr>
                <w:rFonts w:hint="eastAsia"/>
                <w:color w:val="000000" w:themeColor="text1"/>
                <w:sz w:val="24"/>
              </w:rPr>
              <w:t>、</w:t>
            </w:r>
            <w:r>
              <w:rPr>
                <w:color w:val="000000" w:themeColor="text1"/>
                <w:sz w:val="24"/>
              </w:rPr>
              <w:t>N3</w:t>
            </w:r>
            <w:r>
              <w:rPr>
                <w:color w:val="000000" w:themeColor="text1"/>
                <w:sz w:val="24"/>
                <w:vertAlign w:val="superscript"/>
              </w:rPr>
              <w:t>#</w:t>
            </w:r>
            <w:r>
              <w:rPr>
                <w:rFonts w:hint="eastAsia"/>
                <w:color w:val="000000" w:themeColor="text1"/>
                <w:sz w:val="24"/>
              </w:rPr>
              <w:t>、</w:t>
            </w:r>
            <w:r>
              <w:rPr>
                <w:color w:val="000000" w:themeColor="text1"/>
                <w:sz w:val="24"/>
              </w:rPr>
              <w:t>N4</w:t>
            </w:r>
            <w:r>
              <w:rPr>
                <w:color w:val="000000" w:themeColor="text1"/>
                <w:sz w:val="24"/>
                <w:vertAlign w:val="superscript"/>
              </w:rPr>
              <w:t>#</w:t>
            </w:r>
            <w:r>
              <w:rPr>
                <w:rFonts w:hint="eastAsia"/>
                <w:color w:val="000000" w:themeColor="text1"/>
                <w:sz w:val="24"/>
              </w:rPr>
              <w:t>四个监测点位昼间范围（56.3~63.1</w:t>
            </w:r>
            <w:r>
              <w:rPr>
                <w:color w:val="000000" w:themeColor="text1"/>
                <w:sz w:val="24"/>
              </w:rPr>
              <w:t>dB(A)</w:t>
            </w:r>
            <w:r>
              <w:rPr>
                <w:rFonts w:hint="eastAsia"/>
                <w:color w:val="000000" w:themeColor="text1"/>
                <w:sz w:val="24"/>
              </w:rPr>
              <w:t>）和夜间范围（49.1~52.3</w:t>
            </w:r>
            <w:r>
              <w:rPr>
                <w:color w:val="000000" w:themeColor="text1"/>
                <w:sz w:val="24"/>
              </w:rPr>
              <w:t>dB(A)</w:t>
            </w:r>
            <w:r>
              <w:rPr>
                <w:rFonts w:hint="eastAsia"/>
                <w:color w:val="000000" w:themeColor="text1"/>
                <w:sz w:val="24"/>
              </w:rPr>
              <w:t>）测定值均达到《工业企业厂界环境噪声排放标准》（</w:t>
            </w:r>
            <w:r>
              <w:rPr>
                <w:color w:val="000000" w:themeColor="text1"/>
                <w:sz w:val="24"/>
              </w:rPr>
              <w:t>GB12348-2008</w:t>
            </w:r>
            <w:r>
              <w:rPr>
                <w:rFonts w:hint="eastAsia"/>
                <w:color w:val="000000" w:themeColor="text1"/>
                <w:sz w:val="24"/>
              </w:rPr>
              <w:t>）3类标准要求</w:t>
            </w:r>
            <w:r>
              <w:rPr>
                <w:rFonts w:hint="default"/>
                <w:color w:val="000000" w:themeColor="text1"/>
                <w:sz w:val="24"/>
                <w:szCs w:val="24"/>
              </w:rPr>
              <w:t>。</w:t>
            </w:r>
          </w:p>
          <w:p w14:paraId="2F682EA6">
            <w:pPr>
              <w:pStyle w:val="5"/>
              <w:numPr>
                <w:ilvl w:val="3"/>
                <w:numId w:val="0"/>
              </w:numPr>
              <w:adjustRightInd w:val="0"/>
              <w:snapToGrid w:val="0"/>
              <w:spacing w:before="0" w:after="0" w:line="360" w:lineRule="auto"/>
              <w:ind w:firstLine="482"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（4）固体废物</w:t>
            </w:r>
          </w:p>
          <w:p w14:paraId="5715BD07">
            <w:pPr>
              <w:pStyle w:val="20"/>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项目运营期产生的</w:t>
            </w:r>
            <w:r>
              <w:rPr>
                <w:rFonts w:hint="eastAsia" w:ascii="Times New Roman" w:hAnsi="Times New Roman" w:cs="Times New Roman"/>
                <w:color w:val="000000" w:themeColor="text1"/>
                <w:lang w:val="en-US" w:eastAsia="zh-CN"/>
              </w:rPr>
              <w:t>固</w:t>
            </w:r>
            <w:r>
              <w:rPr>
                <w:rFonts w:hint="default" w:ascii="Times New Roman" w:hAnsi="Times New Roman" w:eastAsia="宋体" w:cs="Times New Roman"/>
                <w:color w:val="000000" w:themeColor="text1"/>
              </w:rPr>
              <w:t>体废弃物为</w:t>
            </w:r>
            <w:r>
              <w:rPr>
                <w:rFonts w:hint="eastAsia" w:ascii="Times New Roman" w:hAnsi="Times New Roman" w:cs="Times New Roman"/>
                <w:color w:val="000000" w:themeColor="text1"/>
                <w:lang w:val="en-US" w:eastAsia="zh-CN"/>
              </w:rPr>
              <w:t>废包装袋</w:t>
            </w:r>
            <w:r>
              <w:rPr>
                <w:rFonts w:hint="default" w:ascii="Times New Roman" w:hAnsi="Times New Roman" w:eastAsia="宋体" w:cs="Times New Roman"/>
                <w:color w:val="000000" w:themeColor="text1"/>
              </w:rPr>
              <w:t>、废润滑油、</w:t>
            </w:r>
            <w:r>
              <w:rPr>
                <w:rFonts w:hint="eastAsia" w:ascii="Times New Roman" w:hAnsi="Times New Roman" w:cs="Times New Roman"/>
                <w:color w:val="000000" w:themeColor="text1"/>
                <w:lang w:val="en-US" w:eastAsia="zh-CN"/>
              </w:rPr>
              <w:t>废润滑油桶、</w:t>
            </w:r>
            <w:r>
              <w:rPr>
                <w:rFonts w:hint="default" w:ascii="Times New Roman" w:hAnsi="Times New Roman" w:eastAsia="宋体" w:cs="Times New Roman"/>
                <w:color w:val="000000" w:themeColor="text1"/>
              </w:rPr>
              <w:t>生活</w:t>
            </w:r>
            <w:r>
              <w:rPr>
                <w:rFonts w:hint="default" w:ascii="Times New Roman" w:hAnsi="Times New Roman" w:eastAsia="宋体" w:cs="Times New Roman"/>
                <w:color w:val="000000" w:themeColor="text1"/>
                <w:lang w:val="en-US" w:eastAsia="zh-CN"/>
              </w:rPr>
              <w:t>垃圾。</w:t>
            </w:r>
            <w:r>
              <w:rPr>
                <w:rFonts w:hint="default" w:ascii="Times New Roman" w:hAnsi="Times New Roman" w:eastAsia="宋体" w:cs="Times New Roman"/>
                <w:color w:val="000000" w:themeColor="text1"/>
              </w:rPr>
              <w:t>其中废润滑油、</w:t>
            </w:r>
            <w:r>
              <w:rPr>
                <w:rFonts w:hint="eastAsia" w:ascii="Times New Roman" w:hAnsi="Times New Roman" w:cs="Times New Roman"/>
                <w:color w:val="000000" w:themeColor="text1"/>
                <w:lang w:val="en-US" w:eastAsia="zh-CN"/>
              </w:rPr>
              <w:t>废润滑油桶</w:t>
            </w:r>
            <w:r>
              <w:rPr>
                <w:rFonts w:hint="default" w:ascii="Times New Roman" w:hAnsi="Times New Roman" w:eastAsia="宋体" w:cs="Times New Roman"/>
                <w:color w:val="000000" w:themeColor="text1"/>
              </w:rPr>
              <w:t>属于危险废物。危险废物</w:t>
            </w:r>
            <w:r>
              <w:rPr>
                <w:rFonts w:hint="eastAsia" w:ascii="Times New Roman" w:hAnsi="Times New Roman" w:cs="Times New Roman"/>
                <w:color w:val="000000" w:themeColor="text1"/>
                <w:lang w:val="en-US" w:eastAsia="zh-CN"/>
              </w:rPr>
              <w:t>交</w:t>
            </w:r>
            <w:r>
              <w:rPr>
                <w:rFonts w:hint="eastAsia" w:ascii="Times New Roman" w:hAnsi="Times New Roman" w:eastAsia="宋体" w:cs="Times New Roman"/>
                <w:color w:val="000000" w:themeColor="text1"/>
                <w:lang w:val="en-US" w:eastAsia="zh-CN"/>
              </w:rPr>
              <w:t>由江西国孚润滑油工业有限公司处理</w:t>
            </w:r>
            <w:r>
              <w:rPr>
                <w:rFonts w:hint="default" w:ascii="Times New Roman" w:hAnsi="Times New Roman" w:eastAsia="宋体" w:cs="Times New Roman"/>
                <w:color w:val="000000" w:themeColor="text1"/>
              </w:rPr>
              <w:t>。项目在生产过程中产生的固体废物分为一般工业固体废物和危险废物。企业按“资源化、减量化、无害化”处置原则，制定“固体废物分类管理规定”，认真落实了固废分类收集、处置和综合利用措施。</w:t>
            </w:r>
          </w:p>
          <w:p w14:paraId="312BE170">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根据验收监测结果，现有项目噪声、废气、废水都达到排放标准。根据本次现场踏勘，现有项目按要求设置了危废暂存间，无遗留环境问题。</w:t>
            </w:r>
          </w:p>
          <w:p w14:paraId="6C78B141">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4.存在的主要环境问题及以新带老措施</w:t>
            </w:r>
          </w:p>
          <w:p w14:paraId="701517DA">
            <w:pPr>
              <w:widowControl/>
              <w:ind w:firstLine="480"/>
              <w:jc w:val="left"/>
              <w:rPr>
                <w:rFonts w:hint="default" w:ascii="Times New Roman" w:hAnsi="Times New Roman" w:eastAsia="宋体" w:cs="Times New Roman"/>
                <w:color w:val="000000" w:themeColor="text1"/>
              </w:rPr>
            </w:pPr>
            <w:r>
              <w:rPr>
                <w:rFonts w:hint="default" w:ascii="Times New Roman" w:hAnsi="Times New Roman" w:eastAsia="宋体" w:cs="Times New Roman"/>
                <w:bCs/>
                <w:color w:val="000000" w:themeColor="text1"/>
              </w:rPr>
              <w:t>根据《</w:t>
            </w:r>
            <w:r>
              <w:rPr>
                <w:rFonts w:hint="eastAsia" w:cs="Times New Roman"/>
                <w:color w:val="000000" w:themeColor="text1"/>
                <w:szCs w:val="32"/>
                <w:lang w:eastAsia="zh-CN"/>
              </w:rPr>
              <w:t>江西雷亚特导电碳黑有限公司</w:t>
            </w:r>
            <w:r>
              <w:rPr>
                <w:rFonts w:hint="eastAsia"/>
                <w:color w:val="000000" w:themeColor="text1"/>
                <w:sz w:val="24"/>
                <w:highlight w:val="none"/>
                <w:lang w:val="en-US" w:eastAsia="zh-CN"/>
              </w:rPr>
              <w:t>年产5000吨导电炭黑项目</w:t>
            </w:r>
            <w:r>
              <w:rPr>
                <w:rFonts w:hint="default" w:ascii="Times New Roman" w:hAnsi="Times New Roman" w:eastAsia="宋体" w:cs="Times New Roman"/>
                <w:color w:val="000000" w:themeColor="text1"/>
              </w:rPr>
              <w:t>环境影响报告</w:t>
            </w:r>
            <w:r>
              <w:rPr>
                <w:rFonts w:hint="eastAsia" w:cs="Times New Roman"/>
                <w:color w:val="000000" w:themeColor="text1"/>
                <w:lang w:val="en-US" w:eastAsia="zh-CN"/>
              </w:rPr>
              <w:t>表</w:t>
            </w:r>
            <w:r>
              <w:rPr>
                <w:rFonts w:hint="default" w:ascii="Times New Roman" w:hAnsi="Times New Roman" w:eastAsia="宋体" w:cs="Times New Roman"/>
                <w:bCs/>
                <w:color w:val="000000" w:themeColor="text1"/>
              </w:rPr>
              <w:t>》审批意见，建设单位应按照《环境影响报告</w:t>
            </w:r>
            <w:r>
              <w:rPr>
                <w:rFonts w:hint="eastAsia" w:cs="Times New Roman"/>
                <w:bCs/>
                <w:color w:val="000000" w:themeColor="text1"/>
                <w:lang w:val="en-US" w:eastAsia="zh-CN"/>
              </w:rPr>
              <w:t>表</w:t>
            </w:r>
            <w:r>
              <w:rPr>
                <w:rFonts w:hint="default" w:ascii="Times New Roman" w:hAnsi="Times New Roman" w:eastAsia="宋体" w:cs="Times New Roman"/>
                <w:bCs/>
                <w:color w:val="000000" w:themeColor="text1"/>
              </w:rPr>
              <w:t>》中污染防治措施做好废气、废水、噪声、固体废弃物的污染防治工作，使各类污染物达标排放。</w:t>
            </w:r>
            <w:r>
              <w:rPr>
                <w:rFonts w:hint="default" w:ascii="Times New Roman" w:hAnsi="Times New Roman" w:eastAsia="宋体" w:cs="Times New Roman"/>
                <w:bCs/>
                <w:color w:val="000000" w:themeColor="text1"/>
                <w:lang w:val="en-US" w:eastAsia="zh-CN"/>
              </w:rPr>
              <w:t>根据企业排污许可</w:t>
            </w:r>
            <w:r>
              <w:rPr>
                <w:rFonts w:hint="eastAsia" w:cs="Times New Roman"/>
                <w:bCs/>
                <w:color w:val="000000" w:themeColor="text1"/>
                <w:lang w:val="en-US" w:eastAsia="zh-CN"/>
              </w:rPr>
              <w:t>登记信息</w:t>
            </w:r>
            <w:r>
              <w:rPr>
                <w:rFonts w:hint="default" w:ascii="Times New Roman" w:hAnsi="Times New Roman" w:eastAsia="宋体" w:cs="Times New Roman"/>
                <w:bCs/>
                <w:color w:val="000000" w:themeColor="text1"/>
                <w:lang w:val="en-US" w:eastAsia="zh-CN"/>
              </w:rPr>
              <w:t>（</w:t>
            </w:r>
            <w:r>
              <w:rPr>
                <w:rFonts w:hint="default" w:ascii="Times New Roman" w:hAnsi="Times New Roman" w:eastAsia="宋体" w:cs="Times New Roman"/>
                <w:color w:val="000000" w:themeColor="text1"/>
              </w:rPr>
              <w:t>许可</w:t>
            </w:r>
            <w:r>
              <w:rPr>
                <w:rFonts w:hint="eastAsia" w:cs="Times New Roman"/>
                <w:color w:val="000000" w:themeColor="text1"/>
                <w:lang w:val="en-US" w:eastAsia="zh-CN"/>
              </w:rPr>
              <w:t>登记</w:t>
            </w:r>
            <w:r>
              <w:rPr>
                <w:rFonts w:hint="default" w:ascii="Times New Roman" w:hAnsi="Times New Roman" w:eastAsia="宋体" w:cs="Times New Roman"/>
                <w:color w:val="000000" w:themeColor="text1"/>
              </w:rPr>
              <w:t>编号</w:t>
            </w:r>
            <w:r>
              <w:rPr>
                <w:rFonts w:hint="eastAsia" w:ascii="Times New Roman" w:hAnsi="Times New Roman" w:eastAsia="宋体" w:cs="Times New Roman"/>
                <w:color w:val="000000" w:themeColor="text1"/>
                <w:sz w:val="24"/>
                <w:highlight w:val="none"/>
                <w:lang w:val="en-US" w:eastAsia="zh-CN"/>
              </w:rPr>
              <w:t>91360421</w:t>
            </w:r>
            <w:r>
              <w:rPr>
                <w:rFonts w:hint="eastAsia" w:cs="Times New Roman"/>
                <w:color w:val="000000" w:themeColor="text1"/>
                <w:sz w:val="24"/>
                <w:highlight w:val="none"/>
                <w:lang w:val="en-US" w:eastAsia="zh-CN"/>
              </w:rPr>
              <w:t>3091847178001Q</w:t>
            </w:r>
            <w:r>
              <w:rPr>
                <w:rFonts w:hint="default" w:ascii="Times New Roman" w:hAnsi="Times New Roman" w:eastAsia="宋体" w:cs="Times New Roman"/>
                <w:bCs/>
                <w:color w:val="000000" w:themeColor="text1"/>
                <w:lang w:val="en-US" w:eastAsia="zh-CN"/>
              </w:rPr>
              <w:t>），</w:t>
            </w:r>
            <w:r>
              <w:rPr>
                <w:rFonts w:hint="default" w:ascii="Times New Roman" w:hAnsi="Times New Roman" w:eastAsia="宋体" w:cs="Times New Roman"/>
                <w:bCs/>
                <w:color w:val="000000" w:themeColor="text1"/>
              </w:rPr>
              <w:t>现有项目</w:t>
            </w:r>
            <w:r>
              <w:rPr>
                <w:rFonts w:hint="eastAsia" w:cs="Times New Roman"/>
                <w:bCs/>
                <w:color w:val="000000" w:themeColor="text1"/>
                <w:lang w:val="en-US" w:eastAsia="zh-CN"/>
              </w:rPr>
              <w:t>粉尘经过布袋除尘器处理后排放</w:t>
            </w:r>
            <w:r>
              <w:rPr>
                <w:rFonts w:hint="default" w:ascii="Times New Roman" w:hAnsi="Times New Roman" w:eastAsia="宋体" w:cs="Times New Roman"/>
                <w:bCs/>
                <w:color w:val="000000" w:themeColor="text1"/>
              </w:rPr>
              <w:t>；</w:t>
            </w:r>
            <w:r>
              <w:rPr>
                <w:rFonts w:hint="eastAsia" w:cs="Times New Roman"/>
                <w:bCs/>
                <w:color w:val="000000" w:themeColor="text1"/>
                <w:lang w:val="en-US" w:eastAsia="zh-CN"/>
              </w:rPr>
              <w:t>现有项目卫生防护距离为生产厂房边界为起点的50m范围内，根据现场勘查，50m范围内无环境敏感点，满足卫生防护距离要求。</w:t>
            </w:r>
            <w:r>
              <w:rPr>
                <w:rFonts w:hint="default" w:ascii="Times New Roman" w:hAnsi="Times New Roman" w:eastAsia="宋体" w:cs="Times New Roman"/>
                <w:bCs/>
                <w:color w:val="000000" w:themeColor="text1"/>
                <w:lang w:val="en-US" w:eastAsia="zh-CN"/>
              </w:rPr>
              <w:t>生活废水</w:t>
            </w:r>
            <w:r>
              <w:rPr>
                <w:rFonts w:hint="eastAsia" w:cs="Times New Roman"/>
                <w:bCs/>
                <w:color w:val="000000" w:themeColor="text1"/>
                <w:lang w:val="en-US" w:eastAsia="zh-CN"/>
              </w:rPr>
              <w:t>、地面清洗水</w:t>
            </w:r>
            <w:r>
              <w:rPr>
                <w:rFonts w:hint="default" w:ascii="Times New Roman" w:hAnsi="Times New Roman" w:eastAsia="宋体" w:cs="Times New Roman"/>
                <w:bCs/>
                <w:color w:val="000000" w:themeColor="text1"/>
                <w:lang w:val="en-US" w:eastAsia="zh-CN"/>
              </w:rPr>
              <w:t>通过厂内化粪池预处理后通过排放口DW00</w:t>
            </w:r>
            <w:r>
              <w:rPr>
                <w:rFonts w:hint="eastAsia" w:cs="Times New Roman"/>
                <w:bCs/>
                <w:color w:val="000000" w:themeColor="text1"/>
                <w:lang w:val="en-US" w:eastAsia="zh-CN"/>
              </w:rPr>
              <w:t>1</w:t>
            </w:r>
            <w:r>
              <w:rPr>
                <w:rFonts w:hint="default" w:ascii="Times New Roman" w:hAnsi="Times New Roman" w:eastAsia="宋体" w:cs="Times New Roman"/>
                <w:bCs/>
                <w:color w:val="000000" w:themeColor="text1"/>
              </w:rPr>
              <w:t>排入</w:t>
            </w:r>
            <w:r>
              <w:rPr>
                <w:rFonts w:hint="eastAsia"/>
                <w:color w:val="000000" w:themeColor="text1"/>
                <w:kern w:val="2"/>
                <w:szCs w:val="24"/>
                <w:highlight w:val="none"/>
                <w:lang w:val="en-US" w:eastAsia="zh-CN"/>
              </w:rPr>
              <w:t>赤湖</w:t>
            </w:r>
            <w:r>
              <w:rPr>
                <w:rFonts w:hint="eastAsia"/>
                <w:color w:val="000000" w:themeColor="text1"/>
                <w:kern w:val="2"/>
                <w:szCs w:val="24"/>
                <w:highlight w:val="none"/>
              </w:rPr>
              <w:t>污水处理厂</w:t>
            </w:r>
            <w:r>
              <w:rPr>
                <w:rFonts w:hint="default" w:ascii="Times New Roman" w:hAnsi="Times New Roman" w:eastAsia="宋体" w:cs="Times New Roman"/>
                <w:bCs/>
                <w:color w:val="000000" w:themeColor="text1"/>
                <w:lang w:eastAsia="zh-CN"/>
              </w:rPr>
              <w:t>，</w:t>
            </w:r>
            <w:r>
              <w:rPr>
                <w:rFonts w:hint="default" w:ascii="Times New Roman" w:hAnsi="Times New Roman" w:eastAsia="宋体" w:cs="Times New Roman"/>
                <w:bCs/>
                <w:color w:val="000000" w:themeColor="text1"/>
              </w:rPr>
              <w:t>雨水由园区雨水排水管接入</w:t>
            </w:r>
            <w:r>
              <w:rPr>
                <w:rFonts w:hint="eastAsia" w:cs="Times New Roman"/>
                <w:bCs/>
                <w:color w:val="000000" w:themeColor="text1"/>
                <w:lang w:val="en-US" w:eastAsia="zh-CN"/>
              </w:rPr>
              <w:t>园区</w:t>
            </w:r>
            <w:r>
              <w:rPr>
                <w:rFonts w:hint="default" w:ascii="Times New Roman" w:hAnsi="Times New Roman" w:eastAsia="宋体" w:cs="Times New Roman"/>
                <w:bCs/>
                <w:color w:val="000000" w:themeColor="text1"/>
              </w:rPr>
              <w:t>雨水排水管网，实行雨污分流；噪声通过隔声减振后达标排放；固废均按照“资源化、减量化、无害化”处理，一般固废由厂家回收利用或交环卫部门清运，危险废物已委托</w:t>
            </w:r>
            <w:r>
              <w:rPr>
                <w:rFonts w:hint="eastAsia" w:cs="Times New Roman"/>
                <w:bCs/>
                <w:color w:val="000000" w:themeColor="text1"/>
                <w:lang w:val="en-US" w:eastAsia="zh-CN"/>
              </w:rPr>
              <w:t>有危废处理资质的单位处理</w:t>
            </w:r>
            <w:r>
              <w:rPr>
                <w:rFonts w:hint="default" w:ascii="Times New Roman" w:hAnsi="Times New Roman" w:eastAsia="宋体" w:cs="Times New Roman"/>
                <w:bCs/>
                <w:color w:val="000000" w:themeColor="text1"/>
              </w:rPr>
              <w:t>。</w:t>
            </w:r>
            <w:r>
              <w:rPr>
                <w:rFonts w:hint="eastAsia" w:cs="Times New Roman"/>
                <w:color w:val="000000" w:themeColor="text1"/>
                <w:kern w:val="0"/>
                <w:lang w:eastAsia="zh-CN"/>
              </w:rPr>
              <w:t>本项目为扩建项目</w:t>
            </w:r>
            <w:r>
              <w:rPr>
                <w:rFonts w:hint="default" w:ascii="Times New Roman" w:hAnsi="Times New Roman" w:eastAsia="宋体" w:cs="Times New Roman"/>
                <w:color w:val="000000" w:themeColor="text1"/>
                <w:kern w:val="0"/>
              </w:rPr>
              <w:t>，原有工程已建成投产运营并通过竣工验收，根据现场勘查可知，原有工程环保设施基本符合要求，</w:t>
            </w:r>
            <w:r>
              <w:rPr>
                <w:rFonts w:hint="eastAsia" w:cs="Times New Roman"/>
                <w:color w:val="000000" w:themeColor="text1"/>
                <w:kern w:val="0"/>
                <w:lang w:val="en-US" w:eastAsia="zh-CN"/>
              </w:rPr>
              <w:t>但企业目前尚未进行自行监测。本环评通过后，企业尽快制定本企业自行监测方案并严格执行此方案</w:t>
            </w:r>
            <w:r>
              <w:rPr>
                <w:rFonts w:hint="default" w:ascii="Times New Roman" w:hAnsi="Times New Roman" w:eastAsia="宋体" w:cs="Times New Roman"/>
                <w:color w:val="000000" w:themeColor="text1"/>
                <w:kern w:val="0"/>
              </w:rPr>
              <w:t>。</w:t>
            </w:r>
          </w:p>
        </w:tc>
      </w:tr>
    </w:tbl>
    <w:p w14:paraId="6F5EF7EC">
      <w:pPr>
        <w:pStyle w:val="20"/>
        <w:jc w:val="center"/>
        <w:rPr>
          <w:rFonts w:hint="default" w:ascii="Times New Roman" w:hAnsi="Times New Roman" w:eastAsia="宋体" w:cs="Times New Roman"/>
          <w:snapToGrid w:val="0"/>
          <w:color w:val="000000" w:themeColor="text1"/>
          <w:sz w:val="36"/>
          <w:szCs w:val="36"/>
        </w:rPr>
        <w:sectPr>
          <w:footerReference r:id="rId12"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308D5C9F">
      <w:pPr>
        <w:pStyle w:val="20"/>
        <w:adjustRightInd w:val="0"/>
        <w:snapToGrid w:val="0"/>
        <w:spacing w:before="0" w:beforeAutospacing="0" w:after="0" w:afterAutospacing="0" w:line="14" w:lineRule="auto"/>
        <w:ind w:firstLine="600"/>
        <w:jc w:val="center"/>
        <w:rPr>
          <w:rFonts w:hint="default" w:ascii="Times New Roman" w:hAnsi="Times New Roman" w:eastAsia="宋体" w:cs="Times New Roman"/>
          <w:snapToGrid w:val="0"/>
          <w:color w:val="000000" w:themeColor="text1"/>
          <w:sz w:val="30"/>
          <w:szCs w:val="30"/>
        </w:rPr>
      </w:pPr>
    </w:p>
    <w:p w14:paraId="727B669D">
      <w:pPr>
        <w:pStyle w:val="20"/>
        <w:spacing w:before="0" w:beforeAutospacing="0" w:after="0" w:afterAutospacing="0" w:line="240" w:lineRule="auto"/>
        <w:ind w:firstLine="602"/>
        <w:jc w:val="center"/>
        <w:outlineLvl w:val="0"/>
        <w:rPr>
          <w:rFonts w:hint="default" w:ascii="Times New Roman" w:hAnsi="Times New Roman" w:eastAsia="宋体" w:cs="Times New Roman"/>
          <w:b/>
          <w:snapToGrid w:val="0"/>
          <w:color w:val="000000" w:themeColor="text1"/>
          <w:sz w:val="30"/>
          <w:szCs w:val="30"/>
        </w:rPr>
      </w:pPr>
      <w:r>
        <w:rPr>
          <w:rFonts w:hint="default" w:ascii="Times New Roman" w:hAnsi="Times New Roman" w:eastAsia="宋体" w:cs="Times New Roman"/>
          <w:b/>
          <w:snapToGrid w:val="0"/>
          <w:color w:val="000000" w:themeColor="text1"/>
          <w:sz w:val="30"/>
          <w:szCs w:val="30"/>
        </w:rPr>
        <w:t>三、区域环境质量现状、环境保护目标及评价标准</w:t>
      </w:r>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8"/>
        <w:gridCol w:w="8573"/>
      </w:tblGrid>
      <w:tr w14:paraId="460DD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85" w:hRule="atLeast"/>
          <w:jc w:val="center"/>
        </w:trPr>
        <w:tc>
          <w:tcPr>
            <w:tcW w:w="488" w:type="dxa"/>
            <w:tcBorders>
              <w:top w:val="single" w:color="auto" w:sz="4" w:space="0"/>
              <w:left w:val="single" w:color="auto" w:sz="4" w:space="0"/>
            </w:tcBorders>
            <w:vAlign w:val="center"/>
          </w:tcPr>
          <w:p w14:paraId="62300C8B">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28"/>
                <w:szCs w:val="28"/>
              </w:rPr>
            </w:pPr>
            <w:r>
              <w:rPr>
                <w:rFonts w:hint="default" w:ascii="Times New Roman" w:hAnsi="Times New Roman" w:eastAsia="宋体" w:cs="Times New Roman"/>
                <w:b/>
                <w:bCs/>
                <w:color w:val="000000" w:themeColor="text1"/>
                <w:sz w:val="28"/>
                <w:szCs w:val="28"/>
              </w:rPr>
              <w:t>区域</w:t>
            </w:r>
          </w:p>
          <w:p w14:paraId="0482A626">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28"/>
                <w:szCs w:val="28"/>
              </w:rPr>
            </w:pPr>
            <w:r>
              <w:rPr>
                <w:rFonts w:hint="default" w:ascii="Times New Roman" w:hAnsi="Times New Roman" w:eastAsia="宋体" w:cs="Times New Roman"/>
                <w:b/>
                <w:bCs/>
                <w:color w:val="000000" w:themeColor="text1"/>
                <w:sz w:val="28"/>
                <w:szCs w:val="28"/>
              </w:rPr>
              <w:t>环境</w:t>
            </w:r>
          </w:p>
          <w:p w14:paraId="21C18AA2">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28"/>
                <w:szCs w:val="28"/>
              </w:rPr>
            </w:pPr>
            <w:r>
              <w:rPr>
                <w:rFonts w:hint="default" w:ascii="Times New Roman" w:hAnsi="Times New Roman" w:eastAsia="宋体" w:cs="Times New Roman"/>
                <w:b/>
                <w:bCs/>
                <w:color w:val="000000" w:themeColor="text1"/>
                <w:sz w:val="28"/>
                <w:szCs w:val="28"/>
              </w:rPr>
              <w:t>质量</w:t>
            </w:r>
          </w:p>
          <w:p w14:paraId="786CC09C">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sz w:val="28"/>
                <w:szCs w:val="28"/>
              </w:rPr>
              <w:t>现状</w:t>
            </w:r>
          </w:p>
        </w:tc>
        <w:tc>
          <w:tcPr>
            <w:tcW w:w="8573" w:type="dxa"/>
            <w:tcBorders>
              <w:top w:val="single" w:color="auto" w:sz="4" w:space="0"/>
              <w:right w:val="single" w:color="auto" w:sz="4" w:space="0"/>
            </w:tcBorders>
            <w:vAlign w:val="center"/>
          </w:tcPr>
          <w:p w14:paraId="1B74D220">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1、环境空气</w:t>
            </w:r>
          </w:p>
          <w:p w14:paraId="1F782600">
            <w:pPr>
              <w:pStyle w:val="12"/>
              <w:widowControl w:val="0"/>
              <w:ind w:firstLine="480"/>
              <w:jc w:val="left"/>
              <w:rPr>
                <w:color w:val="000000" w:themeColor="text1"/>
                <w:sz w:val="24"/>
                <w:szCs w:val="24"/>
                <w:highlight w:val="none"/>
              </w:rPr>
            </w:pPr>
            <w:r>
              <w:rPr>
                <w:color w:val="000000" w:themeColor="text1"/>
                <w:sz w:val="24"/>
                <w:szCs w:val="24"/>
                <w:highlight w:val="none"/>
              </w:rPr>
              <w:t>（1）基本因子</w:t>
            </w:r>
          </w:p>
          <w:p w14:paraId="5BCDB08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根据大气功能区划分，本项目所在地为二类功能区，环境空气质量执行《环境空气质量标准》（GB3095-2012）二级标准。项目涉及的行政区（县级以上）为</w:t>
            </w:r>
            <w:r>
              <w:rPr>
                <w:rFonts w:hint="eastAsia" w:ascii="Times New Roman" w:hAnsi="Times New Roman" w:eastAsia="宋体" w:cs="Times New Roman"/>
                <w:color w:val="000000" w:themeColor="text1"/>
                <w:sz w:val="24"/>
                <w:szCs w:val="24"/>
                <w:lang w:val="en-US" w:eastAsia="zh-CN"/>
              </w:rPr>
              <w:t>柴桑区</w:t>
            </w:r>
            <w:r>
              <w:rPr>
                <w:rFonts w:hint="default" w:ascii="Times New Roman" w:hAnsi="Times New Roman" w:eastAsia="宋体" w:cs="Times New Roman"/>
                <w:color w:val="000000" w:themeColor="text1"/>
                <w:sz w:val="24"/>
                <w:szCs w:val="24"/>
              </w:rPr>
              <w:t>，环境空气常规因子现状监测数据引用江西省生态环境厅发布的《20</w:t>
            </w:r>
            <w:r>
              <w:rPr>
                <w:rFonts w:hint="default" w:ascii="Times New Roman" w:hAnsi="Times New Roman" w:eastAsia="宋体" w:cs="Times New Roman"/>
                <w:color w:val="000000" w:themeColor="text1"/>
                <w:sz w:val="24"/>
                <w:szCs w:val="24"/>
                <w:lang w:val="en-US" w:eastAsia="zh-CN"/>
              </w:rPr>
              <w:t>2</w:t>
            </w:r>
            <w:r>
              <w:rPr>
                <w:rFonts w:hint="eastAsia" w:ascii="Times New Roman" w:hAnsi="Times New Roman" w:eastAsia="宋体" w:cs="Times New Roman"/>
                <w:color w:val="000000" w:themeColor="text1"/>
                <w:sz w:val="24"/>
                <w:szCs w:val="24"/>
                <w:lang w:val="en-US" w:eastAsia="zh-CN"/>
              </w:rPr>
              <w:t>4</w:t>
            </w:r>
            <w:r>
              <w:rPr>
                <w:rFonts w:hint="default" w:ascii="Times New Roman" w:hAnsi="Times New Roman" w:eastAsia="宋体" w:cs="Times New Roman"/>
                <w:color w:val="000000" w:themeColor="text1"/>
                <w:sz w:val="24"/>
                <w:szCs w:val="24"/>
              </w:rPr>
              <w:t>年江西省各县（市、区）六项污染物浓度年均值》中</w:t>
            </w:r>
            <w:r>
              <w:rPr>
                <w:rFonts w:hint="default" w:ascii="Times New Roman" w:hAnsi="Times New Roman" w:eastAsia="宋体" w:cs="Times New Roman"/>
                <w:color w:val="000000" w:themeColor="text1"/>
                <w:sz w:val="24"/>
                <w:szCs w:val="24"/>
                <w:lang w:val="en-US" w:eastAsia="zh-CN"/>
              </w:rPr>
              <w:t>柴桑区</w:t>
            </w:r>
            <w:r>
              <w:rPr>
                <w:rFonts w:hint="default" w:ascii="Times New Roman" w:hAnsi="Times New Roman" w:eastAsia="宋体" w:cs="Times New Roman"/>
                <w:color w:val="000000" w:themeColor="text1"/>
                <w:sz w:val="24"/>
                <w:szCs w:val="24"/>
              </w:rPr>
              <w:t>数据，监测结果</w:t>
            </w:r>
            <w:r>
              <w:rPr>
                <w:rFonts w:hint="eastAsia" w:ascii="Times New Roman" w:hAnsi="Times New Roman" w:eastAsia="宋体" w:cs="Times New Roman"/>
                <w:color w:val="000000" w:themeColor="text1"/>
                <w:sz w:val="24"/>
                <w:szCs w:val="24"/>
                <w:lang w:eastAsia="zh-CN"/>
              </w:rPr>
              <w:t>详</w:t>
            </w:r>
            <w:r>
              <w:rPr>
                <w:rFonts w:hint="default" w:ascii="Times New Roman" w:hAnsi="Times New Roman" w:eastAsia="宋体" w:cs="Times New Roman"/>
                <w:color w:val="000000" w:themeColor="text1"/>
                <w:sz w:val="24"/>
                <w:szCs w:val="24"/>
              </w:rPr>
              <w:t>见表</w:t>
            </w:r>
            <w:r>
              <w:rPr>
                <w:rFonts w:hint="default" w:ascii="Times New Roman" w:hAnsi="Times New Roman" w:eastAsia="宋体" w:cs="Times New Roman"/>
                <w:color w:val="000000" w:themeColor="text1"/>
                <w:sz w:val="24"/>
                <w:szCs w:val="24"/>
                <w:lang w:val="en-US" w:eastAsia="zh-CN"/>
              </w:rPr>
              <w:t>3-1</w:t>
            </w:r>
            <w:r>
              <w:rPr>
                <w:rFonts w:hint="default" w:ascii="Times New Roman" w:hAnsi="Times New Roman" w:eastAsia="宋体" w:cs="Times New Roman"/>
                <w:color w:val="000000" w:themeColor="text1"/>
                <w:sz w:val="24"/>
                <w:szCs w:val="24"/>
              </w:rPr>
              <w:t>。</w:t>
            </w:r>
          </w:p>
          <w:p w14:paraId="4E93E96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b/>
                <w:bCs/>
                <w:color w:val="000000" w:themeColor="text1"/>
                <w:sz w:val="21"/>
                <w:szCs w:val="21"/>
                <w:highlight w:val="none"/>
              </w:rPr>
            </w:pPr>
            <w:r>
              <w:rPr>
                <w:b/>
                <w:bCs/>
                <w:color w:val="000000" w:themeColor="text1"/>
                <w:sz w:val="21"/>
                <w:szCs w:val="21"/>
                <w:highlight w:val="none"/>
              </w:rPr>
              <w:t xml:space="preserve">表3-1 </w:t>
            </w:r>
            <w:r>
              <w:rPr>
                <w:rFonts w:hint="eastAsia"/>
                <w:b/>
                <w:bCs/>
                <w:color w:val="000000" w:themeColor="text1"/>
                <w:sz w:val="21"/>
                <w:szCs w:val="21"/>
                <w:highlight w:val="none"/>
                <w:lang w:val="en-US" w:eastAsia="zh-CN"/>
              </w:rPr>
              <w:t xml:space="preserve">  </w:t>
            </w:r>
            <w:r>
              <w:rPr>
                <w:b/>
                <w:bCs/>
                <w:color w:val="000000" w:themeColor="text1"/>
                <w:sz w:val="21"/>
                <w:szCs w:val="21"/>
                <w:highlight w:val="none"/>
              </w:rPr>
              <w:t>项目所在区域空气质量现状评价表</w:t>
            </w:r>
          </w:p>
          <w:tbl>
            <w:tblPr>
              <w:tblStyle w:val="33"/>
              <w:tblW w:w="79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800"/>
              <w:gridCol w:w="1158"/>
              <w:gridCol w:w="1125"/>
              <w:gridCol w:w="1364"/>
              <w:gridCol w:w="1372"/>
            </w:tblGrid>
            <w:tr w14:paraId="7792FA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111" w:type="dxa"/>
                  <w:noWrap w:val="0"/>
                  <w:vAlign w:val="center"/>
                </w:tcPr>
                <w:p w14:paraId="218CBA26">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污染物</w:t>
                  </w:r>
                </w:p>
              </w:tc>
              <w:tc>
                <w:tcPr>
                  <w:tcW w:w="1800" w:type="dxa"/>
                  <w:noWrap w:val="0"/>
                  <w:vAlign w:val="center"/>
                </w:tcPr>
                <w:p w14:paraId="7AC97EA7">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rPr>
                  </w:pPr>
                  <w:r>
                    <w:rPr>
                      <w:rFonts w:hint="eastAsia" w:cs="Times New Roman"/>
                      <w:b/>
                      <w:bCs/>
                      <w:color w:val="000000" w:themeColor="text1"/>
                      <w:sz w:val="21"/>
                      <w:szCs w:val="21"/>
                      <w:highlight w:val="none"/>
                      <w:lang w:eastAsia="zh-CN"/>
                    </w:rPr>
                    <w:t>年度</w:t>
                  </w:r>
                  <w:r>
                    <w:rPr>
                      <w:rFonts w:hint="default" w:ascii="Times New Roman" w:hAnsi="Times New Roman" w:eastAsia="宋体" w:cs="Times New Roman"/>
                      <w:b/>
                      <w:bCs/>
                      <w:color w:val="000000" w:themeColor="text1"/>
                      <w:sz w:val="21"/>
                      <w:szCs w:val="21"/>
                      <w:highlight w:val="none"/>
                    </w:rPr>
                    <w:t>评价指标</w:t>
                  </w:r>
                </w:p>
              </w:tc>
              <w:tc>
                <w:tcPr>
                  <w:tcW w:w="1158" w:type="dxa"/>
                  <w:noWrap w:val="0"/>
                  <w:vAlign w:val="center"/>
                </w:tcPr>
                <w:p w14:paraId="37E231E6">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rPr>
                    <w:t>现状浓度</w:t>
                  </w:r>
                  <w:r>
                    <w:rPr>
                      <w:rFonts w:hint="eastAsia"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rPr>
                    <w:t>µg/m</w:t>
                  </w:r>
                  <w:r>
                    <w:rPr>
                      <w:rFonts w:hint="default" w:ascii="Times New Roman" w:hAnsi="Times New Roman" w:eastAsia="宋体" w:cs="Times New Roman"/>
                      <w:b/>
                      <w:bCs/>
                      <w:color w:val="000000" w:themeColor="text1"/>
                      <w:sz w:val="21"/>
                      <w:szCs w:val="21"/>
                      <w:highlight w:val="none"/>
                      <w:vertAlign w:val="superscript"/>
                    </w:rPr>
                    <w:t>3</w:t>
                  </w:r>
                  <w:r>
                    <w:rPr>
                      <w:rFonts w:hint="eastAsia" w:cs="Times New Roman"/>
                      <w:b/>
                      <w:bCs/>
                      <w:color w:val="000000" w:themeColor="text1"/>
                      <w:sz w:val="21"/>
                      <w:szCs w:val="21"/>
                      <w:highlight w:val="none"/>
                      <w:lang w:eastAsia="zh-CN"/>
                    </w:rPr>
                    <w:t>）</w:t>
                  </w:r>
                </w:p>
              </w:tc>
              <w:tc>
                <w:tcPr>
                  <w:tcW w:w="1125" w:type="dxa"/>
                  <w:noWrap w:val="0"/>
                  <w:vAlign w:val="center"/>
                </w:tcPr>
                <w:p w14:paraId="487DC9C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eastAsia" w:ascii="Times New Roman" w:hAnsi="Times New Roman" w:eastAsia="宋体" w:cs="Times New Roman"/>
                      <w:b/>
                      <w:bCs/>
                      <w:color w:val="000000" w:themeColor="text1"/>
                      <w:sz w:val="21"/>
                      <w:szCs w:val="21"/>
                      <w:highlight w:val="none"/>
                      <w:lang w:eastAsia="zh-CN"/>
                    </w:rPr>
                  </w:pPr>
                  <w:r>
                    <w:rPr>
                      <w:rFonts w:hint="default" w:ascii="Times New Roman" w:hAnsi="Times New Roman" w:eastAsia="宋体" w:cs="Times New Roman"/>
                      <w:b/>
                      <w:bCs/>
                      <w:color w:val="000000" w:themeColor="text1"/>
                      <w:sz w:val="21"/>
                      <w:szCs w:val="21"/>
                      <w:highlight w:val="none"/>
                    </w:rPr>
                    <w:t>标准值</w:t>
                  </w:r>
                  <w:r>
                    <w:rPr>
                      <w:rFonts w:hint="eastAsia" w:cs="Times New Roman"/>
                      <w:b/>
                      <w:bCs/>
                      <w:color w:val="000000" w:themeColor="text1"/>
                      <w:sz w:val="21"/>
                      <w:szCs w:val="21"/>
                      <w:highlight w:val="none"/>
                      <w:lang w:eastAsia="zh-CN"/>
                    </w:rPr>
                    <w:t>（</w:t>
                  </w:r>
                  <w:r>
                    <w:rPr>
                      <w:rFonts w:hint="default" w:ascii="Times New Roman" w:hAnsi="Times New Roman" w:eastAsia="宋体" w:cs="Times New Roman"/>
                      <w:b/>
                      <w:bCs/>
                      <w:color w:val="000000" w:themeColor="text1"/>
                      <w:sz w:val="21"/>
                      <w:szCs w:val="21"/>
                      <w:highlight w:val="none"/>
                    </w:rPr>
                    <w:t>µg/m</w:t>
                  </w:r>
                  <w:r>
                    <w:rPr>
                      <w:rFonts w:hint="default" w:ascii="Times New Roman" w:hAnsi="Times New Roman" w:eastAsia="宋体" w:cs="Times New Roman"/>
                      <w:b/>
                      <w:bCs/>
                      <w:color w:val="000000" w:themeColor="text1"/>
                      <w:sz w:val="21"/>
                      <w:szCs w:val="21"/>
                      <w:highlight w:val="none"/>
                      <w:vertAlign w:val="superscript"/>
                    </w:rPr>
                    <w:t>3</w:t>
                  </w:r>
                  <w:r>
                    <w:rPr>
                      <w:rFonts w:hint="eastAsia" w:cs="Times New Roman"/>
                      <w:b/>
                      <w:bCs/>
                      <w:color w:val="000000" w:themeColor="text1"/>
                      <w:sz w:val="21"/>
                      <w:szCs w:val="21"/>
                      <w:highlight w:val="none"/>
                      <w:lang w:eastAsia="zh-CN"/>
                    </w:rPr>
                    <w:t>）</w:t>
                  </w:r>
                </w:p>
              </w:tc>
              <w:tc>
                <w:tcPr>
                  <w:tcW w:w="1364" w:type="dxa"/>
                  <w:noWrap w:val="0"/>
                  <w:vAlign w:val="center"/>
                </w:tcPr>
                <w:p w14:paraId="7557978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占标率%</w:t>
                  </w:r>
                </w:p>
              </w:tc>
              <w:tc>
                <w:tcPr>
                  <w:tcW w:w="1372" w:type="dxa"/>
                  <w:noWrap w:val="0"/>
                  <w:vAlign w:val="center"/>
                </w:tcPr>
                <w:p w14:paraId="4CC5D1F1">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b/>
                      <w:bCs/>
                      <w:color w:val="000000" w:themeColor="text1"/>
                      <w:sz w:val="21"/>
                      <w:szCs w:val="21"/>
                      <w:highlight w:val="none"/>
                    </w:rPr>
                  </w:pPr>
                  <w:r>
                    <w:rPr>
                      <w:rFonts w:hint="default" w:ascii="Times New Roman" w:hAnsi="Times New Roman" w:eastAsia="宋体" w:cs="Times New Roman"/>
                      <w:b/>
                      <w:bCs/>
                      <w:color w:val="000000" w:themeColor="text1"/>
                      <w:sz w:val="21"/>
                      <w:szCs w:val="21"/>
                      <w:highlight w:val="none"/>
                    </w:rPr>
                    <w:t>达标情况</w:t>
                  </w:r>
                </w:p>
              </w:tc>
            </w:tr>
            <w:tr w14:paraId="39B70E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27B5B712">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SO</w:t>
                  </w:r>
                  <w:r>
                    <w:rPr>
                      <w:rFonts w:hint="default" w:ascii="Times New Roman" w:hAnsi="Times New Roman" w:eastAsia="宋体" w:cs="Times New Roman"/>
                      <w:color w:val="000000" w:themeColor="text1"/>
                      <w:sz w:val="21"/>
                      <w:szCs w:val="21"/>
                      <w:highlight w:val="none"/>
                      <w:vertAlign w:val="subscript"/>
                    </w:rPr>
                    <w:t>2</w:t>
                  </w:r>
                </w:p>
              </w:tc>
              <w:tc>
                <w:tcPr>
                  <w:tcW w:w="1800" w:type="dxa"/>
                  <w:noWrap w:val="0"/>
                  <w:vAlign w:val="center"/>
                </w:tcPr>
                <w:p w14:paraId="5D543163">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年平均质量浓度</w:t>
                  </w:r>
                </w:p>
              </w:tc>
              <w:tc>
                <w:tcPr>
                  <w:tcW w:w="1158" w:type="dxa"/>
                  <w:noWrap w:val="0"/>
                  <w:vAlign w:val="center"/>
                </w:tcPr>
                <w:p w14:paraId="00714E4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eastAsia="zh-CN"/>
                    </w:rPr>
                  </w:pPr>
                  <w:r>
                    <w:rPr>
                      <w:rFonts w:hint="default" w:ascii="Times New Roman" w:hAnsi="Times New Roman" w:eastAsia="宋体" w:cs="Times New Roman"/>
                      <w:color w:val="000000" w:themeColor="text1"/>
                      <w:sz w:val="21"/>
                      <w:szCs w:val="21"/>
                      <w:highlight w:val="none"/>
                      <w:lang w:val="en-US" w:eastAsia="zh-CN"/>
                    </w:rPr>
                    <w:t>7</w:t>
                  </w:r>
                </w:p>
              </w:tc>
              <w:tc>
                <w:tcPr>
                  <w:tcW w:w="1125" w:type="dxa"/>
                  <w:noWrap w:val="0"/>
                  <w:vAlign w:val="center"/>
                </w:tcPr>
                <w:p w14:paraId="165A11E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60</w:t>
                  </w:r>
                </w:p>
              </w:tc>
              <w:tc>
                <w:tcPr>
                  <w:tcW w:w="1364" w:type="dxa"/>
                  <w:noWrap w:val="0"/>
                  <w:vAlign w:val="center"/>
                </w:tcPr>
                <w:p w14:paraId="7165C5C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w:t>
                  </w:r>
                  <w:r>
                    <w:rPr>
                      <w:rFonts w:hint="default" w:ascii="Times New Roman" w:hAnsi="Times New Roman" w:eastAsia="宋体" w:cs="Times New Roman"/>
                      <w:color w:val="000000" w:themeColor="text1"/>
                      <w:sz w:val="21"/>
                      <w:szCs w:val="21"/>
                      <w:highlight w:val="none"/>
                      <w:lang w:val="en-US" w:eastAsia="zh-CN"/>
                    </w:rPr>
                    <w:t>1.7</w:t>
                  </w:r>
                  <w:r>
                    <w:rPr>
                      <w:rFonts w:hint="default" w:ascii="Times New Roman" w:hAnsi="Times New Roman" w:eastAsia="宋体" w:cs="Times New Roman"/>
                      <w:color w:val="000000" w:themeColor="text1"/>
                      <w:sz w:val="21"/>
                      <w:szCs w:val="21"/>
                      <w:highlight w:val="none"/>
                    </w:rPr>
                    <w:t>0%</w:t>
                  </w:r>
                </w:p>
              </w:tc>
              <w:tc>
                <w:tcPr>
                  <w:tcW w:w="1372" w:type="dxa"/>
                  <w:noWrap w:val="0"/>
                  <w:vAlign w:val="center"/>
                </w:tcPr>
                <w:p w14:paraId="7F87772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r w14:paraId="084E3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187CADE0">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NO</w:t>
                  </w:r>
                  <w:r>
                    <w:rPr>
                      <w:rFonts w:hint="default" w:ascii="Times New Roman" w:hAnsi="Times New Roman" w:eastAsia="宋体" w:cs="Times New Roman"/>
                      <w:color w:val="000000" w:themeColor="text1"/>
                      <w:sz w:val="21"/>
                      <w:szCs w:val="21"/>
                      <w:highlight w:val="none"/>
                      <w:vertAlign w:val="subscript"/>
                    </w:rPr>
                    <w:t>2</w:t>
                  </w:r>
                </w:p>
              </w:tc>
              <w:tc>
                <w:tcPr>
                  <w:tcW w:w="1800" w:type="dxa"/>
                  <w:noWrap w:val="0"/>
                  <w:vAlign w:val="center"/>
                </w:tcPr>
                <w:p w14:paraId="55E6C056">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年平均质量浓度</w:t>
                  </w:r>
                </w:p>
              </w:tc>
              <w:tc>
                <w:tcPr>
                  <w:tcW w:w="1158" w:type="dxa"/>
                  <w:noWrap w:val="0"/>
                  <w:vAlign w:val="center"/>
                </w:tcPr>
                <w:p w14:paraId="03B9F44A">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22</w:t>
                  </w:r>
                </w:p>
              </w:tc>
              <w:tc>
                <w:tcPr>
                  <w:tcW w:w="1125" w:type="dxa"/>
                  <w:noWrap w:val="0"/>
                  <w:vAlign w:val="center"/>
                </w:tcPr>
                <w:p w14:paraId="2D580885">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40</w:t>
                  </w:r>
                </w:p>
              </w:tc>
              <w:tc>
                <w:tcPr>
                  <w:tcW w:w="1364" w:type="dxa"/>
                  <w:noWrap w:val="0"/>
                  <w:vAlign w:val="center"/>
                </w:tcPr>
                <w:p w14:paraId="25807F0D">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55</w:t>
                  </w:r>
                  <w:r>
                    <w:rPr>
                      <w:rFonts w:hint="default" w:ascii="Times New Roman" w:hAnsi="Times New Roman" w:eastAsia="宋体" w:cs="Times New Roman"/>
                      <w:color w:val="000000" w:themeColor="text1"/>
                      <w:sz w:val="21"/>
                      <w:szCs w:val="21"/>
                      <w:highlight w:val="none"/>
                    </w:rPr>
                    <w:t>.00%</w:t>
                  </w:r>
                </w:p>
              </w:tc>
              <w:tc>
                <w:tcPr>
                  <w:tcW w:w="1372" w:type="dxa"/>
                  <w:noWrap w:val="0"/>
                  <w:vAlign w:val="center"/>
                </w:tcPr>
                <w:p w14:paraId="156B801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r w14:paraId="3D9ADC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7B49480D">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PM</w:t>
                  </w:r>
                  <w:r>
                    <w:rPr>
                      <w:rFonts w:hint="default" w:ascii="Times New Roman" w:hAnsi="Times New Roman" w:eastAsia="宋体" w:cs="Times New Roman"/>
                      <w:color w:val="000000" w:themeColor="text1"/>
                      <w:sz w:val="21"/>
                      <w:szCs w:val="21"/>
                      <w:highlight w:val="none"/>
                      <w:vertAlign w:val="subscript"/>
                    </w:rPr>
                    <w:t>2.5</w:t>
                  </w:r>
                </w:p>
              </w:tc>
              <w:tc>
                <w:tcPr>
                  <w:tcW w:w="1800" w:type="dxa"/>
                  <w:noWrap w:val="0"/>
                  <w:vAlign w:val="center"/>
                </w:tcPr>
                <w:p w14:paraId="5930A064">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年平均质量浓度</w:t>
                  </w:r>
                </w:p>
              </w:tc>
              <w:tc>
                <w:tcPr>
                  <w:tcW w:w="1158" w:type="dxa"/>
                  <w:noWrap w:val="0"/>
                  <w:vAlign w:val="center"/>
                </w:tcPr>
                <w:p w14:paraId="7F18B9E3">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30.6</w:t>
                  </w:r>
                </w:p>
              </w:tc>
              <w:tc>
                <w:tcPr>
                  <w:tcW w:w="1125" w:type="dxa"/>
                  <w:noWrap w:val="0"/>
                  <w:vAlign w:val="center"/>
                </w:tcPr>
                <w:p w14:paraId="736D0DE1">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35</w:t>
                  </w:r>
                </w:p>
              </w:tc>
              <w:tc>
                <w:tcPr>
                  <w:tcW w:w="1364" w:type="dxa"/>
                  <w:noWrap w:val="0"/>
                  <w:vAlign w:val="center"/>
                </w:tcPr>
                <w:p w14:paraId="41F95A83">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87.40</w:t>
                  </w:r>
                  <w:r>
                    <w:rPr>
                      <w:rFonts w:hint="default" w:ascii="Times New Roman" w:hAnsi="Times New Roman" w:eastAsia="宋体" w:cs="Times New Roman"/>
                      <w:color w:val="000000" w:themeColor="text1"/>
                      <w:sz w:val="21"/>
                      <w:szCs w:val="21"/>
                      <w:highlight w:val="none"/>
                    </w:rPr>
                    <w:t>%</w:t>
                  </w:r>
                </w:p>
              </w:tc>
              <w:tc>
                <w:tcPr>
                  <w:tcW w:w="1372" w:type="dxa"/>
                  <w:noWrap w:val="0"/>
                  <w:vAlign w:val="center"/>
                </w:tcPr>
                <w:p w14:paraId="098055D1">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r w14:paraId="6226DC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39B0C3AC">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PM</w:t>
                  </w:r>
                  <w:r>
                    <w:rPr>
                      <w:rFonts w:hint="default" w:ascii="Times New Roman" w:hAnsi="Times New Roman" w:eastAsia="宋体" w:cs="Times New Roman"/>
                      <w:color w:val="000000" w:themeColor="text1"/>
                      <w:sz w:val="21"/>
                      <w:szCs w:val="21"/>
                      <w:highlight w:val="none"/>
                      <w:vertAlign w:val="subscript"/>
                    </w:rPr>
                    <w:t>10</w:t>
                  </w:r>
                </w:p>
              </w:tc>
              <w:tc>
                <w:tcPr>
                  <w:tcW w:w="1800" w:type="dxa"/>
                  <w:noWrap w:val="0"/>
                  <w:vAlign w:val="center"/>
                </w:tcPr>
                <w:p w14:paraId="1D01B1EA">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年平均质量浓度</w:t>
                  </w:r>
                </w:p>
              </w:tc>
              <w:tc>
                <w:tcPr>
                  <w:tcW w:w="1158" w:type="dxa"/>
                  <w:noWrap w:val="0"/>
                  <w:vAlign w:val="center"/>
                </w:tcPr>
                <w:p w14:paraId="0BC35110">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44</w:t>
                  </w:r>
                </w:p>
              </w:tc>
              <w:tc>
                <w:tcPr>
                  <w:tcW w:w="1125" w:type="dxa"/>
                  <w:noWrap w:val="0"/>
                  <w:vAlign w:val="center"/>
                </w:tcPr>
                <w:p w14:paraId="0E764D19">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70</w:t>
                  </w:r>
                </w:p>
              </w:tc>
              <w:tc>
                <w:tcPr>
                  <w:tcW w:w="1364" w:type="dxa"/>
                  <w:noWrap w:val="0"/>
                  <w:vAlign w:val="center"/>
                </w:tcPr>
                <w:p w14:paraId="61B84AAE">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62.86</w:t>
                  </w:r>
                  <w:r>
                    <w:rPr>
                      <w:rFonts w:hint="default" w:ascii="Times New Roman" w:hAnsi="Times New Roman" w:eastAsia="宋体" w:cs="Times New Roman"/>
                      <w:color w:val="000000" w:themeColor="text1"/>
                      <w:sz w:val="21"/>
                      <w:szCs w:val="21"/>
                      <w:highlight w:val="none"/>
                    </w:rPr>
                    <w:t>%</w:t>
                  </w:r>
                </w:p>
              </w:tc>
              <w:tc>
                <w:tcPr>
                  <w:tcW w:w="1372" w:type="dxa"/>
                  <w:noWrap w:val="0"/>
                  <w:vAlign w:val="center"/>
                </w:tcPr>
                <w:p w14:paraId="1926D8E6">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r w14:paraId="72EE9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01E84450">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CO</w:t>
                  </w:r>
                </w:p>
              </w:tc>
              <w:tc>
                <w:tcPr>
                  <w:tcW w:w="1800" w:type="dxa"/>
                  <w:noWrap w:val="0"/>
                  <w:vAlign w:val="center"/>
                </w:tcPr>
                <w:p w14:paraId="2599B1B1">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CO日均值95% 位数值</w:t>
                  </w:r>
                </w:p>
              </w:tc>
              <w:tc>
                <w:tcPr>
                  <w:tcW w:w="1158" w:type="dxa"/>
                  <w:noWrap w:val="0"/>
                  <w:vAlign w:val="center"/>
                </w:tcPr>
                <w:p w14:paraId="119CD1ED">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1000</w:t>
                  </w:r>
                </w:p>
              </w:tc>
              <w:tc>
                <w:tcPr>
                  <w:tcW w:w="1125" w:type="dxa"/>
                  <w:noWrap w:val="0"/>
                  <w:vAlign w:val="center"/>
                </w:tcPr>
                <w:p w14:paraId="16C6A754">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4000</w:t>
                  </w:r>
                </w:p>
              </w:tc>
              <w:tc>
                <w:tcPr>
                  <w:tcW w:w="1364" w:type="dxa"/>
                  <w:noWrap w:val="0"/>
                  <w:vAlign w:val="center"/>
                </w:tcPr>
                <w:p w14:paraId="0766BDA0">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25.00%</w:t>
                  </w:r>
                </w:p>
              </w:tc>
              <w:tc>
                <w:tcPr>
                  <w:tcW w:w="1372" w:type="dxa"/>
                  <w:noWrap w:val="0"/>
                  <w:vAlign w:val="center"/>
                </w:tcPr>
                <w:p w14:paraId="46B58A0D">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r w14:paraId="34DF91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1" w:type="dxa"/>
                  <w:noWrap w:val="0"/>
                  <w:vAlign w:val="center"/>
                </w:tcPr>
                <w:p w14:paraId="7BECAEB8">
                  <w:pPr>
                    <w:keepNext w:val="0"/>
                    <w:keepLines w:val="0"/>
                    <w:pageBreakBefore w:val="0"/>
                    <w:kinsoku/>
                    <w:wordWrap/>
                    <w:overflowPunct/>
                    <w:topLinePunct w:val="0"/>
                    <w:autoSpaceDE/>
                    <w:autoSpaceDN/>
                    <w:bidi w:val="0"/>
                    <w:adjustRightInd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臭氧（O</w:t>
                  </w:r>
                  <w:r>
                    <w:rPr>
                      <w:rFonts w:hint="default" w:ascii="Times New Roman" w:hAnsi="Times New Roman" w:eastAsia="宋体" w:cs="Times New Roman"/>
                      <w:color w:val="000000" w:themeColor="text1"/>
                      <w:sz w:val="21"/>
                      <w:szCs w:val="21"/>
                      <w:highlight w:val="none"/>
                      <w:vertAlign w:val="subscript"/>
                    </w:rPr>
                    <w:t>3</w:t>
                  </w:r>
                  <w:r>
                    <w:rPr>
                      <w:rFonts w:hint="default" w:ascii="Times New Roman" w:hAnsi="Times New Roman" w:eastAsia="宋体" w:cs="Times New Roman"/>
                      <w:color w:val="000000" w:themeColor="text1"/>
                      <w:sz w:val="21"/>
                      <w:szCs w:val="21"/>
                      <w:highlight w:val="none"/>
                    </w:rPr>
                    <w:t>）</w:t>
                  </w:r>
                </w:p>
              </w:tc>
              <w:tc>
                <w:tcPr>
                  <w:tcW w:w="1800" w:type="dxa"/>
                  <w:noWrap w:val="0"/>
                  <w:vAlign w:val="center"/>
                </w:tcPr>
                <w:p w14:paraId="76B0FF1E">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日最大8小时值90%位数值</w:t>
                  </w:r>
                </w:p>
              </w:tc>
              <w:tc>
                <w:tcPr>
                  <w:tcW w:w="1158" w:type="dxa"/>
                  <w:noWrap w:val="0"/>
                  <w:vAlign w:val="center"/>
                </w:tcPr>
                <w:p w14:paraId="463A57A3">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lang w:val="en-US" w:eastAsia="zh-CN"/>
                    </w:rPr>
                    <w:t>142</w:t>
                  </w:r>
                </w:p>
              </w:tc>
              <w:tc>
                <w:tcPr>
                  <w:tcW w:w="1125" w:type="dxa"/>
                  <w:noWrap w:val="0"/>
                  <w:vAlign w:val="center"/>
                </w:tcPr>
                <w:p w14:paraId="355ED772">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160</w:t>
                  </w:r>
                </w:p>
              </w:tc>
              <w:tc>
                <w:tcPr>
                  <w:tcW w:w="1364" w:type="dxa"/>
                  <w:noWrap w:val="0"/>
                  <w:vAlign w:val="center"/>
                </w:tcPr>
                <w:p w14:paraId="45EB2939">
                  <w:pPr>
                    <w:keepNext w:val="0"/>
                    <w:keepLines w:val="0"/>
                    <w:pageBreakBefore w:val="0"/>
                    <w:widowControl/>
                    <w:kinsoku/>
                    <w:wordWrap/>
                    <w:overflowPunct/>
                    <w:topLinePunct w:val="0"/>
                    <w:autoSpaceDE/>
                    <w:autoSpaceDN/>
                    <w:bidi w:val="0"/>
                    <w:snapToGrid/>
                    <w:spacing w:line="240" w:lineRule="auto"/>
                    <w:ind w:firstLine="0" w:firstLineChars="0"/>
                    <w:jc w:val="center"/>
                    <w:textAlignment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lang w:val="en-US" w:eastAsia="zh-CN"/>
                    </w:rPr>
                    <w:t>88.75</w:t>
                  </w:r>
                  <w:r>
                    <w:rPr>
                      <w:rFonts w:hint="default" w:ascii="Times New Roman" w:hAnsi="Times New Roman" w:eastAsia="宋体" w:cs="Times New Roman"/>
                      <w:color w:val="000000" w:themeColor="text1"/>
                      <w:sz w:val="21"/>
                      <w:szCs w:val="21"/>
                      <w:highlight w:val="none"/>
                    </w:rPr>
                    <w:t>%</w:t>
                  </w:r>
                </w:p>
              </w:tc>
              <w:tc>
                <w:tcPr>
                  <w:tcW w:w="1372" w:type="dxa"/>
                  <w:noWrap w:val="0"/>
                  <w:vAlign w:val="center"/>
                </w:tcPr>
                <w:p w14:paraId="750066C9">
                  <w:pPr>
                    <w:keepNext w:val="0"/>
                    <w:keepLines w:val="0"/>
                    <w:pageBreakBefore w:val="0"/>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color w:val="000000" w:themeColor="text1"/>
                      <w:sz w:val="21"/>
                      <w:szCs w:val="21"/>
                      <w:highlight w:val="none"/>
                    </w:rPr>
                  </w:pPr>
                  <w:r>
                    <w:rPr>
                      <w:rFonts w:hint="default" w:ascii="Times New Roman" w:hAnsi="Times New Roman" w:eastAsia="宋体" w:cs="Times New Roman"/>
                      <w:color w:val="000000" w:themeColor="text1"/>
                      <w:sz w:val="21"/>
                      <w:szCs w:val="21"/>
                      <w:highlight w:val="none"/>
                    </w:rPr>
                    <w:t>达标</w:t>
                  </w:r>
                </w:p>
              </w:tc>
            </w:tr>
          </w:tbl>
          <w:p w14:paraId="2A56CB57">
            <w:pPr>
              <w:widowControl/>
              <w:spacing w:line="360" w:lineRule="auto"/>
              <w:ind w:firstLine="480" w:firstLineChars="200"/>
              <w:jc w:val="left"/>
              <w:rPr>
                <w:color w:val="000000" w:themeColor="text1"/>
                <w:sz w:val="24"/>
                <w:highlight w:val="none"/>
              </w:rPr>
            </w:pPr>
            <w:r>
              <w:rPr>
                <w:color w:val="000000" w:themeColor="text1"/>
                <w:sz w:val="24"/>
                <w:highlight w:val="none"/>
              </w:rPr>
              <w:t>由上表3-1可见，柴桑区202</w:t>
            </w:r>
            <w:r>
              <w:rPr>
                <w:rFonts w:hint="eastAsia"/>
                <w:color w:val="000000" w:themeColor="text1"/>
                <w:sz w:val="24"/>
                <w:highlight w:val="none"/>
                <w:lang w:val="en-US" w:eastAsia="zh-CN"/>
              </w:rPr>
              <w:t>4</w:t>
            </w:r>
            <w:r>
              <w:rPr>
                <w:color w:val="000000" w:themeColor="text1"/>
                <w:sz w:val="24"/>
                <w:highlight w:val="none"/>
              </w:rPr>
              <w:t>年SO</w:t>
            </w:r>
            <w:r>
              <w:rPr>
                <w:color w:val="000000" w:themeColor="text1"/>
                <w:sz w:val="24"/>
                <w:highlight w:val="none"/>
                <w:vertAlign w:val="subscript"/>
              </w:rPr>
              <w:t>2</w:t>
            </w:r>
            <w:r>
              <w:rPr>
                <w:color w:val="000000" w:themeColor="text1"/>
                <w:sz w:val="24"/>
                <w:highlight w:val="none"/>
              </w:rPr>
              <w:t>、NO</w:t>
            </w:r>
            <w:r>
              <w:rPr>
                <w:color w:val="000000" w:themeColor="text1"/>
                <w:sz w:val="24"/>
                <w:highlight w:val="none"/>
                <w:vertAlign w:val="subscript"/>
              </w:rPr>
              <w:t>2</w:t>
            </w:r>
            <w:r>
              <w:rPr>
                <w:color w:val="000000" w:themeColor="text1"/>
                <w:sz w:val="24"/>
                <w:highlight w:val="none"/>
              </w:rPr>
              <w:t>、PM</w:t>
            </w:r>
            <w:r>
              <w:rPr>
                <w:color w:val="000000" w:themeColor="text1"/>
                <w:sz w:val="24"/>
                <w:highlight w:val="none"/>
                <w:vertAlign w:val="subscript"/>
              </w:rPr>
              <w:t>10</w:t>
            </w:r>
            <w:r>
              <w:rPr>
                <w:color w:val="000000" w:themeColor="text1"/>
                <w:sz w:val="24"/>
                <w:highlight w:val="none"/>
              </w:rPr>
              <w:t>、PM</w:t>
            </w:r>
            <w:r>
              <w:rPr>
                <w:color w:val="000000" w:themeColor="text1"/>
                <w:sz w:val="24"/>
                <w:highlight w:val="none"/>
                <w:vertAlign w:val="subscript"/>
              </w:rPr>
              <w:t>2.5</w:t>
            </w:r>
            <w:r>
              <w:rPr>
                <w:color w:val="000000" w:themeColor="text1"/>
                <w:sz w:val="24"/>
                <w:highlight w:val="none"/>
              </w:rPr>
              <w:t>、CO、O</w:t>
            </w:r>
            <w:r>
              <w:rPr>
                <w:color w:val="000000" w:themeColor="text1"/>
                <w:sz w:val="24"/>
                <w:highlight w:val="none"/>
                <w:vertAlign w:val="subscript"/>
              </w:rPr>
              <w:t>3</w:t>
            </w:r>
            <w:r>
              <w:rPr>
                <w:color w:val="000000" w:themeColor="text1"/>
                <w:sz w:val="24"/>
                <w:highlight w:val="none"/>
              </w:rPr>
              <w:t>因子能满足《环境空气质量标准》（GB3095-2012）中二级标准要求，因此，柴桑区环境空气质量属于达标区。</w:t>
            </w:r>
          </w:p>
          <w:p w14:paraId="79348840">
            <w:pPr>
              <w:pStyle w:val="14"/>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color w:val="000000" w:themeColor="text1"/>
              </w:rPr>
            </w:pPr>
            <w:r>
              <w:rPr>
                <w:color w:val="000000" w:themeColor="text1"/>
              </w:rPr>
              <w:drawing>
                <wp:inline distT="0" distB="0" distL="114300" distR="114300">
                  <wp:extent cx="4345940" cy="2324735"/>
                  <wp:effectExtent l="0" t="0" r="16510" b="18415"/>
                  <wp:docPr id="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2"/>
                          <pic:cNvPicPr>
                            <a:picLocks noChangeAspect="1"/>
                          </pic:cNvPicPr>
                        </pic:nvPicPr>
                        <pic:blipFill>
                          <a:blip r:embed="rId30"/>
                          <a:stretch>
                            <a:fillRect/>
                          </a:stretch>
                        </pic:blipFill>
                        <pic:spPr>
                          <a:xfrm>
                            <a:off x="0" y="0"/>
                            <a:ext cx="4345940" cy="2324735"/>
                          </a:xfrm>
                          <a:prstGeom prst="rect">
                            <a:avLst/>
                          </a:prstGeom>
                          <a:noFill/>
                          <a:ln>
                            <a:noFill/>
                          </a:ln>
                        </pic:spPr>
                      </pic:pic>
                    </a:graphicData>
                  </a:graphic>
                </wp:inline>
              </w:drawing>
            </w:r>
          </w:p>
          <w:p w14:paraId="073C684E">
            <w:pPr>
              <w:pStyle w:val="14"/>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Cs w:val="21"/>
                <w:lang w:eastAsia="zh-CN"/>
              </w:rPr>
            </w:pPr>
            <w:r>
              <w:rPr>
                <w:rFonts w:hint="default" w:ascii="Times New Roman" w:hAnsi="Times New Roman" w:eastAsia="宋体" w:cs="Times New Roman"/>
                <w:b/>
                <w:color w:val="000000" w:themeColor="text1"/>
                <w:szCs w:val="21"/>
                <w:lang w:eastAsia="zh-CN"/>
              </w:rPr>
              <w:t>图</w:t>
            </w:r>
            <w:r>
              <w:rPr>
                <w:rFonts w:hint="default" w:ascii="Times New Roman" w:hAnsi="Times New Roman" w:eastAsia="宋体" w:cs="Times New Roman"/>
                <w:b/>
                <w:color w:val="000000" w:themeColor="text1"/>
                <w:szCs w:val="21"/>
              </w:rPr>
              <w:t>3-1   20</w:t>
            </w:r>
            <w:r>
              <w:rPr>
                <w:rFonts w:hint="default" w:ascii="Times New Roman" w:hAnsi="Times New Roman" w:eastAsia="宋体" w:cs="Times New Roman"/>
                <w:b/>
                <w:color w:val="000000" w:themeColor="text1"/>
                <w:szCs w:val="21"/>
                <w:lang w:val="en-US" w:eastAsia="zh-CN"/>
              </w:rPr>
              <w:t>2</w:t>
            </w:r>
            <w:r>
              <w:rPr>
                <w:rFonts w:hint="eastAsia" w:ascii="Times New Roman" w:hAnsi="Times New Roman" w:eastAsia="宋体" w:cs="Times New Roman"/>
                <w:b/>
                <w:color w:val="000000" w:themeColor="text1"/>
                <w:szCs w:val="21"/>
                <w:lang w:val="en-US" w:eastAsia="zh-CN"/>
              </w:rPr>
              <w:t>4</w:t>
            </w:r>
            <w:r>
              <w:rPr>
                <w:rFonts w:hint="default" w:ascii="Times New Roman" w:hAnsi="Times New Roman" w:eastAsia="宋体" w:cs="Times New Roman"/>
                <w:b/>
                <w:color w:val="000000" w:themeColor="text1"/>
                <w:szCs w:val="21"/>
              </w:rPr>
              <w:t>年</w:t>
            </w:r>
            <w:r>
              <w:rPr>
                <w:rFonts w:hint="default" w:ascii="Times New Roman" w:hAnsi="Times New Roman" w:eastAsia="宋体" w:cs="Times New Roman"/>
                <w:b/>
                <w:color w:val="000000" w:themeColor="text1"/>
                <w:szCs w:val="21"/>
                <w:lang w:val="en-US" w:eastAsia="zh-CN"/>
              </w:rPr>
              <w:t>柴桑区</w:t>
            </w:r>
            <w:r>
              <w:rPr>
                <w:rFonts w:hint="default" w:ascii="Times New Roman" w:hAnsi="Times New Roman" w:eastAsia="宋体" w:cs="Times New Roman"/>
                <w:b/>
                <w:color w:val="000000" w:themeColor="text1"/>
                <w:szCs w:val="21"/>
              </w:rPr>
              <w:t>空气质量监测结果</w:t>
            </w:r>
            <w:r>
              <w:rPr>
                <w:rFonts w:hint="default" w:ascii="Times New Roman" w:hAnsi="Times New Roman" w:eastAsia="宋体" w:cs="Times New Roman"/>
                <w:b/>
                <w:color w:val="000000" w:themeColor="text1"/>
                <w:szCs w:val="21"/>
                <w:lang w:eastAsia="zh-CN"/>
              </w:rPr>
              <w:t>截图</w:t>
            </w:r>
          </w:p>
          <w:p w14:paraId="51858B38">
            <w:pPr>
              <w:pStyle w:val="28"/>
              <w:keepNext w:val="0"/>
              <w:keepLines w:val="0"/>
              <w:pageBreakBefore w:val="0"/>
              <w:kinsoku/>
              <w:wordWrap/>
              <w:overflowPunct/>
              <w:topLinePunct w:val="0"/>
              <w:autoSpaceDE/>
              <w:autoSpaceDN/>
              <w:bidi w:val="0"/>
              <w:adjustRightInd w:val="0"/>
              <w:snapToGrid w:val="0"/>
              <w:spacing w:line="360" w:lineRule="auto"/>
              <w:ind w:right="0" w:firstLine="480" w:firstLineChars="200"/>
              <w:jc w:val="both"/>
              <w:textAlignment w:val="auto"/>
              <w:rPr>
                <w:color w:val="000000" w:themeColor="text1"/>
                <w:szCs w:val="24"/>
                <w:highlight w:val="none"/>
              </w:rPr>
            </w:pPr>
            <w:r>
              <w:rPr>
                <w:rFonts w:hint="eastAsia"/>
                <w:b w:val="0"/>
                <w:color w:val="000000" w:themeColor="text1"/>
                <w:kern w:val="0"/>
                <w:szCs w:val="24"/>
                <w:highlight w:val="none"/>
              </w:rPr>
              <w:t>（2）特征因子</w:t>
            </w:r>
          </w:p>
          <w:p w14:paraId="74544F8C">
            <w:pPr>
              <w:pStyle w:val="12"/>
              <w:keepNext w:val="0"/>
              <w:keepLines w:val="0"/>
              <w:pageBreakBefore w:val="0"/>
              <w:widowControl w:val="0"/>
              <w:kinsoku/>
              <w:wordWrap/>
              <w:overflowPunct/>
              <w:topLinePunct w:val="0"/>
              <w:autoSpaceDE/>
              <w:autoSpaceDN/>
              <w:bidi w:val="0"/>
              <w:spacing w:before="0" w:after="0" w:line="360" w:lineRule="auto"/>
              <w:ind w:right="0" w:firstLine="480" w:firstLineChars="200"/>
              <w:jc w:val="both"/>
              <w:textAlignment w:val="auto"/>
              <w:rPr>
                <w:rFonts w:hint="eastAsia"/>
                <w:color w:val="000000" w:themeColor="text1"/>
                <w:sz w:val="24"/>
                <w:szCs w:val="24"/>
                <w:highlight w:val="none"/>
              </w:rPr>
            </w:pPr>
            <w:r>
              <w:rPr>
                <w:color w:val="000000" w:themeColor="text1"/>
                <w:sz w:val="24"/>
                <w:szCs w:val="24"/>
                <w:highlight w:val="none"/>
              </w:rPr>
              <w:t>根据《建设项目环境影响报告表编制技术指南</w:t>
            </w:r>
            <w:r>
              <w:rPr>
                <w:rFonts w:hint="eastAsia"/>
                <w:color w:val="000000" w:themeColor="text1"/>
                <w:sz w:val="24"/>
                <w:szCs w:val="24"/>
                <w:highlight w:val="none"/>
                <w:lang w:eastAsia="zh-CN"/>
              </w:rPr>
              <w:t>（</w:t>
            </w:r>
            <w:r>
              <w:rPr>
                <w:color w:val="000000" w:themeColor="text1"/>
                <w:sz w:val="24"/>
                <w:szCs w:val="24"/>
                <w:highlight w:val="none"/>
              </w:rPr>
              <w:t>污染影响类</w:t>
            </w:r>
            <w:r>
              <w:rPr>
                <w:rFonts w:hint="eastAsia"/>
                <w:color w:val="000000" w:themeColor="text1"/>
                <w:sz w:val="24"/>
                <w:szCs w:val="24"/>
                <w:highlight w:val="none"/>
                <w:lang w:eastAsia="zh-CN"/>
              </w:rPr>
              <w:t>）（</w:t>
            </w:r>
            <w:r>
              <w:rPr>
                <w:color w:val="000000" w:themeColor="text1"/>
                <w:sz w:val="24"/>
                <w:szCs w:val="24"/>
                <w:highlight w:val="none"/>
              </w:rPr>
              <w:t>试行</w:t>
            </w:r>
            <w:r>
              <w:rPr>
                <w:rFonts w:hint="eastAsia"/>
                <w:color w:val="000000" w:themeColor="text1"/>
                <w:sz w:val="24"/>
                <w:szCs w:val="24"/>
                <w:highlight w:val="none"/>
                <w:lang w:eastAsia="zh-CN"/>
              </w:rPr>
              <w:t>）</w:t>
            </w:r>
            <w:r>
              <w:rPr>
                <w:color w:val="000000" w:themeColor="text1"/>
                <w:sz w:val="24"/>
                <w:szCs w:val="24"/>
                <w:highlight w:val="none"/>
              </w:rPr>
              <w:t>》</w:t>
            </w:r>
            <w:r>
              <w:rPr>
                <w:rFonts w:hint="eastAsia"/>
                <w:color w:val="000000" w:themeColor="text1"/>
                <w:sz w:val="24"/>
                <w:szCs w:val="24"/>
                <w:highlight w:val="none"/>
              </w:rPr>
              <w:t>中大气环境：“排放国家、地方环境空气质量标准中有标准限值要求的特征污染物时，引用建设项目周边5千米范围内近3年的现有监测数据，无相关数据的选择当季主导风向下风向1个点位补充不少于3天的监测数据”</w:t>
            </w:r>
            <w:r>
              <w:rPr>
                <w:color w:val="000000" w:themeColor="text1"/>
                <w:sz w:val="24"/>
                <w:szCs w:val="24"/>
                <w:highlight w:val="none"/>
              </w:rPr>
              <w:t>。</w:t>
            </w:r>
          </w:p>
          <w:p w14:paraId="327E709A">
            <w:pPr>
              <w:pStyle w:val="12"/>
              <w:keepNext w:val="0"/>
              <w:keepLines w:val="0"/>
              <w:pageBreakBefore w:val="0"/>
              <w:widowControl w:val="0"/>
              <w:kinsoku/>
              <w:wordWrap/>
              <w:overflowPunct/>
              <w:topLinePunct w:val="0"/>
              <w:autoSpaceDE/>
              <w:autoSpaceDN/>
              <w:bidi w:val="0"/>
              <w:spacing w:before="0" w:after="0" w:line="360" w:lineRule="auto"/>
              <w:ind w:right="0" w:firstLine="480" w:firstLineChars="200"/>
              <w:jc w:val="both"/>
              <w:textAlignment w:val="auto"/>
              <w:rPr>
                <w:rFonts w:hint="eastAsia"/>
                <w:color w:val="000000" w:themeColor="text1"/>
                <w:sz w:val="24"/>
                <w:szCs w:val="24"/>
                <w:highlight w:val="none"/>
              </w:rPr>
            </w:pPr>
            <w:r>
              <w:rPr>
                <w:rFonts w:hint="default" w:ascii="Times New Roman" w:hAnsi="Times New Roman" w:eastAsia="宋体" w:cs="Times New Roman"/>
                <w:color w:val="000000" w:themeColor="text1"/>
                <w:kern w:val="2"/>
                <w:sz w:val="24"/>
                <w:szCs w:val="24"/>
                <w:highlight w:val="none"/>
                <w:lang w:val="en-US" w:eastAsia="zh-CN" w:bidi="ar-SA"/>
              </w:rPr>
              <w:t>根据</w:t>
            </w:r>
            <w:r>
              <w:rPr>
                <w:rFonts w:hint="eastAsia" w:cs="Times New Roman"/>
                <w:color w:val="000000" w:themeColor="text1"/>
                <w:kern w:val="2"/>
                <w:sz w:val="24"/>
                <w:szCs w:val="24"/>
                <w:highlight w:val="none"/>
                <w:lang w:val="en-US" w:eastAsia="zh-CN" w:bidi="ar-SA"/>
              </w:rPr>
              <w:t>项目污染物特征</w:t>
            </w:r>
            <w:r>
              <w:rPr>
                <w:rFonts w:hint="default" w:ascii="Times New Roman" w:hAnsi="Times New Roman" w:eastAsia="宋体" w:cs="Times New Roman"/>
                <w:color w:val="000000" w:themeColor="text1"/>
                <w:kern w:val="2"/>
                <w:sz w:val="24"/>
                <w:szCs w:val="24"/>
                <w:highlight w:val="none"/>
                <w:lang w:val="en-US" w:eastAsia="zh-CN" w:bidi="ar-SA"/>
              </w:rPr>
              <w:t>，</w:t>
            </w:r>
            <w:r>
              <w:rPr>
                <w:rFonts w:hint="eastAsia" w:cs="Times New Roman"/>
                <w:color w:val="000000" w:themeColor="text1"/>
                <w:kern w:val="2"/>
                <w:sz w:val="24"/>
                <w:szCs w:val="24"/>
                <w:highlight w:val="none"/>
                <w:lang w:val="en-US" w:eastAsia="zh-CN" w:bidi="ar-SA"/>
              </w:rPr>
              <w:t>本项目主要排放TSP、TVOC。</w:t>
            </w:r>
            <w:r>
              <w:rPr>
                <w:rFonts w:hint="eastAsia"/>
                <w:color w:val="000000" w:themeColor="text1"/>
                <w:sz w:val="24"/>
                <w:szCs w:val="24"/>
                <w:highlight w:val="none"/>
              </w:rPr>
              <w:t>为了解项目周边</w:t>
            </w:r>
            <w:r>
              <w:rPr>
                <w:rFonts w:hint="eastAsia"/>
                <w:color w:val="000000" w:themeColor="text1"/>
                <w:sz w:val="24"/>
                <w:szCs w:val="24"/>
                <w:highlight w:val="none"/>
                <w:lang w:val="en-US" w:eastAsia="zh-CN"/>
              </w:rPr>
              <w:t>TSP、TVOC</w:t>
            </w:r>
            <w:r>
              <w:rPr>
                <w:rFonts w:hint="eastAsia"/>
                <w:color w:val="000000" w:themeColor="text1"/>
                <w:sz w:val="24"/>
                <w:szCs w:val="24"/>
                <w:highlight w:val="none"/>
              </w:rPr>
              <w:t>现状，本次环评引用</w:t>
            </w:r>
            <w:r>
              <w:rPr>
                <w:rFonts w:hint="eastAsia"/>
                <w:color w:val="000000" w:themeColor="text1"/>
                <w:sz w:val="24"/>
                <w:szCs w:val="24"/>
                <w:highlight w:val="none"/>
                <w:lang w:val="en-US" w:eastAsia="zh-CN"/>
              </w:rPr>
              <w:t>江西力圣检测</w:t>
            </w:r>
            <w:r>
              <w:rPr>
                <w:rFonts w:hint="eastAsia"/>
                <w:color w:val="000000" w:themeColor="text1"/>
                <w:sz w:val="24"/>
                <w:szCs w:val="24"/>
                <w:highlight w:val="none"/>
              </w:rPr>
              <w:t>有限公司出具的《九江市沙城工业园</w:t>
            </w:r>
            <w:r>
              <w:rPr>
                <w:rFonts w:hint="eastAsia"/>
                <w:color w:val="000000" w:themeColor="text1"/>
                <w:sz w:val="24"/>
                <w:szCs w:val="24"/>
                <w:highlight w:val="none"/>
                <w:lang w:val="en-US" w:eastAsia="zh-CN"/>
              </w:rPr>
              <w:t>区</w:t>
            </w:r>
            <w:r>
              <w:rPr>
                <w:rFonts w:hint="eastAsia"/>
                <w:color w:val="000000" w:themeColor="text1"/>
                <w:sz w:val="24"/>
                <w:szCs w:val="24"/>
                <w:highlight w:val="none"/>
              </w:rPr>
              <w:t>环境质量监测</w:t>
            </w:r>
            <w:r>
              <w:rPr>
                <w:rFonts w:hint="eastAsia"/>
                <w:color w:val="000000" w:themeColor="text1"/>
                <w:sz w:val="24"/>
                <w:szCs w:val="24"/>
                <w:highlight w:val="none"/>
                <w:lang w:val="en-US" w:eastAsia="zh-CN"/>
              </w:rPr>
              <w:t>数据更新项目</w:t>
            </w:r>
            <w:r>
              <w:rPr>
                <w:rFonts w:hint="eastAsia"/>
                <w:color w:val="000000" w:themeColor="text1"/>
                <w:sz w:val="24"/>
                <w:szCs w:val="24"/>
                <w:highlight w:val="none"/>
              </w:rPr>
              <w:t>》中的监测数据，监测点位位于本项目西</w:t>
            </w:r>
            <w:r>
              <w:rPr>
                <w:rFonts w:hint="eastAsia"/>
                <w:color w:val="000000" w:themeColor="text1"/>
                <w:sz w:val="24"/>
                <w:szCs w:val="24"/>
                <w:highlight w:val="none"/>
                <w:lang w:val="en-US" w:eastAsia="zh-CN"/>
              </w:rPr>
              <w:t>南</w:t>
            </w:r>
            <w:r>
              <w:rPr>
                <w:rFonts w:hint="eastAsia"/>
                <w:color w:val="000000" w:themeColor="text1"/>
                <w:sz w:val="24"/>
                <w:szCs w:val="24"/>
                <w:highlight w:val="none"/>
              </w:rPr>
              <w:t>侧</w:t>
            </w:r>
            <w:r>
              <w:rPr>
                <w:rFonts w:hint="eastAsia"/>
                <w:color w:val="000000" w:themeColor="text1"/>
                <w:sz w:val="24"/>
                <w:szCs w:val="24"/>
                <w:highlight w:val="none"/>
                <w:lang w:val="en-US" w:eastAsia="zh-CN"/>
              </w:rPr>
              <w:t>2294</w:t>
            </w:r>
            <w:r>
              <w:rPr>
                <w:rFonts w:hint="eastAsia"/>
                <w:color w:val="000000" w:themeColor="text1"/>
                <w:sz w:val="24"/>
                <w:szCs w:val="24"/>
                <w:highlight w:val="none"/>
              </w:rPr>
              <w:t>m的</w:t>
            </w:r>
            <w:r>
              <w:rPr>
                <w:rFonts w:hint="eastAsia"/>
                <w:color w:val="000000" w:themeColor="text1"/>
                <w:sz w:val="24"/>
                <w:szCs w:val="24"/>
                <w:highlight w:val="none"/>
                <w:lang w:val="en-US" w:eastAsia="zh-CN"/>
              </w:rPr>
              <w:t>外晒村</w:t>
            </w:r>
            <w:r>
              <w:rPr>
                <w:rFonts w:hint="eastAsia"/>
                <w:color w:val="000000" w:themeColor="text1"/>
                <w:sz w:val="24"/>
                <w:szCs w:val="24"/>
                <w:highlight w:val="none"/>
              </w:rPr>
              <w:t>，监测时间为202</w:t>
            </w:r>
            <w:r>
              <w:rPr>
                <w:rFonts w:hint="eastAsia"/>
                <w:color w:val="000000" w:themeColor="text1"/>
                <w:sz w:val="24"/>
                <w:szCs w:val="24"/>
                <w:highlight w:val="none"/>
                <w:lang w:val="en-US" w:eastAsia="zh-CN"/>
              </w:rPr>
              <w:t>4</w:t>
            </w:r>
            <w:r>
              <w:rPr>
                <w:rFonts w:hint="eastAsia"/>
                <w:color w:val="000000" w:themeColor="text1"/>
                <w:sz w:val="24"/>
                <w:szCs w:val="24"/>
                <w:highlight w:val="none"/>
              </w:rPr>
              <w:t>.</w:t>
            </w:r>
            <w:r>
              <w:rPr>
                <w:rFonts w:hint="eastAsia"/>
                <w:color w:val="000000" w:themeColor="text1"/>
                <w:sz w:val="24"/>
                <w:szCs w:val="24"/>
                <w:highlight w:val="none"/>
                <w:lang w:val="en-US" w:eastAsia="zh-CN"/>
              </w:rPr>
              <w:t>02</w:t>
            </w:r>
            <w:r>
              <w:rPr>
                <w:rFonts w:hint="eastAsia"/>
                <w:color w:val="000000" w:themeColor="text1"/>
                <w:sz w:val="24"/>
                <w:szCs w:val="24"/>
                <w:highlight w:val="none"/>
              </w:rPr>
              <w:t>.2</w:t>
            </w:r>
            <w:r>
              <w:rPr>
                <w:rFonts w:hint="eastAsia"/>
                <w:color w:val="000000" w:themeColor="text1"/>
                <w:sz w:val="24"/>
                <w:szCs w:val="24"/>
                <w:highlight w:val="none"/>
                <w:lang w:val="en-US" w:eastAsia="zh-CN"/>
              </w:rPr>
              <w:t>9</w:t>
            </w:r>
            <w:r>
              <w:rPr>
                <w:rFonts w:hint="eastAsia"/>
                <w:color w:val="000000" w:themeColor="text1"/>
                <w:sz w:val="24"/>
                <w:szCs w:val="24"/>
                <w:highlight w:val="none"/>
              </w:rPr>
              <w:t>~202</w:t>
            </w:r>
            <w:r>
              <w:rPr>
                <w:rFonts w:hint="eastAsia"/>
                <w:color w:val="000000" w:themeColor="text1"/>
                <w:sz w:val="24"/>
                <w:szCs w:val="24"/>
                <w:highlight w:val="none"/>
                <w:lang w:val="en-US" w:eastAsia="zh-CN"/>
              </w:rPr>
              <w:t>4.03.06</w:t>
            </w:r>
            <w:r>
              <w:rPr>
                <w:rFonts w:hint="eastAsia"/>
                <w:color w:val="000000" w:themeColor="text1"/>
                <w:sz w:val="24"/>
                <w:szCs w:val="24"/>
                <w:highlight w:val="none"/>
              </w:rPr>
              <w:t>。</w:t>
            </w:r>
          </w:p>
          <w:p w14:paraId="36AB983D">
            <w:pPr>
              <w:keepNext w:val="0"/>
              <w:keepLines w:val="0"/>
              <w:pageBreakBefore w:val="0"/>
              <w:kinsoku/>
              <w:wordWrap/>
              <w:overflowPunct/>
              <w:topLinePunct w:val="0"/>
              <w:autoSpaceDE/>
              <w:autoSpaceDN/>
              <w:bidi w:val="0"/>
              <w:spacing w:line="360" w:lineRule="auto"/>
              <w:ind w:right="0" w:firstLine="480" w:firstLineChars="200"/>
              <w:jc w:val="both"/>
              <w:textAlignment w:val="auto"/>
              <w:rPr>
                <w:color w:val="000000" w:themeColor="text1"/>
                <w:sz w:val="24"/>
                <w:highlight w:val="none"/>
              </w:rPr>
            </w:pPr>
            <w:r>
              <w:rPr>
                <w:rFonts w:hint="eastAsia"/>
                <w:color w:val="000000" w:themeColor="text1"/>
                <w:sz w:val="24"/>
                <w:highlight w:val="none"/>
              </w:rPr>
              <w:t>根据《建设项目环境影响报告表编制技术指南（污染影响类）</w:t>
            </w:r>
            <w:r>
              <w:rPr>
                <w:rFonts w:hint="eastAsia"/>
                <w:color w:val="000000" w:themeColor="text1"/>
                <w:sz w:val="24"/>
                <w:highlight w:val="none"/>
                <w:lang w:eastAsia="zh-CN"/>
              </w:rPr>
              <w:t>（试行）》</w:t>
            </w:r>
            <w:r>
              <w:rPr>
                <w:rFonts w:hint="eastAsia"/>
                <w:color w:val="000000" w:themeColor="text1"/>
                <w:sz w:val="24"/>
                <w:highlight w:val="none"/>
              </w:rPr>
              <w:t>：“引用建设项目周边5千米范围内近3年的现有监测数据”，本项目引用的监测点位于本项目周边5千米范围内且为近三年的有效数据，监测点位符合相关要求。</w:t>
            </w:r>
          </w:p>
          <w:p w14:paraId="27F2DCE8">
            <w:pPr>
              <w:pStyle w:val="161"/>
              <w:keepNext w:val="0"/>
              <w:keepLines w:val="0"/>
              <w:pageBreakBefore w:val="0"/>
              <w:kinsoku/>
              <w:wordWrap/>
              <w:overflowPunct/>
              <w:topLinePunct w:val="0"/>
              <w:autoSpaceDE/>
              <w:autoSpaceDN/>
              <w:bidi w:val="0"/>
              <w:spacing w:line="360" w:lineRule="auto"/>
              <w:ind w:right="0"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环境空气监测结果见下表。 </w:t>
            </w:r>
          </w:p>
          <w:p w14:paraId="7F105166">
            <w:pPr>
              <w:pStyle w:val="161"/>
              <w:keepNext w:val="0"/>
              <w:keepLines w:val="0"/>
              <w:pageBreakBefore w:val="0"/>
              <w:kinsoku/>
              <w:wordWrap/>
              <w:overflowPunct/>
              <w:topLinePunct w:val="0"/>
              <w:autoSpaceDE/>
              <w:autoSpaceDN/>
              <w:bidi w:val="0"/>
              <w:spacing w:line="360" w:lineRule="auto"/>
              <w:ind w:left="0" w:leftChars="0" w:right="0" w:firstLine="480" w:firstLineChars="200"/>
              <w:jc w:val="both"/>
              <w:textAlignment w:val="auto"/>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eastAsia" w:ascii="Times New Roman" w:hAnsi="Times New Roman" w:eastAsia="宋体" w:cs="Times New Roman"/>
                <w:snapToGrid w:val="0"/>
                <w:color w:val="000000" w:themeColor="text1"/>
                <w:kern w:val="0"/>
                <w:sz w:val="24"/>
                <w:szCs w:val="24"/>
                <w:highlight w:val="none"/>
                <w:lang w:val="en-US" w:eastAsia="zh-CN" w:bidi="ar-SA"/>
              </w:rPr>
              <w:t xml:space="preserve">①监测布点 </w:t>
            </w:r>
          </w:p>
          <w:p w14:paraId="5BD9706A">
            <w:pPr>
              <w:pStyle w:val="161"/>
              <w:keepNext w:val="0"/>
              <w:keepLines w:val="0"/>
              <w:pageBreakBefore w:val="0"/>
              <w:kinsoku/>
              <w:wordWrap/>
              <w:overflowPunct/>
              <w:topLinePunct w:val="0"/>
              <w:autoSpaceDE/>
              <w:autoSpaceDN/>
              <w:bidi w:val="0"/>
              <w:spacing w:line="360" w:lineRule="auto"/>
              <w:ind w:right="0" w:firstLine="480" w:firstLineChars="200"/>
              <w:jc w:val="both"/>
              <w:textAlignment w:val="auto"/>
              <w:rPr>
                <w:rFonts w:hint="eastAsia" w:ascii="Times New Roman" w:hAnsi="Times New Roman" w:eastAsia="宋体" w:cs="Times New Roman"/>
                <w:snapToGrid w:val="0"/>
                <w:color w:val="000000" w:themeColor="text1"/>
                <w:kern w:val="0"/>
                <w:sz w:val="24"/>
                <w:szCs w:val="24"/>
                <w:highlight w:val="none"/>
                <w:lang w:val="en-US" w:eastAsia="zh-CN" w:bidi="ar-SA"/>
              </w:rPr>
            </w:pPr>
            <w:r>
              <w:rPr>
                <w:rFonts w:hint="eastAsia" w:ascii="Times New Roman" w:hAnsi="Times New Roman" w:eastAsia="宋体" w:cs="Times New Roman"/>
                <w:snapToGrid w:val="0"/>
                <w:color w:val="000000" w:themeColor="text1"/>
                <w:kern w:val="0"/>
                <w:sz w:val="24"/>
                <w:szCs w:val="24"/>
                <w:highlight w:val="none"/>
                <w:lang w:val="en-US" w:eastAsia="zh-CN" w:bidi="ar-SA"/>
              </w:rPr>
              <w:t>环境空气质量现状监测点位中的</w:t>
            </w:r>
            <w:r>
              <w:rPr>
                <w:rFonts w:hint="eastAsia" w:cs="Times New Roman"/>
                <w:snapToGrid w:val="0"/>
                <w:color w:val="000000" w:themeColor="text1"/>
                <w:kern w:val="0"/>
                <w:sz w:val="24"/>
                <w:szCs w:val="24"/>
                <w:highlight w:val="none"/>
                <w:lang w:val="en-US" w:eastAsia="zh-CN" w:bidi="ar-SA"/>
              </w:rPr>
              <w:t>1</w:t>
            </w:r>
            <w:r>
              <w:rPr>
                <w:rFonts w:hint="eastAsia" w:ascii="Times New Roman" w:hAnsi="Times New Roman" w:eastAsia="宋体" w:cs="Times New Roman"/>
                <w:snapToGrid w:val="0"/>
                <w:color w:val="000000" w:themeColor="text1"/>
                <w:kern w:val="0"/>
                <w:sz w:val="24"/>
                <w:szCs w:val="24"/>
                <w:highlight w:val="none"/>
                <w:lang w:val="en-US" w:eastAsia="zh-CN" w:bidi="ar-SA"/>
              </w:rPr>
              <w:t>个监测点（</w:t>
            </w:r>
            <w:r>
              <w:rPr>
                <w:rFonts w:hint="default" w:ascii="Times New Roman" w:hAnsi="Times New Roman" w:eastAsia="宋体" w:cs="Times New Roman"/>
                <w:snapToGrid w:val="0"/>
                <w:color w:val="000000" w:themeColor="text1"/>
                <w:kern w:val="0"/>
                <w:sz w:val="24"/>
                <w:szCs w:val="24"/>
                <w:highlight w:val="none"/>
                <w:lang w:val="en-US" w:eastAsia="zh-CN" w:bidi="ar-SA"/>
              </w:rPr>
              <w:t>A</w:t>
            </w:r>
            <w:r>
              <w:rPr>
                <w:rFonts w:hint="eastAsia" w:cs="Times New Roman"/>
                <w:snapToGrid w:val="0"/>
                <w:color w:val="000000" w:themeColor="text1"/>
                <w:kern w:val="0"/>
                <w:sz w:val="24"/>
                <w:szCs w:val="24"/>
                <w:highlight w:val="none"/>
                <w:lang w:val="en-US" w:eastAsia="zh-CN" w:bidi="ar-SA"/>
              </w:rPr>
              <w:t>1</w:t>
            </w:r>
            <w:r>
              <w:rPr>
                <w:rFonts w:hint="eastAsia" w:ascii="Times New Roman" w:hAnsi="Times New Roman" w:eastAsia="宋体" w:cs="Times New Roman"/>
                <w:snapToGrid w:val="0"/>
                <w:color w:val="000000" w:themeColor="text1"/>
                <w:kern w:val="0"/>
                <w:sz w:val="24"/>
                <w:szCs w:val="24"/>
                <w:highlight w:val="none"/>
                <w:lang w:val="en-US" w:eastAsia="zh-CN" w:bidi="ar-SA"/>
              </w:rPr>
              <w:t xml:space="preserve">）及监测项目见表 </w:t>
            </w:r>
            <w:r>
              <w:rPr>
                <w:rFonts w:hint="default" w:ascii="Times New Roman" w:hAnsi="Times New Roman" w:eastAsia="宋体" w:cs="Times New Roman"/>
                <w:snapToGrid w:val="0"/>
                <w:color w:val="000000" w:themeColor="text1"/>
                <w:kern w:val="0"/>
                <w:sz w:val="24"/>
                <w:szCs w:val="24"/>
                <w:highlight w:val="none"/>
                <w:lang w:val="en-US" w:eastAsia="zh-CN" w:bidi="ar-SA"/>
              </w:rPr>
              <w:t>3-2</w:t>
            </w:r>
            <w:r>
              <w:rPr>
                <w:rFonts w:hint="eastAsia" w:ascii="Times New Roman" w:hAnsi="Times New Roman" w:eastAsia="宋体" w:cs="Times New Roman"/>
                <w:snapToGrid w:val="0"/>
                <w:color w:val="000000" w:themeColor="text1"/>
                <w:kern w:val="0"/>
                <w:sz w:val="24"/>
                <w:szCs w:val="24"/>
                <w:highlight w:val="none"/>
                <w:lang w:val="en-US" w:eastAsia="zh-CN" w:bidi="ar-SA"/>
              </w:rPr>
              <w:t>、结果及评价列于表</w:t>
            </w:r>
            <w:r>
              <w:rPr>
                <w:rFonts w:hint="default" w:ascii="Times New Roman" w:hAnsi="Times New Roman" w:eastAsia="宋体" w:cs="Times New Roman"/>
                <w:snapToGrid w:val="0"/>
                <w:color w:val="000000" w:themeColor="text1"/>
                <w:kern w:val="0"/>
                <w:sz w:val="24"/>
                <w:szCs w:val="24"/>
                <w:highlight w:val="none"/>
                <w:lang w:val="en-US" w:eastAsia="zh-CN" w:bidi="ar-SA"/>
              </w:rPr>
              <w:t>3-</w:t>
            </w:r>
            <w:r>
              <w:rPr>
                <w:rFonts w:hint="eastAsia" w:cs="Times New Roman"/>
                <w:snapToGrid w:val="0"/>
                <w:color w:val="000000" w:themeColor="text1"/>
                <w:kern w:val="0"/>
                <w:sz w:val="24"/>
                <w:szCs w:val="24"/>
                <w:highlight w:val="none"/>
                <w:lang w:val="en-US" w:eastAsia="zh-CN" w:bidi="ar-SA"/>
              </w:rPr>
              <w:t>4</w:t>
            </w:r>
            <w:r>
              <w:rPr>
                <w:rFonts w:hint="eastAsia" w:ascii="Times New Roman" w:hAnsi="Times New Roman" w:eastAsia="宋体" w:cs="Times New Roman"/>
                <w:snapToGrid w:val="0"/>
                <w:color w:val="000000" w:themeColor="text1"/>
                <w:kern w:val="0"/>
                <w:sz w:val="24"/>
                <w:szCs w:val="24"/>
                <w:highlight w:val="none"/>
                <w:lang w:val="en-US" w:eastAsia="zh-CN" w:bidi="ar-SA"/>
              </w:rPr>
              <w:t xml:space="preserve">。 </w:t>
            </w:r>
          </w:p>
          <w:p w14:paraId="1ADB0875">
            <w:pPr>
              <w:pStyle w:val="1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color w:val="000000" w:themeColor="text1"/>
                <w:sz w:val="21"/>
                <w:szCs w:val="21"/>
                <w:highlight w:val="none"/>
                <w:lang w:val="en-US" w:eastAsia="zh-CN"/>
              </w:rPr>
            </w:pPr>
            <w:r>
              <w:rPr>
                <w:rFonts w:hint="eastAsia" w:ascii="Times New Roman" w:hAnsi="Times New Roman" w:eastAsia="宋体" w:cs="Times New Roman"/>
                <w:b/>
                <w:bCs w:val="0"/>
                <w:color w:val="000000" w:themeColor="text1"/>
                <w:sz w:val="21"/>
                <w:szCs w:val="21"/>
                <w:highlight w:val="none"/>
                <w:lang w:val="en-US" w:eastAsia="zh-CN"/>
              </w:rPr>
              <w:t xml:space="preserve">表 </w:t>
            </w:r>
            <w:r>
              <w:rPr>
                <w:rFonts w:hint="default" w:ascii="Times New Roman" w:hAnsi="Times New Roman" w:eastAsia="宋体" w:cs="Times New Roman"/>
                <w:b/>
                <w:bCs w:val="0"/>
                <w:color w:val="000000" w:themeColor="text1"/>
                <w:sz w:val="21"/>
                <w:szCs w:val="21"/>
                <w:highlight w:val="none"/>
                <w:lang w:val="en-US" w:eastAsia="zh-CN"/>
              </w:rPr>
              <w:t xml:space="preserve">3-2 </w:t>
            </w:r>
            <w:r>
              <w:rPr>
                <w:rFonts w:hint="eastAsia" w:ascii="Times New Roman" w:hAnsi="Times New Roman" w:eastAsia="宋体" w:cs="Times New Roman"/>
                <w:b/>
                <w:bCs w:val="0"/>
                <w:color w:val="000000" w:themeColor="text1"/>
                <w:sz w:val="21"/>
                <w:szCs w:val="21"/>
                <w:highlight w:val="none"/>
                <w:lang w:val="en-US" w:eastAsia="zh-CN"/>
              </w:rPr>
              <w:t xml:space="preserve">  空气环境现状监测点位及项目</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00"/>
              <w:gridCol w:w="1664"/>
              <w:gridCol w:w="1651"/>
              <w:gridCol w:w="1095"/>
              <w:gridCol w:w="1275"/>
              <w:gridCol w:w="854"/>
              <w:gridCol w:w="1018"/>
            </w:tblGrid>
            <w:tr w14:paraId="296143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dxa"/>
                  <w:vMerge w:val="restart"/>
                  <w:noWrap w:val="0"/>
                  <w:vAlign w:val="center"/>
                </w:tcPr>
                <w:p w14:paraId="46F1A487">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监测点位</w:t>
                  </w:r>
                </w:p>
              </w:tc>
              <w:tc>
                <w:tcPr>
                  <w:tcW w:w="3315" w:type="dxa"/>
                  <w:gridSpan w:val="2"/>
                  <w:noWrap w:val="0"/>
                  <w:vAlign w:val="center"/>
                </w:tcPr>
                <w:p w14:paraId="715A5903">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坐标</w:t>
                  </w:r>
                </w:p>
              </w:tc>
              <w:tc>
                <w:tcPr>
                  <w:tcW w:w="1095" w:type="dxa"/>
                  <w:vMerge w:val="restart"/>
                  <w:noWrap w:val="0"/>
                  <w:vAlign w:val="center"/>
                </w:tcPr>
                <w:p w14:paraId="397FFFD6">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监测因子</w:t>
                  </w:r>
                </w:p>
              </w:tc>
              <w:tc>
                <w:tcPr>
                  <w:tcW w:w="1275" w:type="dxa"/>
                  <w:vMerge w:val="restart"/>
                  <w:noWrap w:val="0"/>
                  <w:vAlign w:val="center"/>
                </w:tcPr>
                <w:p w14:paraId="7AB4C777">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监测时段</w:t>
                  </w:r>
                </w:p>
              </w:tc>
              <w:tc>
                <w:tcPr>
                  <w:tcW w:w="854" w:type="dxa"/>
                  <w:vMerge w:val="restart"/>
                  <w:noWrap w:val="0"/>
                  <w:vAlign w:val="center"/>
                </w:tcPr>
                <w:p w14:paraId="456D7723">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相对厂址方位</w:t>
                  </w:r>
                </w:p>
              </w:tc>
              <w:tc>
                <w:tcPr>
                  <w:tcW w:w="1018" w:type="dxa"/>
                  <w:vMerge w:val="restart"/>
                  <w:noWrap w:val="0"/>
                  <w:vAlign w:val="center"/>
                </w:tcPr>
                <w:p w14:paraId="142107E2">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相对厂界距离</w:t>
                  </w:r>
                </w:p>
              </w:tc>
            </w:tr>
            <w:tr w14:paraId="739E8F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dxa"/>
                  <w:vMerge w:val="continue"/>
                  <w:noWrap w:val="0"/>
                  <w:vAlign w:val="center"/>
                </w:tcPr>
                <w:p w14:paraId="4EA490A3">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Cs/>
                      <w:color w:val="000000" w:themeColor="text1"/>
                      <w:sz w:val="21"/>
                      <w:szCs w:val="21"/>
                      <w:highlight w:val="none"/>
                    </w:rPr>
                  </w:pPr>
                </w:p>
              </w:tc>
              <w:tc>
                <w:tcPr>
                  <w:tcW w:w="1664" w:type="dxa"/>
                  <w:noWrap w:val="0"/>
                  <w:vAlign w:val="center"/>
                </w:tcPr>
                <w:p w14:paraId="09DC7F29">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经度</w:t>
                  </w:r>
                </w:p>
              </w:tc>
              <w:tc>
                <w:tcPr>
                  <w:tcW w:w="1651" w:type="dxa"/>
                  <w:noWrap w:val="0"/>
                  <w:vAlign w:val="center"/>
                </w:tcPr>
                <w:p w14:paraId="3ACB59AE">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
                      <w:color w:val="000000" w:themeColor="text1"/>
                      <w:sz w:val="21"/>
                      <w:szCs w:val="21"/>
                      <w:highlight w:val="none"/>
                    </w:rPr>
                  </w:pPr>
                  <w:r>
                    <w:rPr>
                      <w:b/>
                      <w:color w:val="000000" w:themeColor="text1"/>
                      <w:sz w:val="21"/>
                      <w:szCs w:val="21"/>
                      <w:highlight w:val="none"/>
                    </w:rPr>
                    <w:t>纬度</w:t>
                  </w:r>
                </w:p>
              </w:tc>
              <w:tc>
                <w:tcPr>
                  <w:tcW w:w="1095" w:type="dxa"/>
                  <w:vMerge w:val="continue"/>
                  <w:noWrap w:val="0"/>
                  <w:vAlign w:val="center"/>
                </w:tcPr>
                <w:p w14:paraId="00B67A9D">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Cs/>
                      <w:color w:val="000000" w:themeColor="text1"/>
                      <w:sz w:val="21"/>
                      <w:szCs w:val="21"/>
                      <w:highlight w:val="none"/>
                    </w:rPr>
                  </w:pPr>
                </w:p>
              </w:tc>
              <w:tc>
                <w:tcPr>
                  <w:tcW w:w="1275" w:type="dxa"/>
                  <w:vMerge w:val="continue"/>
                  <w:noWrap w:val="0"/>
                  <w:vAlign w:val="center"/>
                </w:tcPr>
                <w:p w14:paraId="7787810B">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Cs/>
                      <w:color w:val="000000" w:themeColor="text1"/>
                      <w:sz w:val="21"/>
                      <w:szCs w:val="21"/>
                      <w:highlight w:val="none"/>
                    </w:rPr>
                  </w:pPr>
                </w:p>
              </w:tc>
              <w:tc>
                <w:tcPr>
                  <w:tcW w:w="854" w:type="dxa"/>
                  <w:vMerge w:val="continue"/>
                  <w:noWrap w:val="0"/>
                  <w:vAlign w:val="center"/>
                </w:tcPr>
                <w:p w14:paraId="33CC0685">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Cs/>
                      <w:color w:val="000000" w:themeColor="text1"/>
                      <w:sz w:val="21"/>
                      <w:szCs w:val="21"/>
                      <w:highlight w:val="none"/>
                    </w:rPr>
                  </w:pPr>
                </w:p>
              </w:tc>
              <w:tc>
                <w:tcPr>
                  <w:tcW w:w="1018" w:type="dxa"/>
                  <w:vMerge w:val="continue"/>
                  <w:noWrap w:val="0"/>
                  <w:vAlign w:val="center"/>
                </w:tcPr>
                <w:p w14:paraId="1F5DBC3E">
                  <w:pPr>
                    <w:keepNext w:val="0"/>
                    <w:keepLines w:val="0"/>
                    <w:pageBreakBefore w:val="0"/>
                    <w:widowControl w:val="0"/>
                    <w:kinsoku/>
                    <w:wordWrap/>
                    <w:overflowPunct/>
                    <w:topLinePunct w:val="0"/>
                    <w:autoSpaceDE/>
                    <w:autoSpaceDN/>
                    <w:bidi w:val="0"/>
                    <w:snapToGrid w:val="0"/>
                    <w:spacing w:line="240" w:lineRule="auto"/>
                    <w:ind w:firstLine="0" w:firstLineChars="0"/>
                    <w:jc w:val="center"/>
                    <w:rPr>
                      <w:bCs/>
                      <w:color w:val="000000" w:themeColor="text1"/>
                      <w:sz w:val="21"/>
                      <w:szCs w:val="21"/>
                      <w:highlight w:val="none"/>
                    </w:rPr>
                  </w:pPr>
                </w:p>
              </w:tc>
            </w:tr>
            <w:tr w14:paraId="787F42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dxa"/>
                  <w:vMerge w:val="restart"/>
                  <w:noWrap w:val="0"/>
                  <w:vAlign w:val="center"/>
                </w:tcPr>
                <w:p w14:paraId="2455FF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olor w:val="000000" w:themeColor="text1"/>
                      <w:sz w:val="21"/>
                      <w:szCs w:val="21"/>
                      <w:highlight w:val="none"/>
                      <w:lang w:eastAsia="zh-CN"/>
                    </w:rPr>
                  </w:pPr>
                  <w:r>
                    <w:rPr>
                      <w:rFonts w:hint="eastAsia" w:eastAsia="宋体"/>
                      <w:color w:val="000000" w:themeColor="text1"/>
                      <w:sz w:val="21"/>
                      <w:szCs w:val="21"/>
                      <w:highlight w:val="none"/>
                      <w:lang w:val="en-US" w:eastAsia="zh-CN"/>
                    </w:rPr>
                    <w:t>外晒</w:t>
                  </w:r>
                  <w:r>
                    <w:rPr>
                      <w:rFonts w:hint="eastAsia" w:eastAsia="宋体"/>
                      <w:color w:val="000000" w:themeColor="text1"/>
                      <w:sz w:val="21"/>
                      <w:szCs w:val="21"/>
                      <w:highlight w:val="none"/>
                      <w:lang w:eastAsia="zh-CN"/>
                    </w:rPr>
                    <w:t>村</w:t>
                  </w:r>
                </w:p>
              </w:tc>
              <w:tc>
                <w:tcPr>
                  <w:tcW w:w="1664" w:type="dxa"/>
                  <w:vMerge w:val="restart"/>
                  <w:noWrap w:val="0"/>
                  <w:vAlign w:val="center"/>
                </w:tcPr>
                <w:p w14:paraId="4A9295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color w:val="000000" w:themeColor="text1"/>
                      <w:kern w:val="2"/>
                      <w:sz w:val="21"/>
                      <w:szCs w:val="21"/>
                      <w:highlight w:val="none"/>
                      <w:lang w:val="en-US" w:eastAsia="zh-CN" w:bidi="ar-SA"/>
                    </w:rPr>
                  </w:pPr>
                  <w:r>
                    <w:rPr>
                      <w:color w:val="000000" w:themeColor="text1"/>
                      <w:sz w:val="21"/>
                      <w:szCs w:val="21"/>
                      <w:highlight w:val="none"/>
                    </w:rPr>
                    <w:t>E</w:t>
                  </w:r>
                  <w:r>
                    <w:rPr>
                      <w:rFonts w:hint="default" w:ascii="Times New Roman" w:hAnsi="Times New Roman" w:cs="Times New Roman"/>
                      <w:color w:val="000000" w:themeColor="text1"/>
                      <w:sz w:val="21"/>
                      <w:szCs w:val="21"/>
                      <w:highlight w:val="none"/>
                    </w:rPr>
                    <w:t>115°44′2.956″</w:t>
                  </w:r>
                </w:p>
              </w:tc>
              <w:tc>
                <w:tcPr>
                  <w:tcW w:w="1651" w:type="dxa"/>
                  <w:vMerge w:val="restart"/>
                  <w:noWrap w:val="0"/>
                  <w:vAlign w:val="center"/>
                </w:tcPr>
                <w:p w14:paraId="09ADBD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color w:val="000000" w:themeColor="text1"/>
                      <w:kern w:val="2"/>
                      <w:sz w:val="21"/>
                      <w:szCs w:val="21"/>
                      <w:highlight w:val="none"/>
                      <w:lang w:val="en-US" w:eastAsia="zh-CN" w:bidi="ar-SA"/>
                    </w:rPr>
                  </w:pPr>
                  <w:r>
                    <w:rPr>
                      <w:color w:val="000000" w:themeColor="text1"/>
                      <w:sz w:val="21"/>
                      <w:szCs w:val="21"/>
                      <w:highlight w:val="none"/>
                    </w:rPr>
                    <w:t>N</w:t>
                  </w:r>
                  <w:r>
                    <w:rPr>
                      <w:rFonts w:hint="default" w:ascii="Times New Roman" w:hAnsi="Times New Roman" w:cs="Times New Roman"/>
                      <w:color w:val="000000" w:themeColor="text1"/>
                      <w:sz w:val="21"/>
                      <w:szCs w:val="21"/>
                      <w:highlight w:val="none"/>
                    </w:rPr>
                    <w:t>29°45′28.407″</w:t>
                  </w:r>
                </w:p>
              </w:tc>
              <w:tc>
                <w:tcPr>
                  <w:tcW w:w="1095" w:type="dxa"/>
                  <w:noWrap w:val="0"/>
                  <w:vAlign w:val="center"/>
                </w:tcPr>
                <w:p w14:paraId="0581133E">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default"/>
                      <w:bCs/>
                      <w:color w:val="000000" w:themeColor="text1"/>
                      <w:kern w:val="2"/>
                      <w:sz w:val="21"/>
                      <w:szCs w:val="21"/>
                      <w:highlight w:val="none"/>
                      <w:lang w:val="en-US" w:eastAsia="zh-CN" w:bidi="ar-SA"/>
                    </w:rPr>
                  </w:pPr>
                  <w:r>
                    <w:rPr>
                      <w:rFonts w:hint="eastAsia"/>
                      <w:bCs/>
                      <w:color w:val="000000" w:themeColor="text1"/>
                      <w:sz w:val="21"/>
                      <w:szCs w:val="21"/>
                      <w:highlight w:val="none"/>
                      <w:lang w:val="en-US" w:eastAsia="zh-CN"/>
                    </w:rPr>
                    <w:t>TSP</w:t>
                  </w:r>
                </w:p>
              </w:tc>
              <w:tc>
                <w:tcPr>
                  <w:tcW w:w="1275" w:type="dxa"/>
                  <w:noWrap w:val="0"/>
                  <w:vAlign w:val="center"/>
                </w:tcPr>
                <w:p w14:paraId="4FC55C2F">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eastAsia"/>
                      <w:color w:val="000000" w:themeColor="text1"/>
                      <w:kern w:val="2"/>
                      <w:sz w:val="21"/>
                      <w:szCs w:val="21"/>
                      <w:highlight w:val="none"/>
                      <w:lang w:val="en-US" w:eastAsia="zh-CN" w:bidi="ar-SA"/>
                    </w:rPr>
                  </w:pPr>
                  <w:r>
                    <w:rPr>
                      <w:rFonts w:hint="eastAsia"/>
                      <w:color w:val="000000" w:themeColor="text1"/>
                      <w:sz w:val="21"/>
                      <w:szCs w:val="21"/>
                      <w:highlight w:val="none"/>
                      <w:lang w:val="en-US" w:eastAsia="zh-CN"/>
                    </w:rPr>
                    <w:t>日均值</w:t>
                  </w:r>
                </w:p>
              </w:tc>
              <w:tc>
                <w:tcPr>
                  <w:tcW w:w="854" w:type="dxa"/>
                  <w:vMerge w:val="restart"/>
                  <w:noWrap w:val="0"/>
                  <w:vAlign w:val="center"/>
                </w:tcPr>
                <w:p w14:paraId="7764A8FD">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eastAsia" w:eastAsia="宋体"/>
                      <w:color w:val="000000" w:themeColor="text1"/>
                      <w:sz w:val="21"/>
                      <w:szCs w:val="21"/>
                      <w:highlight w:val="none"/>
                      <w:lang w:eastAsia="zh-CN"/>
                    </w:rPr>
                  </w:pPr>
                  <w:r>
                    <w:rPr>
                      <w:rFonts w:hint="eastAsia"/>
                      <w:color w:val="000000" w:themeColor="text1"/>
                      <w:sz w:val="21"/>
                      <w:szCs w:val="21"/>
                      <w:highlight w:val="none"/>
                      <w:lang w:val="en-US" w:eastAsia="zh-CN"/>
                    </w:rPr>
                    <w:t>西南</w:t>
                  </w:r>
                  <w:r>
                    <w:rPr>
                      <w:rFonts w:hint="eastAsia"/>
                      <w:color w:val="000000" w:themeColor="text1"/>
                      <w:sz w:val="21"/>
                      <w:szCs w:val="21"/>
                      <w:highlight w:val="none"/>
                      <w:lang w:eastAsia="zh-CN"/>
                    </w:rPr>
                    <w:t>面</w:t>
                  </w:r>
                </w:p>
              </w:tc>
              <w:tc>
                <w:tcPr>
                  <w:tcW w:w="1018" w:type="dxa"/>
                  <w:vMerge w:val="restart"/>
                  <w:noWrap w:val="0"/>
                  <w:vAlign w:val="center"/>
                </w:tcPr>
                <w:p w14:paraId="64684C97">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2290m</w:t>
                  </w:r>
                </w:p>
              </w:tc>
            </w:tr>
            <w:tr w14:paraId="22ECE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dxa"/>
                  <w:vMerge w:val="continue"/>
                  <w:noWrap w:val="0"/>
                  <w:vAlign w:val="center"/>
                </w:tcPr>
                <w:p w14:paraId="48C946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rFonts w:hint="eastAsia" w:eastAsia="宋体"/>
                      <w:color w:val="000000" w:themeColor="text1"/>
                      <w:sz w:val="21"/>
                      <w:szCs w:val="21"/>
                      <w:highlight w:val="none"/>
                      <w:lang w:val="en-US" w:eastAsia="zh-CN"/>
                    </w:rPr>
                  </w:pPr>
                </w:p>
              </w:tc>
              <w:tc>
                <w:tcPr>
                  <w:tcW w:w="1664" w:type="dxa"/>
                  <w:vMerge w:val="continue"/>
                  <w:noWrap w:val="0"/>
                  <w:vAlign w:val="center"/>
                </w:tcPr>
                <w:p w14:paraId="56B4B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color w:val="000000" w:themeColor="text1"/>
                      <w:sz w:val="21"/>
                      <w:szCs w:val="21"/>
                      <w:highlight w:val="none"/>
                    </w:rPr>
                  </w:pPr>
                </w:p>
              </w:tc>
              <w:tc>
                <w:tcPr>
                  <w:tcW w:w="1651" w:type="dxa"/>
                  <w:vMerge w:val="continue"/>
                  <w:noWrap w:val="0"/>
                  <w:vAlign w:val="center"/>
                </w:tcPr>
                <w:p w14:paraId="1DDB62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center"/>
                    <w:rPr>
                      <w:color w:val="000000" w:themeColor="text1"/>
                      <w:sz w:val="21"/>
                      <w:szCs w:val="21"/>
                      <w:highlight w:val="none"/>
                    </w:rPr>
                  </w:pPr>
                </w:p>
              </w:tc>
              <w:tc>
                <w:tcPr>
                  <w:tcW w:w="1095" w:type="dxa"/>
                  <w:noWrap w:val="0"/>
                  <w:vAlign w:val="center"/>
                </w:tcPr>
                <w:p w14:paraId="2E6A3DE3">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default"/>
                      <w:bCs/>
                      <w:color w:val="000000" w:themeColor="text1"/>
                      <w:sz w:val="21"/>
                      <w:szCs w:val="21"/>
                      <w:highlight w:val="none"/>
                      <w:lang w:val="en-US" w:eastAsia="zh-CN"/>
                    </w:rPr>
                  </w:pPr>
                  <w:r>
                    <w:rPr>
                      <w:rFonts w:hint="eastAsia"/>
                      <w:bCs/>
                      <w:color w:val="000000" w:themeColor="text1"/>
                      <w:sz w:val="21"/>
                      <w:szCs w:val="21"/>
                      <w:highlight w:val="none"/>
                      <w:lang w:val="en-US" w:eastAsia="zh-CN"/>
                    </w:rPr>
                    <w:t>TVOC</w:t>
                  </w:r>
                </w:p>
              </w:tc>
              <w:tc>
                <w:tcPr>
                  <w:tcW w:w="1275" w:type="dxa"/>
                  <w:noWrap w:val="0"/>
                  <w:vAlign w:val="center"/>
                </w:tcPr>
                <w:p w14:paraId="37F4A684">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default"/>
                      <w:color w:val="000000" w:themeColor="text1"/>
                      <w:sz w:val="21"/>
                      <w:szCs w:val="21"/>
                      <w:highlight w:val="none"/>
                      <w:lang w:val="en-US" w:eastAsia="zh-CN"/>
                    </w:rPr>
                  </w:pPr>
                  <w:r>
                    <w:rPr>
                      <w:rFonts w:hint="eastAsia"/>
                      <w:color w:val="000000" w:themeColor="text1"/>
                      <w:sz w:val="21"/>
                      <w:szCs w:val="21"/>
                      <w:highlight w:val="none"/>
                      <w:lang w:val="en-US" w:eastAsia="zh-CN"/>
                    </w:rPr>
                    <w:t>8小时均值</w:t>
                  </w:r>
                </w:p>
              </w:tc>
              <w:tc>
                <w:tcPr>
                  <w:tcW w:w="854" w:type="dxa"/>
                  <w:vMerge w:val="continue"/>
                  <w:noWrap w:val="0"/>
                  <w:vAlign w:val="center"/>
                </w:tcPr>
                <w:p w14:paraId="1368C60D">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eastAsia"/>
                      <w:color w:val="000000" w:themeColor="text1"/>
                      <w:sz w:val="21"/>
                      <w:szCs w:val="21"/>
                      <w:highlight w:val="none"/>
                      <w:lang w:val="en-US" w:eastAsia="zh-CN"/>
                    </w:rPr>
                  </w:pPr>
                </w:p>
              </w:tc>
              <w:tc>
                <w:tcPr>
                  <w:tcW w:w="1018" w:type="dxa"/>
                  <w:vMerge w:val="continue"/>
                  <w:noWrap w:val="0"/>
                  <w:vAlign w:val="center"/>
                </w:tcPr>
                <w:p w14:paraId="48F2B6B6">
                  <w:pPr>
                    <w:keepNext w:val="0"/>
                    <w:keepLines w:val="0"/>
                    <w:pageBreakBefore w:val="0"/>
                    <w:widowControl w:val="0"/>
                    <w:kinsoku/>
                    <w:wordWrap/>
                    <w:overflowPunct/>
                    <w:topLinePunct w:val="0"/>
                    <w:autoSpaceDE/>
                    <w:autoSpaceDN/>
                    <w:bidi w:val="0"/>
                    <w:snapToGrid w:val="0"/>
                    <w:spacing w:line="240" w:lineRule="auto"/>
                    <w:ind w:firstLine="0" w:firstLineChars="0"/>
                    <w:jc w:val="center"/>
                    <w:rPr>
                      <w:rFonts w:hint="eastAsia"/>
                      <w:color w:val="000000" w:themeColor="text1"/>
                      <w:sz w:val="21"/>
                      <w:szCs w:val="21"/>
                      <w:highlight w:val="none"/>
                      <w:lang w:val="en-US" w:eastAsia="zh-CN"/>
                    </w:rPr>
                  </w:pPr>
                </w:p>
              </w:tc>
            </w:tr>
          </w:tbl>
          <w:p w14:paraId="1C5DED3E">
            <w:pPr>
              <w:pStyle w:val="161"/>
              <w:spacing w:line="360" w:lineRule="auto"/>
              <w:ind w:firstLine="480" w:firstLineChars="200"/>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②监测项目、时间、频次及方法 </w:t>
            </w:r>
          </w:p>
          <w:p w14:paraId="76C7F8FD">
            <w:pPr>
              <w:pStyle w:val="161"/>
              <w:spacing w:line="360" w:lineRule="auto"/>
              <w:ind w:firstLine="480" w:firstLineChars="200"/>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default" w:ascii="Times New Roman" w:hAnsi="Times New Roman" w:eastAsia="宋体" w:cs="Times New Roman"/>
                <w:snapToGrid w:val="0"/>
                <w:color w:val="000000" w:themeColor="text1"/>
                <w:kern w:val="0"/>
                <w:sz w:val="24"/>
                <w:szCs w:val="24"/>
                <w:highlight w:val="none"/>
                <w:lang w:val="en-US" w:eastAsia="zh-CN" w:bidi="ar-SA"/>
              </w:rPr>
              <w:t>监测项目：</w:t>
            </w:r>
            <w:r>
              <w:rPr>
                <w:rFonts w:hint="eastAsia" w:cs="Times New Roman"/>
                <w:snapToGrid w:val="0"/>
                <w:color w:val="000000" w:themeColor="text1"/>
                <w:kern w:val="0"/>
                <w:sz w:val="24"/>
                <w:szCs w:val="24"/>
                <w:highlight w:val="none"/>
                <w:lang w:val="en-US" w:eastAsia="zh-CN" w:bidi="ar-SA"/>
              </w:rPr>
              <w:t>TSP、TVOC</w:t>
            </w: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 </w:t>
            </w:r>
          </w:p>
          <w:p w14:paraId="10A59BCF">
            <w:pPr>
              <w:spacing w:line="360" w:lineRule="auto"/>
              <w:ind w:firstLine="480" w:firstLineChars="200"/>
              <w:rPr>
                <w:rFonts w:hint="default" w:ascii="Times New Roman" w:hAnsi="Times New Roman" w:eastAsia="宋体" w:cs="Times New Roman"/>
                <w:color w:val="000000" w:themeColor="text1"/>
                <w:sz w:val="24"/>
                <w:szCs w:val="24"/>
                <w:highlight w:val="none"/>
                <w:lang w:val="en-US"/>
              </w:rPr>
            </w:pPr>
            <w:r>
              <w:rPr>
                <w:rFonts w:hint="default" w:ascii="Times New Roman" w:hAnsi="Times New Roman" w:eastAsia="宋体" w:cs="Times New Roman"/>
                <w:snapToGrid w:val="0"/>
                <w:color w:val="000000" w:themeColor="text1"/>
                <w:kern w:val="0"/>
                <w:sz w:val="24"/>
                <w:szCs w:val="24"/>
                <w:highlight w:val="none"/>
                <w:lang w:val="en-US" w:eastAsia="zh-CN" w:bidi="ar-SA"/>
              </w:rPr>
              <w:t>监测频次：连续监测7天，其中报告监测</w:t>
            </w:r>
            <w:r>
              <w:rPr>
                <w:rFonts w:hint="eastAsia" w:cs="Times New Roman"/>
                <w:snapToGrid w:val="0"/>
                <w:color w:val="000000" w:themeColor="text1"/>
                <w:kern w:val="0"/>
                <w:sz w:val="24"/>
                <w:szCs w:val="24"/>
                <w:highlight w:val="none"/>
                <w:lang w:val="en-US" w:eastAsia="zh-CN" w:bidi="ar-SA"/>
              </w:rPr>
              <w:t>TSP24</w:t>
            </w:r>
            <w:r>
              <w:rPr>
                <w:rFonts w:hint="default" w:ascii="Times New Roman" w:hAnsi="Times New Roman" w:eastAsia="宋体" w:cs="Times New Roman"/>
                <w:snapToGrid w:val="0"/>
                <w:color w:val="000000" w:themeColor="text1"/>
                <w:kern w:val="0"/>
                <w:sz w:val="24"/>
                <w:szCs w:val="24"/>
                <w:highlight w:val="none"/>
                <w:lang w:val="en-US" w:eastAsia="zh-CN" w:bidi="ar-SA"/>
              </w:rPr>
              <w:t>小时平均浓度，采样时间不少于</w:t>
            </w:r>
            <w:r>
              <w:rPr>
                <w:rFonts w:hint="eastAsia" w:cs="Times New Roman"/>
                <w:snapToGrid w:val="0"/>
                <w:color w:val="000000" w:themeColor="text1"/>
                <w:kern w:val="0"/>
                <w:sz w:val="24"/>
                <w:szCs w:val="24"/>
                <w:highlight w:val="none"/>
                <w:lang w:val="en-US" w:eastAsia="zh-CN" w:bidi="ar-SA"/>
              </w:rPr>
              <w:t>24h；TVOC</w:t>
            </w: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 </w:t>
            </w:r>
            <w:r>
              <w:rPr>
                <w:rFonts w:hint="eastAsia" w:cs="Times New Roman"/>
                <w:snapToGrid w:val="0"/>
                <w:color w:val="000000" w:themeColor="text1"/>
                <w:kern w:val="0"/>
                <w:sz w:val="24"/>
                <w:szCs w:val="24"/>
                <w:highlight w:val="none"/>
                <w:lang w:val="en-US" w:eastAsia="zh-CN" w:bidi="ar-SA"/>
              </w:rPr>
              <w:t>8</w:t>
            </w:r>
            <w:r>
              <w:rPr>
                <w:rFonts w:hint="default" w:ascii="Times New Roman" w:hAnsi="Times New Roman" w:eastAsia="宋体" w:cs="Times New Roman"/>
                <w:snapToGrid w:val="0"/>
                <w:color w:val="000000" w:themeColor="text1"/>
                <w:kern w:val="0"/>
                <w:sz w:val="24"/>
                <w:szCs w:val="24"/>
                <w:highlight w:val="none"/>
                <w:lang w:val="en-US" w:eastAsia="zh-CN" w:bidi="ar-SA"/>
              </w:rPr>
              <w:t>小时平均浓度，采样时间不少于</w:t>
            </w:r>
            <w:r>
              <w:rPr>
                <w:rFonts w:hint="eastAsia" w:ascii="Times New Roman" w:hAnsi="Times New Roman" w:eastAsia="宋体" w:cs="Times New Roman"/>
                <w:snapToGrid w:val="0"/>
                <w:color w:val="000000" w:themeColor="text1"/>
                <w:kern w:val="0"/>
                <w:sz w:val="24"/>
                <w:szCs w:val="24"/>
                <w:highlight w:val="none"/>
                <w:lang w:val="en-US" w:eastAsia="zh-CN" w:bidi="ar-SA"/>
              </w:rPr>
              <w:t>6</w:t>
            </w:r>
            <w:r>
              <w:rPr>
                <w:rFonts w:hint="eastAsia" w:cs="Times New Roman"/>
                <w:snapToGrid w:val="0"/>
                <w:color w:val="000000" w:themeColor="text1"/>
                <w:kern w:val="0"/>
                <w:sz w:val="24"/>
                <w:szCs w:val="24"/>
                <w:highlight w:val="none"/>
                <w:lang w:val="en-US" w:eastAsia="zh-CN" w:bidi="ar-SA"/>
              </w:rPr>
              <w:t>h。</w:t>
            </w:r>
          </w:p>
          <w:p w14:paraId="100B4EC9">
            <w:pPr>
              <w:pStyle w:val="161"/>
              <w:spacing w:line="360" w:lineRule="auto"/>
              <w:ind w:firstLine="480" w:firstLineChars="200"/>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监测方法：按《环境空气质量标准》（GB3095-2012）和国家环保局颁布的《环境监测 技术规范》执行，获取相应均值浓度。 </w:t>
            </w:r>
          </w:p>
          <w:p w14:paraId="41DDBA35">
            <w:pPr>
              <w:pStyle w:val="161"/>
              <w:spacing w:line="360" w:lineRule="auto"/>
              <w:ind w:firstLine="480" w:firstLineChars="200"/>
              <w:rPr>
                <w:rFonts w:hint="default" w:ascii="Times New Roman" w:hAnsi="Times New Roman" w:eastAsia="宋体" w:cs="Times New Roman"/>
                <w:snapToGrid w:val="0"/>
                <w:color w:val="000000" w:themeColor="text1"/>
                <w:kern w:val="0"/>
                <w:sz w:val="24"/>
                <w:szCs w:val="24"/>
                <w:highlight w:val="none"/>
                <w:lang w:val="en-US" w:eastAsia="zh-CN" w:bidi="ar-SA"/>
              </w:rPr>
            </w:pPr>
            <w:r>
              <w:rPr>
                <w:rFonts w:hint="default" w:ascii="Times New Roman" w:hAnsi="Times New Roman" w:eastAsia="宋体" w:cs="Times New Roman"/>
                <w:snapToGrid w:val="0"/>
                <w:color w:val="000000" w:themeColor="text1"/>
                <w:kern w:val="0"/>
                <w:sz w:val="24"/>
                <w:szCs w:val="24"/>
                <w:highlight w:val="none"/>
                <w:lang w:val="en-US" w:eastAsia="zh-CN" w:bidi="ar-SA"/>
              </w:rPr>
              <w:t xml:space="preserve">（3）监测结果及评价 </w:t>
            </w:r>
          </w:p>
          <w:p w14:paraId="2B4A9024">
            <w:pPr>
              <w:spacing w:line="360" w:lineRule="auto"/>
              <w:ind w:firstLine="480" w:firstLineChars="200"/>
              <w:rPr>
                <w:rFonts w:hint="eastAsia" w:ascii="宋体" w:hAnsi="宋体" w:eastAsia="宋体" w:cs="宋体"/>
                <w:color w:val="000000" w:themeColor="text1"/>
                <w:kern w:val="2"/>
                <w:sz w:val="24"/>
                <w:szCs w:val="24"/>
                <w:highlight w:val="none"/>
                <w:lang w:val="en-US" w:eastAsia="zh-CN" w:bidi="ar-SA"/>
              </w:rPr>
            </w:pPr>
            <w:r>
              <w:rPr>
                <w:rFonts w:hint="eastAsia" w:ascii="宋体" w:hAnsi="宋体" w:eastAsia="宋体" w:cs="宋体"/>
                <w:color w:val="000000" w:themeColor="text1"/>
                <w:kern w:val="2"/>
                <w:sz w:val="24"/>
                <w:szCs w:val="24"/>
                <w:highlight w:val="none"/>
                <w:lang w:val="en-US" w:eastAsia="zh-CN" w:bidi="ar-SA"/>
              </w:rPr>
              <w:t>大气</w:t>
            </w:r>
            <w:r>
              <w:rPr>
                <w:rFonts w:hint="default" w:ascii="Times New Roman" w:hAnsi="Times New Roman" w:eastAsia="宋体" w:cs="Times New Roman"/>
                <w:color w:val="000000" w:themeColor="text1"/>
                <w:kern w:val="2"/>
                <w:sz w:val="24"/>
                <w:szCs w:val="24"/>
                <w:highlight w:val="none"/>
                <w:lang w:val="en-US" w:eastAsia="zh-CN" w:bidi="ar-SA"/>
              </w:rPr>
              <w:t>环境</w:t>
            </w:r>
            <w:r>
              <w:rPr>
                <w:rFonts w:hint="default" w:ascii="Times New Roman" w:hAnsi="Times New Roman" w:cs="Times New Roman"/>
                <w:color w:val="000000" w:themeColor="text1"/>
                <w:kern w:val="2"/>
                <w:sz w:val="24"/>
                <w:szCs w:val="24"/>
                <w:highlight w:val="none"/>
                <w:lang w:val="en-US" w:eastAsia="zh-CN" w:bidi="ar-SA"/>
              </w:rPr>
              <w:t>TSP</w:t>
            </w:r>
            <w:r>
              <w:rPr>
                <w:rFonts w:hint="default" w:ascii="Times New Roman" w:hAnsi="Times New Roman" w:eastAsia="宋体" w:cs="Times New Roman"/>
                <w:color w:val="000000" w:themeColor="text1"/>
                <w:kern w:val="2"/>
                <w:sz w:val="24"/>
                <w:szCs w:val="24"/>
                <w:highlight w:val="none"/>
                <w:lang w:val="en-US" w:eastAsia="zh-CN" w:bidi="ar-SA"/>
              </w:rPr>
              <w:t>质量采用</w:t>
            </w:r>
            <w:r>
              <w:rPr>
                <w:rFonts w:hint="default" w:ascii="Times New Roman" w:hAnsi="Times New Roman" w:cs="Times New Roman"/>
                <w:color w:val="000000" w:themeColor="text1"/>
                <w:sz w:val="24"/>
                <w:highlight w:val="none"/>
              </w:rPr>
              <w:t>《环境空气质量标准》（GB3095-2012）二级标准限值</w:t>
            </w:r>
            <w:r>
              <w:rPr>
                <w:rFonts w:hint="default" w:ascii="Times New Roman" w:hAnsi="Times New Roman" w:cs="Times New Roman"/>
                <w:color w:val="000000" w:themeColor="text1"/>
                <w:sz w:val="24"/>
                <w:highlight w:val="none"/>
                <w:lang w:eastAsia="zh-CN"/>
              </w:rPr>
              <w:t>，</w:t>
            </w:r>
            <w:r>
              <w:rPr>
                <w:rFonts w:hint="eastAsia" w:ascii="宋体" w:hAnsi="宋体" w:eastAsia="宋体" w:cs="宋体"/>
                <w:color w:val="000000" w:themeColor="text1"/>
                <w:kern w:val="2"/>
                <w:sz w:val="24"/>
                <w:szCs w:val="24"/>
                <w:highlight w:val="none"/>
                <w:lang w:val="en-US" w:eastAsia="zh-CN" w:bidi="ar-SA"/>
              </w:rPr>
              <w:t>大气环境</w:t>
            </w:r>
            <w:r>
              <w:rPr>
                <w:rFonts w:hint="eastAsia" w:cs="Times New Roman"/>
                <w:color w:val="000000" w:themeColor="text1"/>
                <w:sz w:val="24"/>
                <w:highlight w:val="none"/>
                <w:lang w:val="en-US" w:eastAsia="zh-CN"/>
              </w:rPr>
              <w:t>TVOC质量参照</w:t>
            </w:r>
            <w:r>
              <w:rPr>
                <w:rFonts w:ascii="Times New Roman" w:hAnsi="Times New Roman" w:eastAsiaTheme="minorEastAsia"/>
                <w:color w:val="000000" w:themeColor="text1"/>
                <w:kern w:val="2"/>
              </w:rPr>
              <w:t>《环境影响评价技术导则大气环境》（HJ2.2-2018）附录D表D.1标准中浓度限值</w:t>
            </w:r>
            <w:r>
              <w:rPr>
                <w:rFonts w:hint="eastAsia" w:ascii="Times New Roman" w:hAnsi="Times New Roman" w:eastAsiaTheme="minorEastAsia"/>
                <w:color w:val="000000" w:themeColor="text1"/>
                <w:kern w:val="2"/>
                <w:lang w:eastAsia="zh-CN"/>
              </w:rPr>
              <w:t>，</w:t>
            </w:r>
            <w:r>
              <w:rPr>
                <w:rFonts w:hint="default" w:ascii="Times New Roman" w:hAnsi="Times New Roman" w:eastAsia="宋体" w:cs="Times New Roman"/>
                <w:color w:val="000000" w:themeColor="text1"/>
                <w:kern w:val="2"/>
                <w:sz w:val="24"/>
                <w:szCs w:val="24"/>
                <w:highlight w:val="none"/>
                <w:lang w:val="en-US" w:eastAsia="zh-CN" w:bidi="ar-SA"/>
              </w:rPr>
              <w:t>具体限值详见表</w:t>
            </w:r>
            <w:r>
              <w:rPr>
                <w:rFonts w:hint="default" w:ascii="Times New Roman" w:hAnsi="Times New Roman" w:eastAsia="宋体" w:cs="Times New Roman"/>
                <w:color w:val="000000" w:themeColor="text1"/>
                <w:sz w:val="24"/>
                <w:szCs w:val="24"/>
                <w:highlight w:val="none"/>
                <w:lang w:val="en-US" w:eastAsia="zh-CN"/>
              </w:rPr>
              <w:t>3-3。</w:t>
            </w:r>
            <w:r>
              <w:rPr>
                <w:rFonts w:hint="default" w:ascii="Times New Roman" w:hAnsi="Times New Roman" w:eastAsia="宋体" w:cs="Times New Roman"/>
                <w:color w:val="000000" w:themeColor="text1"/>
                <w:kern w:val="2"/>
                <w:sz w:val="24"/>
                <w:szCs w:val="24"/>
                <w:highlight w:val="none"/>
                <w:lang w:val="en-US" w:eastAsia="zh-CN" w:bidi="ar-SA"/>
              </w:rPr>
              <w:t xml:space="preserve"> </w:t>
            </w:r>
          </w:p>
          <w:p w14:paraId="4C3AE027">
            <w:pPr>
              <w:pStyle w:val="1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color w:val="000000" w:themeColor="text1"/>
                <w:sz w:val="21"/>
                <w:szCs w:val="21"/>
                <w:highlight w:val="none"/>
                <w:lang w:val="en-US" w:eastAsia="zh-CN"/>
              </w:rPr>
            </w:pPr>
            <w:r>
              <w:rPr>
                <w:rFonts w:hint="eastAsia" w:ascii="Times New Roman" w:hAnsi="Times New Roman" w:eastAsia="宋体" w:cs="Times New Roman"/>
                <w:b/>
                <w:bCs w:val="0"/>
                <w:color w:val="000000" w:themeColor="text1"/>
                <w:sz w:val="21"/>
                <w:szCs w:val="21"/>
                <w:highlight w:val="none"/>
                <w:lang w:val="en-US" w:eastAsia="zh-CN"/>
              </w:rPr>
              <w:t xml:space="preserve">表 </w:t>
            </w:r>
            <w:r>
              <w:rPr>
                <w:rFonts w:hint="default" w:ascii="Times New Roman" w:hAnsi="Times New Roman" w:eastAsia="宋体" w:cs="Times New Roman"/>
                <w:b/>
                <w:bCs w:val="0"/>
                <w:color w:val="000000" w:themeColor="text1"/>
                <w:sz w:val="21"/>
                <w:szCs w:val="21"/>
                <w:highlight w:val="none"/>
                <w:lang w:val="en-US" w:eastAsia="zh-CN"/>
              </w:rPr>
              <w:t>3-</w:t>
            </w:r>
            <w:r>
              <w:rPr>
                <w:rFonts w:hint="eastAsia" w:ascii="Times New Roman" w:eastAsia="宋体" w:cs="Times New Roman"/>
                <w:b/>
                <w:bCs w:val="0"/>
                <w:color w:val="000000" w:themeColor="text1"/>
                <w:sz w:val="21"/>
                <w:szCs w:val="21"/>
                <w:highlight w:val="none"/>
                <w:lang w:val="en-US" w:eastAsia="zh-CN"/>
              </w:rPr>
              <w:t xml:space="preserve">3  </w:t>
            </w:r>
            <w:r>
              <w:rPr>
                <w:rFonts w:hint="default" w:ascii="Times New Roman" w:hAnsi="Times New Roman" w:eastAsia="宋体" w:cs="Times New Roman"/>
                <w:b/>
                <w:bCs w:val="0"/>
                <w:color w:val="000000" w:themeColor="text1"/>
                <w:sz w:val="21"/>
                <w:szCs w:val="21"/>
                <w:highlight w:val="none"/>
                <w:lang w:val="en-US" w:eastAsia="zh-CN"/>
              </w:rPr>
              <w:t xml:space="preserve"> </w:t>
            </w:r>
            <w:r>
              <w:rPr>
                <w:rFonts w:hint="eastAsia" w:ascii="Times New Roman" w:hAnsi="Times New Roman" w:eastAsia="宋体" w:cs="Times New Roman"/>
                <w:b/>
                <w:bCs w:val="0"/>
                <w:color w:val="000000" w:themeColor="text1"/>
                <w:sz w:val="21"/>
                <w:szCs w:val="21"/>
                <w:highlight w:val="none"/>
                <w:lang w:val="en-US" w:eastAsia="zh-CN"/>
              </w:rPr>
              <w:t>空气环境</w:t>
            </w:r>
            <w:r>
              <w:rPr>
                <w:rFonts w:hint="eastAsia" w:ascii="Times New Roman" w:eastAsia="宋体" w:cs="Times New Roman"/>
                <w:b/>
                <w:bCs w:val="0"/>
                <w:color w:val="000000" w:themeColor="text1"/>
                <w:sz w:val="21"/>
                <w:szCs w:val="21"/>
                <w:highlight w:val="none"/>
                <w:lang w:val="en-US" w:eastAsia="zh-CN"/>
              </w:rPr>
              <w:t>质量评价执行标准（摘录）</w:t>
            </w:r>
          </w:p>
          <w:tbl>
            <w:tblPr>
              <w:tblStyle w:val="34"/>
              <w:tblW w:w="492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910"/>
              <w:gridCol w:w="1275"/>
              <w:gridCol w:w="1425"/>
              <w:gridCol w:w="1095"/>
              <w:gridCol w:w="3003"/>
            </w:tblGrid>
            <w:tr w14:paraId="209BF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18" w:type="pct"/>
                  <w:tcBorders>
                    <w:tl2br w:val="nil"/>
                    <w:tr2bl w:val="nil"/>
                  </w:tcBorders>
                  <w:noWrap w:val="0"/>
                  <w:vAlign w:val="center"/>
                </w:tcPr>
                <w:p w14:paraId="3484DB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序号</w:t>
                  </w:r>
                </w:p>
              </w:tc>
              <w:tc>
                <w:tcPr>
                  <w:tcW w:w="552" w:type="pct"/>
                  <w:tcBorders>
                    <w:tl2br w:val="nil"/>
                    <w:tr2bl w:val="nil"/>
                  </w:tcBorders>
                  <w:noWrap w:val="0"/>
                  <w:vAlign w:val="center"/>
                </w:tcPr>
                <w:p w14:paraId="7C3475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污染物名称</w:t>
                  </w:r>
                </w:p>
              </w:tc>
              <w:tc>
                <w:tcPr>
                  <w:tcW w:w="2304" w:type="pct"/>
                  <w:gridSpan w:val="3"/>
                  <w:tcBorders>
                    <w:tl2br w:val="nil"/>
                    <w:tr2bl w:val="nil"/>
                  </w:tcBorders>
                  <w:noWrap w:val="0"/>
                  <w:vAlign w:val="center"/>
                </w:tcPr>
                <w:p w14:paraId="6E845A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浓度限值（µg/m</w:t>
                  </w:r>
                  <w:r>
                    <w:rPr>
                      <w:rFonts w:hint="default" w:ascii="Times New Roman" w:hAnsi="Times New Roman" w:eastAsia="宋体" w:cs="Times New Roman"/>
                      <w:b/>
                      <w:bCs w:val="0"/>
                      <w:color w:val="000000" w:themeColor="text1"/>
                      <w:sz w:val="21"/>
                      <w:szCs w:val="21"/>
                      <w:highlight w:val="none"/>
                      <w:vertAlign w:val="superscript"/>
                      <w:lang w:val="en-US" w:eastAsia="zh-CN"/>
                    </w:rPr>
                    <w:t>3</w:t>
                  </w:r>
                  <w:r>
                    <w:rPr>
                      <w:rFonts w:hint="default" w:ascii="Times New Roman" w:hAnsi="Times New Roman" w:eastAsia="宋体" w:cs="Times New Roman"/>
                      <w:b/>
                      <w:bCs w:val="0"/>
                      <w:color w:val="000000" w:themeColor="text1"/>
                      <w:sz w:val="21"/>
                      <w:szCs w:val="21"/>
                      <w:highlight w:val="none"/>
                      <w:lang w:val="en-US" w:eastAsia="zh-CN"/>
                    </w:rPr>
                    <w:t>）</w:t>
                  </w:r>
                </w:p>
              </w:tc>
              <w:tc>
                <w:tcPr>
                  <w:tcW w:w="1823" w:type="pct"/>
                  <w:tcBorders>
                    <w:tl2br w:val="nil"/>
                    <w:tr2bl w:val="nil"/>
                  </w:tcBorders>
                  <w:noWrap w:val="0"/>
                  <w:vAlign w:val="center"/>
                </w:tcPr>
                <w:p w14:paraId="51F5D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标准来源</w:t>
                  </w:r>
                </w:p>
              </w:tc>
            </w:tr>
            <w:tr w14:paraId="26513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18" w:type="pct"/>
                  <w:vMerge w:val="restart"/>
                  <w:tcBorders>
                    <w:tl2br w:val="nil"/>
                    <w:tr2bl w:val="nil"/>
                  </w:tcBorders>
                  <w:noWrap w:val="0"/>
                  <w:vAlign w:val="center"/>
                </w:tcPr>
                <w:p w14:paraId="77D79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rPr>
                    <w:t>1</w:t>
                  </w:r>
                </w:p>
              </w:tc>
              <w:tc>
                <w:tcPr>
                  <w:tcW w:w="552" w:type="pct"/>
                  <w:vMerge w:val="restart"/>
                  <w:tcBorders>
                    <w:tl2br w:val="nil"/>
                    <w:tr2bl w:val="nil"/>
                  </w:tcBorders>
                  <w:noWrap w:val="0"/>
                  <w:vAlign w:val="center"/>
                </w:tcPr>
                <w:p w14:paraId="56830B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TSP</w:t>
                  </w:r>
                </w:p>
              </w:tc>
              <w:tc>
                <w:tcPr>
                  <w:tcW w:w="774" w:type="pct"/>
                  <w:tcBorders>
                    <w:tl2br w:val="nil"/>
                    <w:tr2bl w:val="nil"/>
                  </w:tcBorders>
                  <w:noWrap w:val="0"/>
                  <w:vAlign w:val="center"/>
                </w:tcPr>
                <w:p w14:paraId="19C111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8</w:t>
                  </w:r>
                  <w:r>
                    <w:rPr>
                      <w:rFonts w:hint="default" w:ascii="Times New Roman" w:hAnsi="Times New Roman" w:eastAsia="宋体" w:cs="Times New Roman"/>
                      <w:bCs/>
                      <w:color w:val="000000" w:themeColor="text1"/>
                      <w:sz w:val="21"/>
                      <w:szCs w:val="21"/>
                      <w:highlight w:val="none"/>
                      <w:lang w:val="en-US" w:eastAsia="zh-CN"/>
                    </w:rPr>
                    <w:t>小时平均</w:t>
                  </w:r>
                </w:p>
              </w:tc>
              <w:tc>
                <w:tcPr>
                  <w:tcW w:w="865" w:type="pct"/>
                  <w:tcBorders>
                    <w:tl2br w:val="nil"/>
                    <w:tr2bl w:val="nil"/>
                  </w:tcBorders>
                  <w:noWrap w:val="0"/>
                  <w:vAlign w:val="center"/>
                </w:tcPr>
                <w:p w14:paraId="08F6C8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rPr>
                    <w:t>24小时平均</w:t>
                  </w:r>
                </w:p>
              </w:tc>
              <w:tc>
                <w:tcPr>
                  <w:tcW w:w="665" w:type="pct"/>
                  <w:tcBorders>
                    <w:tl2br w:val="nil"/>
                    <w:tr2bl w:val="nil"/>
                  </w:tcBorders>
                  <w:noWrap w:val="0"/>
                  <w:vAlign w:val="center"/>
                </w:tcPr>
                <w:p w14:paraId="1B3E5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rPr>
                    <w:t>年平均</w:t>
                  </w:r>
                </w:p>
              </w:tc>
              <w:tc>
                <w:tcPr>
                  <w:tcW w:w="1823" w:type="pct"/>
                  <w:vMerge w:val="restart"/>
                  <w:tcBorders>
                    <w:tl2br w:val="nil"/>
                    <w:tr2bl w:val="nil"/>
                  </w:tcBorders>
                  <w:noWrap w:val="0"/>
                  <w:vAlign w:val="center"/>
                </w:tcPr>
                <w:p w14:paraId="635658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color w:val="000000" w:themeColor="text1"/>
                      <w:sz w:val="21"/>
                      <w:szCs w:val="21"/>
                      <w:highlight w:val="none"/>
                    </w:rPr>
                    <w:t>《</w:t>
                  </w:r>
                  <w:r>
                    <w:rPr>
                      <w:rFonts w:hint="eastAsia" w:ascii="Times New Roman" w:hAnsi="Times New Roman" w:eastAsia="宋体" w:cs="Times New Roman"/>
                      <w:color w:val="000000" w:themeColor="text1"/>
                      <w:sz w:val="21"/>
                      <w:szCs w:val="21"/>
                      <w:highlight w:val="none"/>
                    </w:rPr>
                    <w:t>环境空气质量标准</w:t>
                  </w:r>
                  <w:r>
                    <w:rPr>
                      <w:rFonts w:hint="default" w:ascii="Times New Roman" w:hAnsi="Times New Roman" w:eastAsia="宋体" w:cs="Times New Roman"/>
                      <w:color w:val="000000" w:themeColor="text1"/>
                      <w:sz w:val="21"/>
                      <w:szCs w:val="21"/>
                      <w:highlight w:val="none"/>
                    </w:rPr>
                    <w:t>》（</w:t>
                  </w:r>
                  <w:r>
                    <w:rPr>
                      <w:rFonts w:hint="eastAsia" w:ascii="Times New Roman" w:hAnsi="Times New Roman" w:eastAsia="宋体" w:cs="Times New Roman"/>
                      <w:color w:val="000000" w:themeColor="text1"/>
                      <w:sz w:val="21"/>
                      <w:szCs w:val="21"/>
                      <w:highlight w:val="none"/>
                    </w:rPr>
                    <w:t>GB3095-2012</w:t>
                  </w:r>
                  <w:r>
                    <w:rPr>
                      <w:rFonts w:hint="default" w:ascii="Times New Roman" w:hAnsi="Times New Roman" w:eastAsia="宋体" w:cs="Times New Roman"/>
                      <w:color w:val="000000" w:themeColor="text1"/>
                      <w:sz w:val="21"/>
                      <w:szCs w:val="21"/>
                      <w:highlight w:val="none"/>
                    </w:rPr>
                    <w:t>）</w:t>
                  </w:r>
                  <w:r>
                    <w:rPr>
                      <w:rFonts w:hint="eastAsia" w:ascii="Times New Roman" w:hAnsi="Times New Roman" w:eastAsia="宋体" w:cs="Times New Roman"/>
                      <w:color w:val="000000" w:themeColor="text1"/>
                      <w:sz w:val="21"/>
                      <w:szCs w:val="21"/>
                      <w:highlight w:val="none"/>
                    </w:rPr>
                    <w:t>二级</w:t>
                  </w:r>
                  <w:r>
                    <w:rPr>
                      <w:rFonts w:hint="default" w:ascii="Times New Roman" w:hAnsi="Times New Roman" w:eastAsia="宋体" w:cs="Times New Roman"/>
                      <w:color w:val="000000" w:themeColor="text1"/>
                      <w:sz w:val="21"/>
                      <w:szCs w:val="21"/>
                      <w:highlight w:val="none"/>
                    </w:rPr>
                    <w:t>标准限值</w:t>
                  </w:r>
                </w:p>
              </w:tc>
            </w:tr>
            <w:tr w14:paraId="66D64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18" w:type="pct"/>
                  <w:vMerge w:val="continue"/>
                  <w:tcBorders>
                    <w:tl2br w:val="nil"/>
                    <w:tr2bl w:val="nil"/>
                  </w:tcBorders>
                  <w:noWrap w:val="0"/>
                  <w:vAlign w:val="center"/>
                </w:tcPr>
                <w:p w14:paraId="3E2139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p>
              </w:tc>
              <w:tc>
                <w:tcPr>
                  <w:tcW w:w="552" w:type="pct"/>
                  <w:vMerge w:val="continue"/>
                  <w:tcBorders>
                    <w:tl2br w:val="nil"/>
                    <w:tr2bl w:val="nil"/>
                  </w:tcBorders>
                  <w:noWrap w:val="0"/>
                  <w:vAlign w:val="center"/>
                </w:tcPr>
                <w:p w14:paraId="0EC066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p>
              </w:tc>
              <w:tc>
                <w:tcPr>
                  <w:tcW w:w="774" w:type="pct"/>
                  <w:tcBorders>
                    <w:tl2br w:val="nil"/>
                    <w:tr2bl w:val="nil"/>
                  </w:tcBorders>
                  <w:noWrap w:val="0"/>
                  <w:vAlign w:val="center"/>
                </w:tcPr>
                <w:p w14:paraId="040F7A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w:t>
                  </w:r>
                </w:p>
              </w:tc>
              <w:tc>
                <w:tcPr>
                  <w:tcW w:w="865" w:type="pct"/>
                  <w:tcBorders>
                    <w:tl2br w:val="nil"/>
                    <w:tr2bl w:val="nil"/>
                  </w:tcBorders>
                  <w:noWrap w:val="0"/>
                  <w:vAlign w:val="center"/>
                </w:tcPr>
                <w:p w14:paraId="1B554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300</w:t>
                  </w:r>
                </w:p>
              </w:tc>
              <w:tc>
                <w:tcPr>
                  <w:tcW w:w="665" w:type="pct"/>
                  <w:tcBorders>
                    <w:tl2br w:val="nil"/>
                    <w:tr2bl w:val="nil"/>
                  </w:tcBorders>
                  <w:noWrap w:val="0"/>
                  <w:vAlign w:val="center"/>
                </w:tcPr>
                <w:p w14:paraId="409443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200</w:t>
                  </w:r>
                </w:p>
              </w:tc>
              <w:tc>
                <w:tcPr>
                  <w:tcW w:w="1823" w:type="pct"/>
                  <w:vMerge w:val="continue"/>
                  <w:tcBorders>
                    <w:tl2br w:val="nil"/>
                    <w:tr2bl w:val="nil"/>
                  </w:tcBorders>
                  <w:noWrap w:val="0"/>
                  <w:vAlign w:val="center"/>
                </w:tcPr>
                <w:p w14:paraId="749E1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p>
              </w:tc>
            </w:tr>
            <w:tr w14:paraId="0F73E6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318" w:type="pct"/>
                  <w:tcBorders>
                    <w:tl2br w:val="nil"/>
                    <w:tr2bl w:val="nil"/>
                  </w:tcBorders>
                  <w:noWrap w:val="0"/>
                  <w:vAlign w:val="center"/>
                </w:tcPr>
                <w:p w14:paraId="5F193C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2</w:t>
                  </w:r>
                </w:p>
              </w:tc>
              <w:tc>
                <w:tcPr>
                  <w:tcW w:w="552" w:type="pct"/>
                  <w:tcBorders>
                    <w:tl2br w:val="nil"/>
                    <w:tr2bl w:val="nil"/>
                  </w:tcBorders>
                  <w:noWrap w:val="0"/>
                  <w:vAlign w:val="center"/>
                </w:tcPr>
                <w:p w14:paraId="26878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TVOC</w:t>
                  </w:r>
                </w:p>
              </w:tc>
              <w:tc>
                <w:tcPr>
                  <w:tcW w:w="774" w:type="pct"/>
                  <w:tcBorders>
                    <w:tl2br w:val="nil"/>
                    <w:tr2bl w:val="nil"/>
                  </w:tcBorders>
                  <w:noWrap w:val="0"/>
                  <w:vAlign w:val="center"/>
                </w:tcPr>
                <w:p w14:paraId="5E2335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600</w:t>
                  </w:r>
                </w:p>
              </w:tc>
              <w:tc>
                <w:tcPr>
                  <w:tcW w:w="865" w:type="pct"/>
                  <w:tcBorders>
                    <w:tl2br w:val="nil"/>
                    <w:tr2bl w:val="nil"/>
                  </w:tcBorders>
                  <w:noWrap w:val="0"/>
                  <w:vAlign w:val="center"/>
                </w:tcPr>
                <w:p w14:paraId="4CEC0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w:t>
                  </w:r>
                </w:p>
              </w:tc>
              <w:tc>
                <w:tcPr>
                  <w:tcW w:w="665" w:type="pct"/>
                  <w:tcBorders>
                    <w:tl2br w:val="nil"/>
                    <w:tr2bl w:val="nil"/>
                  </w:tcBorders>
                  <w:noWrap w:val="0"/>
                  <w:vAlign w:val="center"/>
                </w:tcPr>
                <w:p w14:paraId="09D52D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Cs/>
                      <w:color w:val="000000" w:themeColor="text1"/>
                      <w:sz w:val="21"/>
                      <w:szCs w:val="21"/>
                      <w:highlight w:val="none"/>
                      <w:lang w:val="en-US" w:eastAsia="zh-CN"/>
                    </w:rPr>
                  </w:pPr>
                  <w:r>
                    <w:rPr>
                      <w:rFonts w:hint="eastAsia" w:cs="Times New Roman"/>
                      <w:bCs/>
                      <w:color w:val="000000" w:themeColor="text1"/>
                      <w:sz w:val="21"/>
                      <w:szCs w:val="21"/>
                      <w:highlight w:val="none"/>
                      <w:lang w:val="en-US" w:eastAsia="zh-CN"/>
                    </w:rPr>
                    <w:t>/</w:t>
                  </w:r>
                </w:p>
              </w:tc>
              <w:tc>
                <w:tcPr>
                  <w:tcW w:w="1823" w:type="pct"/>
                  <w:tcBorders>
                    <w:tl2br w:val="nil"/>
                    <w:tr2bl w:val="nil"/>
                  </w:tcBorders>
                  <w:noWrap w:val="0"/>
                  <w:vAlign w:val="center"/>
                </w:tcPr>
                <w:p w14:paraId="1CD5C3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color w:val="000000" w:themeColor="text1"/>
                      <w:sz w:val="21"/>
                      <w:szCs w:val="21"/>
                    </w:rPr>
                    <w:t>《环境影响评价技术导则大气环境》（HJ2.2-2018）附录D表D.1标准</w:t>
                  </w:r>
                </w:p>
              </w:tc>
            </w:tr>
          </w:tbl>
          <w:p w14:paraId="3E956A67">
            <w:pPr>
              <w:spacing w:line="360" w:lineRule="auto"/>
              <w:ind w:firstLine="480" w:firstLineChars="200"/>
              <w:rPr>
                <w:color w:val="000000" w:themeColor="text1"/>
                <w:sz w:val="24"/>
                <w:szCs w:val="24"/>
                <w:highlight w:val="none"/>
              </w:rPr>
            </w:pPr>
            <w:r>
              <w:rPr>
                <w:color w:val="000000" w:themeColor="text1"/>
                <w:sz w:val="24"/>
                <w:szCs w:val="24"/>
                <w:highlight w:val="none"/>
              </w:rPr>
              <w:fldChar w:fldCharType="begin"/>
            </w:r>
            <w:r>
              <w:rPr>
                <w:color w:val="000000" w:themeColor="text1"/>
                <w:sz w:val="24"/>
                <w:szCs w:val="24"/>
                <w:highlight w:val="none"/>
              </w:rPr>
              <w:instrText xml:space="preserve"> = 3 \* GB3 \* MERGEFORMAT </w:instrText>
            </w:r>
            <w:r>
              <w:rPr>
                <w:color w:val="000000" w:themeColor="text1"/>
                <w:sz w:val="24"/>
                <w:szCs w:val="24"/>
                <w:highlight w:val="none"/>
              </w:rPr>
              <w:fldChar w:fldCharType="separate"/>
            </w:r>
            <w:r>
              <w:rPr>
                <w:color w:val="000000" w:themeColor="text1"/>
                <w:sz w:val="24"/>
                <w:szCs w:val="24"/>
                <w:highlight w:val="none"/>
              </w:rPr>
              <w:t>③</w:t>
            </w:r>
            <w:r>
              <w:rPr>
                <w:color w:val="000000" w:themeColor="text1"/>
                <w:sz w:val="24"/>
                <w:szCs w:val="24"/>
                <w:highlight w:val="none"/>
              </w:rPr>
              <w:fldChar w:fldCharType="end"/>
            </w:r>
            <w:r>
              <w:rPr>
                <w:color w:val="000000" w:themeColor="text1"/>
                <w:sz w:val="24"/>
                <w:szCs w:val="24"/>
                <w:highlight w:val="none"/>
              </w:rPr>
              <w:t>评价方法</w:t>
            </w:r>
          </w:p>
          <w:p w14:paraId="1173F83E">
            <w:pPr>
              <w:spacing w:line="360" w:lineRule="auto"/>
              <w:ind w:firstLine="480" w:firstLineChars="200"/>
              <w:rPr>
                <w:color w:val="000000" w:themeColor="text1"/>
                <w:sz w:val="24"/>
                <w:szCs w:val="24"/>
                <w:highlight w:val="none"/>
              </w:rPr>
            </w:pPr>
            <w:r>
              <w:rPr>
                <w:color w:val="000000" w:themeColor="text1"/>
                <w:sz w:val="24"/>
                <w:szCs w:val="24"/>
                <w:highlight w:val="none"/>
              </w:rPr>
              <w:t>采用单项质量指数法对项目所在地的环境空气质量现状进行评价。单项环境质量指数的计算公式为：</w:t>
            </w:r>
          </w:p>
          <w:p w14:paraId="0B3333E1">
            <w:pPr>
              <w:tabs>
                <w:tab w:val="center" w:pos="4200"/>
                <w:tab w:val="right" w:pos="8400"/>
              </w:tabs>
              <w:spacing w:line="360" w:lineRule="auto"/>
              <w:textAlignment w:val="baseline"/>
              <w:rPr>
                <w:color w:val="000000" w:themeColor="text1"/>
                <w:sz w:val="24"/>
                <w:szCs w:val="24"/>
                <w:highlight w:val="none"/>
              </w:rPr>
            </w:pPr>
            <w:r>
              <w:rPr>
                <w:rFonts w:hint="eastAsia"/>
                <w:color w:val="000000" w:themeColor="text1"/>
                <w:sz w:val="24"/>
                <w:szCs w:val="24"/>
                <w:highlight w:val="none"/>
              </w:rPr>
              <w:tab/>
            </w:r>
            <w:r>
              <w:rPr>
                <w:rFonts w:hint="eastAsia"/>
                <w:color w:val="000000" w:themeColor="text1"/>
                <w:position w:val="-30"/>
                <w:sz w:val="24"/>
                <w:szCs w:val="24"/>
                <w:highlight w:val="none"/>
              </w:rPr>
              <w:object>
                <v:shape id="_x0000_i1032" o:spt="75" type="#_x0000_t75" style="height:36pt;width:41pt;" o:ole="t" filled="f" o:preferrelative="t" stroked="f" coordsize="21600,21600">
                  <v:path/>
                  <v:fill on="f" focussize="0,0"/>
                  <v:stroke on="f"/>
                  <v:imagedata r:id="rId32" o:title=""/>
                  <o:lock v:ext="edit" aspectratio="t"/>
                  <w10:wrap type="none"/>
                  <w10:anchorlock/>
                </v:shape>
                <o:OLEObject Type="Embed" ProgID="Equation.KSEE3" ShapeID="_x0000_i1032" DrawAspect="Content" ObjectID="_1468075732" r:id="rId31">
                  <o:LockedField>false</o:LockedField>
                </o:OLEObject>
              </w:object>
            </w:r>
            <w:r>
              <w:rPr>
                <w:rFonts w:hint="eastAsia"/>
                <w:color w:val="000000" w:themeColor="text1"/>
                <w:sz w:val="24"/>
                <w:szCs w:val="24"/>
                <w:highlight w:val="none"/>
              </w:rPr>
              <w:tab/>
            </w:r>
            <w:r>
              <w:rPr>
                <w:rFonts w:hint="eastAsia"/>
                <w:color w:val="000000" w:themeColor="text1"/>
                <w:sz w:val="24"/>
                <w:szCs w:val="24"/>
                <w:highlight w:val="none"/>
              </w:rPr>
              <w:t>1</w:t>
            </w:r>
            <w:r>
              <w:rPr>
                <w:rFonts w:hint="eastAsia"/>
                <w:color w:val="000000" w:themeColor="text1"/>
                <w:sz w:val="24"/>
                <w:szCs w:val="24"/>
                <w:highlight w:val="none"/>
                <w:lang w:eastAsia="zh-CN"/>
              </w:rPr>
              <w:t>)</w:t>
            </w:r>
          </w:p>
          <w:p w14:paraId="72B624EC">
            <w:pPr>
              <w:spacing w:line="360" w:lineRule="auto"/>
              <w:ind w:firstLine="480" w:firstLineChars="200"/>
              <w:rPr>
                <w:color w:val="000000" w:themeColor="text1"/>
                <w:sz w:val="24"/>
                <w:szCs w:val="24"/>
                <w:highlight w:val="none"/>
              </w:rPr>
            </w:pPr>
            <w:r>
              <w:rPr>
                <w:color w:val="000000" w:themeColor="text1"/>
                <w:sz w:val="24"/>
                <w:szCs w:val="24"/>
                <w:highlight w:val="none"/>
              </w:rPr>
              <w:t>式中：</w:t>
            </w:r>
            <w:r>
              <w:rPr>
                <w:i/>
                <w:iCs/>
                <w:color w:val="000000" w:themeColor="text1"/>
                <w:sz w:val="24"/>
                <w:szCs w:val="24"/>
                <w:highlight w:val="none"/>
              </w:rPr>
              <w:t>I</w:t>
            </w:r>
            <w:r>
              <w:rPr>
                <w:i/>
                <w:iCs/>
                <w:color w:val="000000" w:themeColor="text1"/>
                <w:sz w:val="24"/>
                <w:szCs w:val="24"/>
                <w:highlight w:val="none"/>
                <w:vertAlign w:val="subscript"/>
              </w:rPr>
              <w:t>ij</w:t>
            </w:r>
            <w:r>
              <w:rPr>
                <w:rFonts w:hint="eastAsia"/>
                <w:color w:val="000000" w:themeColor="text1"/>
                <w:sz w:val="24"/>
                <w:szCs w:val="24"/>
                <w:highlight w:val="none"/>
              </w:rPr>
              <w:t>—</w:t>
            </w:r>
            <w:r>
              <w:rPr>
                <w:color w:val="000000" w:themeColor="text1"/>
                <w:sz w:val="24"/>
                <w:szCs w:val="24"/>
                <w:highlight w:val="none"/>
              </w:rPr>
              <w:t>第i测点第j种污染物的质量指数；</w:t>
            </w:r>
          </w:p>
          <w:p w14:paraId="67CF8CBE">
            <w:pPr>
              <w:spacing w:line="360" w:lineRule="auto"/>
              <w:rPr>
                <w:color w:val="000000" w:themeColor="text1"/>
                <w:sz w:val="24"/>
                <w:szCs w:val="24"/>
                <w:highlight w:val="none"/>
              </w:rPr>
            </w:pPr>
            <w:r>
              <w:rPr>
                <w:color w:val="000000" w:themeColor="text1"/>
                <w:sz w:val="24"/>
                <w:szCs w:val="24"/>
                <w:highlight w:val="none"/>
              </w:rPr>
              <w:t xml:space="preserve">     </w:t>
            </w:r>
            <w:r>
              <w:rPr>
                <w:rFonts w:hint="eastAsia"/>
                <w:color w:val="000000" w:themeColor="text1"/>
                <w:sz w:val="24"/>
                <w:szCs w:val="24"/>
                <w:highlight w:val="none"/>
              </w:rPr>
              <w:t xml:space="preserve">     </w:t>
            </w:r>
            <w:r>
              <w:rPr>
                <w:i/>
                <w:iCs/>
                <w:color w:val="000000" w:themeColor="text1"/>
                <w:sz w:val="24"/>
                <w:szCs w:val="24"/>
                <w:highlight w:val="none"/>
              </w:rPr>
              <w:t>C</w:t>
            </w:r>
            <w:r>
              <w:rPr>
                <w:i/>
                <w:iCs/>
                <w:color w:val="000000" w:themeColor="text1"/>
                <w:sz w:val="24"/>
                <w:szCs w:val="24"/>
                <w:highlight w:val="none"/>
                <w:vertAlign w:val="subscript"/>
              </w:rPr>
              <w:t>ij</w:t>
            </w:r>
            <w:r>
              <w:rPr>
                <w:rFonts w:hint="eastAsia"/>
                <w:color w:val="000000" w:themeColor="text1"/>
                <w:sz w:val="24"/>
                <w:szCs w:val="24"/>
                <w:highlight w:val="none"/>
              </w:rPr>
              <w:t>—</w:t>
            </w:r>
            <w:r>
              <w:rPr>
                <w:color w:val="000000" w:themeColor="text1"/>
                <w:sz w:val="24"/>
                <w:szCs w:val="24"/>
                <w:highlight w:val="none"/>
              </w:rPr>
              <w:t>第i测点第j种污染物的平均浓度值</w:t>
            </w:r>
            <w:r>
              <w:rPr>
                <w:rFonts w:hint="eastAsia"/>
                <w:color w:val="000000" w:themeColor="text1"/>
                <w:sz w:val="24"/>
                <w:szCs w:val="24"/>
                <w:highlight w:val="none"/>
              </w:rPr>
              <w:t>，</w:t>
            </w:r>
            <w:r>
              <w:rPr>
                <w:color w:val="000000" w:themeColor="text1"/>
                <w:sz w:val="24"/>
                <w:szCs w:val="24"/>
                <w:highlight w:val="none"/>
              </w:rPr>
              <w:t>mg/m</w:t>
            </w:r>
            <w:r>
              <w:rPr>
                <w:color w:val="000000" w:themeColor="text1"/>
                <w:sz w:val="24"/>
                <w:szCs w:val="24"/>
                <w:highlight w:val="none"/>
                <w:vertAlign w:val="superscript"/>
              </w:rPr>
              <w:t>3</w:t>
            </w:r>
            <w:r>
              <w:rPr>
                <w:color w:val="000000" w:themeColor="text1"/>
                <w:sz w:val="24"/>
                <w:szCs w:val="24"/>
                <w:highlight w:val="none"/>
              </w:rPr>
              <w:t>；</w:t>
            </w:r>
          </w:p>
          <w:p w14:paraId="3272F66C">
            <w:pPr>
              <w:spacing w:line="360" w:lineRule="auto"/>
              <w:rPr>
                <w:color w:val="000000" w:themeColor="text1"/>
                <w:sz w:val="24"/>
                <w:szCs w:val="24"/>
                <w:highlight w:val="none"/>
              </w:rPr>
            </w:pPr>
            <w:r>
              <w:rPr>
                <w:color w:val="000000" w:themeColor="text1"/>
                <w:sz w:val="24"/>
                <w:szCs w:val="24"/>
                <w:highlight w:val="none"/>
              </w:rPr>
              <w:t xml:space="preserve">    </w:t>
            </w:r>
            <w:r>
              <w:rPr>
                <w:rFonts w:hint="eastAsia"/>
                <w:color w:val="000000" w:themeColor="text1"/>
                <w:sz w:val="24"/>
                <w:szCs w:val="24"/>
                <w:highlight w:val="none"/>
              </w:rPr>
              <w:t xml:space="preserve">      </w:t>
            </w:r>
            <w:r>
              <w:rPr>
                <w:i/>
                <w:iCs/>
                <w:color w:val="000000" w:themeColor="text1"/>
                <w:sz w:val="24"/>
                <w:szCs w:val="24"/>
                <w:highlight w:val="none"/>
              </w:rPr>
              <w:t>S</w:t>
            </w:r>
            <w:r>
              <w:rPr>
                <w:i/>
                <w:iCs/>
                <w:color w:val="000000" w:themeColor="text1"/>
                <w:sz w:val="24"/>
                <w:szCs w:val="24"/>
                <w:highlight w:val="none"/>
                <w:vertAlign w:val="subscript"/>
              </w:rPr>
              <w:t>i</w:t>
            </w:r>
            <w:r>
              <w:rPr>
                <w:rFonts w:hint="eastAsia"/>
                <w:color w:val="000000" w:themeColor="text1"/>
                <w:sz w:val="24"/>
                <w:szCs w:val="24"/>
                <w:highlight w:val="none"/>
              </w:rPr>
              <w:t>—</w:t>
            </w:r>
            <w:r>
              <w:rPr>
                <w:color w:val="000000" w:themeColor="text1"/>
                <w:sz w:val="24"/>
                <w:szCs w:val="24"/>
                <w:highlight w:val="none"/>
              </w:rPr>
              <w:t>i污染物日均浓度标准限值或一次浓度标准限值</w:t>
            </w:r>
            <w:r>
              <w:rPr>
                <w:rFonts w:hint="eastAsia"/>
                <w:color w:val="000000" w:themeColor="text1"/>
                <w:sz w:val="24"/>
                <w:szCs w:val="24"/>
                <w:highlight w:val="none"/>
              </w:rPr>
              <w:t>，</w:t>
            </w:r>
            <w:r>
              <w:rPr>
                <w:color w:val="000000" w:themeColor="text1"/>
                <w:sz w:val="24"/>
                <w:szCs w:val="24"/>
                <w:highlight w:val="none"/>
              </w:rPr>
              <w:t>mg/m</w:t>
            </w:r>
            <w:r>
              <w:rPr>
                <w:color w:val="000000" w:themeColor="text1"/>
                <w:sz w:val="24"/>
                <w:szCs w:val="24"/>
                <w:highlight w:val="none"/>
                <w:vertAlign w:val="superscript"/>
              </w:rPr>
              <w:t>3</w:t>
            </w:r>
            <w:r>
              <w:rPr>
                <w:color w:val="000000" w:themeColor="text1"/>
                <w:sz w:val="24"/>
                <w:szCs w:val="24"/>
                <w:highlight w:val="none"/>
              </w:rPr>
              <w:t>。</w:t>
            </w:r>
          </w:p>
          <w:p w14:paraId="5304F2DD">
            <w:pPr>
              <w:pStyle w:val="161"/>
              <w:spacing w:line="360" w:lineRule="auto"/>
              <w:ind w:firstLine="480" w:firstLineChars="200"/>
              <w:rPr>
                <w:rFonts w:hint="eastAsia" w:ascii="Times New Roman" w:hAnsi="Times New Roman" w:eastAsia="宋体" w:cs="Times New Roman"/>
                <w:snapToGrid w:val="0"/>
                <w:color w:val="000000" w:themeColor="text1"/>
                <w:kern w:val="0"/>
                <w:sz w:val="24"/>
                <w:szCs w:val="24"/>
                <w:highlight w:val="none"/>
                <w:lang w:val="en-US" w:eastAsia="zh-CN" w:bidi="ar-SA"/>
              </w:rPr>
            </w:pPr>
            <w:r>
              <w:rPr>
                <w:rFonts w:hint="eastAsia" w:ascii="宋体" w:hAnsi="宋体" w:cs="宋体"/>
                <w:color w:val="000000" w:themeColor="text1"/>
                <w:sz w:val="24"/>
                <w:szCs w:val="24"/>
                <w:highlight w:val="none"/>
              </w:rPr>
              <w:t>④</w:t>
            </w:r>
            <w:r>
              <w:rPr>
                <w:rFonts w:hint="eastAsia" w:ascii="Times New Roman" w:hAnsi="Times New Roman" w:eastAsia="宋体" w:cs="Times New Roman"/>
                <w:snapToGrid w:val="0"/>
                <w:color w:val="000000" w:themeColor="text1"/>
                <w:kern w:val="0"/>
                <w:sz w:val="24"/>
                <w:szCs w:val="24"/>
                <w:highlight w:val="none"/>
                <w:lang w:val="en-US" w:eastAsia="zh-CN" w:bidi="ar-SA"/>
              </w:rPr>
              <w:t>环境空气质量现状监测结果，见下表</w:t>
            </w:r>
            <w:r>
              <w:rPr>
                <w:rFonts w:hint="default" w:ascii="Times New Roman" w:hAnsi="Times New Roman" w:eastAsia="宋体" w:cs="Times New Roman"/>
                <w:snapToGrid w:val="0"/>
                <w:color w:val="000000" w:themeColor="text1"/>
                <w:kern w:val="0"/>
                <w:sz w:val="24"/>
                <w:szCs w:val="24"/>
                <w:highlight w:val="none"/>
                <w:lang w:val="en-US" w:eastAsia="zh-CN" w:bidi="ar-SA"/>
              </w:rPr>
              <w:t>3-4</w:t>
            </w:r>
            <w:r>
              <w:rPr>
                <w:rFonts w:hint="eastAsia" w:ascii="Times New Roman" w:hAnsi="Times New Roman" w:eastAsia="宋体" w:cs="Times New Roman"/>
                <w:snapToGrid w:val="0"/>
                <w:color w:val="000000" w:themeColor="text1"/>
                <w:kern w:val="0"/>
                <w:sz w:val="24"/>
                <w:szCs w:val="24"/>
                <w:highlight w:val="none"/>
                <w:lang w:val="en-US" w:eastAsia="zh-CN" w:bidi="ar-SA"/>
              </w:rPr>
              <w:t xml:space="preserve">。 </w:t>
            </w:r>
          </w:p>
          <w:p w14:paraId="3474FAF5">
            <w:pPr>
              <w:pStyle w:val="16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bCs w:val="0"/>
                <w:color w:val="000000" w:themeColor="text1"/>
                <w:sz w:val="21"/>
                <w:szCs w:val="21"/>
                <w:highlight w:val="none"/>
                <w:lang w:val="en-US" w:eastAsia="zh-CN"/>
              </w:rPr>
            </w:pPr>
            <w:r>
              <w:rPr>
                <w:rFonts w:hint="eastAsia" w:ascii="Times New Roman" w:hAnsi="Times New Roman" w:eastAsia="宋体" w:cs="Times New Roman"/>
                <w:b/>
                <w:bCs w:val="0"/>
                <w:color w:val="000000" w:themeColor="text1"/>
                <w:sz w:val="21"/>
                <w:szCs w:val="21"/>
                <w:highlight w:val="none"/>
                <w:lang w:val="en-US" w:eastAsia="zh-CN"/>
              </w:rPr>
              <w:t xml:space="preserve">表 </w:t>
            </w:r>
            <w:r>
              <w:rPr>
                <w:rFonts w:hint="default" w:ascii="Times New Roman" w:hAnsi="Times New Roman" w:eastAsia="宋体" w:cs="Times New Roman"/>
                <w:b/>
                <w:bCs w:val="0"/>
                <w:color w:val="000000" w:themeColor="text1"/>
                <w:sz w:val="21"/>
                <w:szCs w:val="21"/>
                <w:highlight w:val="none"/>
                <w:lang w:val="en-US" w:eastAsia="zh-CN"/>
              </w:rPr>
              <w:t>3-</w:t>
            </w:r>
            <w:r>
              <w:rPr>
                <w:rFonts w:hint="eastAsia" w:ascii="Times New Roman" w:eastAsia="宋体" w:cs="Times New Roman"/>
                <w:b/>
                <w:bCs w:val="0"/>
                <w:color w:val="000000" w:themeColor="text1"/>
                <w:sz w:val="21"/>
                <w:szCs w:val="21"/>
                <w:highlight w:val="none"/>
                <w:lang w:val="en-US" w:eastAsia="zh-CN"/>
              </w:rPr>
              <w:t xml:space="preserve">4   </w:t>
            </w:r>
            <w:r>
              <w:rPr>
                <w:rFonts w:hint="default" w:ascii="Times New Roman" w:hAnsi="Times New Roman" w:eastAsia="宋体" w:cs="Times New Roman"/>
                <w:b/>
                <w:bCs w:val="0"/>
                <w:color w:val="000000" w:themeColor="text1"/>
                <w:sz w:val="21"/>
                <w:szCs w:val="21"/>
                <w:highlight w:val="none"/>
                <w:lang w:val="en-US" w:eastAsia="zh-CN"/>
              </w:rPr>
              <w:t xml:space="preserve"> </w:t>
            </w:r>
            <w:r>
              <w:rPr>
                <w:rFonts w:hint="eastAsia" w:ascii="Times New Roman" w:hAnsi="Times New Roman" w:eastAsia="宋体" w:cs="Times New Roman"/>
                <w:b/>
                <w:bCs w:val="0"/>
                <w:color w:val="000000" w:themeColor="text1"/>
                <w:sz w:val="21"/>
                <w:szCs w:val="21"/>
                <w:highlight w:val="none"/>
                <w:lang w:val="en-US" w:eastAsia="zh-CN"/>
              </w:rPr>
              <w:t>空气环境现状监测</w:t>
            </w:r>
            <w:r>
              <w:rPr>
                <w:rFonts w:hint="eastAsia" w:ascii="Times New Roman" w:eastAsia="宋体" w:cs="Times New Roman"/>
                <w:b/>
                <w:bCs w:val="0"/>
                <w:color w:val="000000" w:themeColor="text1"/>
                <w:sz w:val="21"/>
                <w:szCs w:val="21"/>
                <w:highlight w:val="none"/>
                <w:lang w:val="en-US" w:eastAsia="zh-CN"/>
              </w:rPr>
              <w:t>和评价结果</w:t>
            </w:r>
          </w:p>
          <w:tbl>
            <w:tblPr>
              <w:tblStyle w:val="33"/>
              <w:tblW w:w="84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6"/>
              <w:gridCol w:w="901"/>
              <w:gridCol w:w="842"/>
              <w:gridCol w:w="815"/>
              <w:gridCol w:w="668"/>
              <w:gridCol w:w="1125"/>
              <w:gridCol w:w="1170"/>
              <w:gridCol w:w="816"/>
              <w:gridCol w:w="781"/>
              <w:gridCol w:w="582"/>
            </w:tblGrid>
            <w:tr w14:paraId="1FAD16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6" w:type="dxa"/>
                  <w:vMerge w:val="restart"/>
                  <w:noWrap w:val="0"/>
                  <w:vAlign w:val="center"/>
                </w:tcPr>
                <w:p w14:paraId="4E7587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监测点位</w:t>
                  </w:r>
                </w:p>
              </w:tc>
              <w:tc>
                <w:tcPr>
                  <w:tcW w:w="1743" w:type="dxa"/>
                  <w:gridSpan w:val="2"/>
                  <w:noWrap w:val="0"/>
                  <w:vAlign w:val="center"/>
                </w:tcPr>
                <w:p w14:paraId="6D364E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监测点坐标</w:t>
                  </w:r>
                </w:p>
              </w:tc>
              <w:tc>
                <w:tcPr>
                  <w:tcW w:w="815" w:type="dxa"/>
                  <w:vMerge w:val="restart"/>
                  <w:noWrap w:val="0"/>
                  <w:vAlign w:val="center"/>
                </w:tcPr>
                <w:p w14:paraId="7B43D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污染物</w:t>
                  </w:r>
                </w:p>
              </w:tc>
              <w:tc>
                <w:tcPr>
                  <w:tcW w:w="668" w:type="dxa"/>
                  <w:vMerge w:val="restart"/>
                  <w:noWrap w:val="0"/>
                  <w:vAlign w:val="center"/>
                </w:tcPr>
                <w:p w14:paraId="2C408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平均时间</w:t>
                  </w:r>
                </w:p>
              </w:tc>
              <w:tc>
                <w:tcPr>
                  <w:tcW w:w="1125" w:type="dxa"/>
                  <w:vMerge w:val="restart"/>
                  <w:noWrap w:val="0"/>
                  <w:vAlign w:val="center"/>
                </w:tcPr>
                <w:p w14:paraId="167F3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评价标准/（μg/m</w:t>
                  </w:r>
                  <w:r>
                    <w:rPr>
                      <w:rFonts w:hint="default" w:ascii="Times New Roman" w:hAnsi="Times New Roman" w:eastAsia="宋体" w:cs="Times New Roman"/>
                      <w:b/>
                      <w:bCs w:val="0"/>
                      <w:color w:val="000000" w:themeColor="text1"/>
                      <w:sz w:val="21"/>
                      <w:szCs w:val="21"/>
                      <w:highlight w:val="none"/>
                      <w:vertAlign w:val="superscript"/>
                      <w:lang w:val="en-US" w:eastAsia="zh-CN"/>
                    </w:rPr>
                    <w:t>3</w:t>
                  </w:r>
                  <w:r>
                    <w:rPr>
                      <w:rFonts w:hint="default" w:ascii="Times New Roman" w:hAnsi="Times New Roman" w:eastAsia="宋体" w:cs="Times New Roman"/>
                      <w:b/>
                      <w:bCs w:val="0"/>
                      <w:color w:val="000000" w:themeColor="text1"/>
                      <w:sz w:val="21"/>
                      <w:szCs w:val="21"/>
                      <w:highlight w:val="none"/>
                      <w:lang w:val="en-US" w:eastAsia="zh-CN"/>
                    </w:rPr>
                    <w:t>）</w:t>
                  </w:r>
                </w:p>
              </w:tc>
              <w:tc>
                <w:tcPr>
                  <w:tcW w:w="1170" w:type="dxa"/>
                  <w:vMerge w:val="restart"/>
                  <w:noWrap w:val="0"/>
                  <w:vAlign w:val="center"/>
                </w:tcPr>
                <w:p w14:paraId="341E6B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监测浓度范围</w:t>
                  </w:r>
                  <w:r>
                    <w:rPr>
                      <w:rFonts w:hint="eastAsia" w:ascii="Times New Roman" w:hAnsi="Times New Roman" w:eastAsia="宋体" w:cs="Times New Roman"/>
                      <w:b/>
                      <w:bCs w:val="0"/>
                      <w:color w:val="000000" w:themeColor="text1"/>
                      <w:sz w:val="21"/>
                      <w:szCs w:val="21"/>
                      <w:highlight w:val="none"/>
                      <w:lang w:val="en-US" w:eastAsia="zh-CN"/>
                    </w:rPr>
                    <w:t>/</w:t>
                  </w:r>
                  <w:r>
                    <w:rPr>
                      <w:rFonts w:hint="default" w:ascii="Times New Roman" w:hAnsi="Times New Roman" w:eastAsia="宋体" w:cs="Times New Roman"/>
                      <w:b/>
                      <w:bCs w:val="0"/>
                      <w:color w:val="000000" w:themeColor="text1"/>
                      <w:sz w:val="21"/>
                      <w:szCs w:val="21"/>
                      <w:highlight w:val="none"/>
                      <w:lang w:val="en-US" w:eastAsia="zh-CN"/>
                    </w:rPr>
                    <w:t>（μg/m</w:t>
                  </w:r>
                  <w:r>
                    <w:rPr>
                      <w:rFonts w:hint="default" w:ascii="Times New Roman" w:hAnsi="Times New Roman" w:eastAsia="宋体" w:cs="Times New Roman"/>
                      <w:b/>
                      <w:bCs w:val="0"/>
                      <w:color w:val="000000" w:themeColor="text1"/>
                      <w:sz w:val="21"/>
                      <w:szCs w:val="21"/>
                      <w:highlight w:val="none"/>
                      <w:vertAlign w:val="superscript"/>
                      <w:lang w:val="en-US" w:eastAsia="zh-CN"/>
                    </w:rPr>
                    <w:t>3</w:t>
                  </w:r>
                  <w:r>
                    <w:rPr>
                      <w:rFonts w:hint="default" w:ascii="Times New Roman" w:hAnsi="Times New Roman" w:eastAsia="宋体" w:cs="Times New Roman"/>
                      <w:b/>
                      <w:bCs w:val="0"/>
                      <w:color w:val="000000" w:themeColor="text1"/>
                      <w:sz w:val="21"/>
                      <w:szCs w:val="21"/>
                      <w:highlight w:val="none"/>
                      <w:lang w:val="en-US" w:eastAsia="zh-CN"/>
                    </w:rPr>
                    <w:t>）</w:t>
                  </w:r>
                </w:p>
              </w:tc>
              <w:tc>
                <w:tcPr>
                  <w:tcW w:w="816" w:type="dxa"/>
                  <w:vMerge w:val="restart"/>
                  <w:noWrap w:val="0"/>
                  <w:vAlign w:val="center"/>
                </w:tcPr>
                <w:p w14:paraId="08FB9D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最大浓度占标率/%</w:t>
                  </w:r>
                </w:p>
              </w:tc>
              <w:tc>
                <w:tcPr>
                  <w:tcW w:w="781" w:type="dxa"/>
                  <w:vMerge w:val="restart"/>
                  <w:noWrap w:val="0"/>
                  <w:vAlign w:val="center"/>
                </w:tcPr>
                <w:p w14:paraId="6E45FB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超标频率/%</w:t>
                  </w:r>
                </w:p>
              </w:tc>
              <w:tc>
                <w:tcPr>
                  <w:tcW w:w="582" w:type="dxa"/>
                  <w:vMerge w:val="restart"/>
                  <w:noWrap w:val="0"/>
                  <w:vAlign w:val="center"/>
                </w:tcPr>
                <w:p w14:paraId="1A3512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rPr>
                  </w:pPr>
                  <w:r>
                    <w:rPr>
                      <w:rFonts w:hint="default" w:ascii="Times New Roman" w:hAnsi="Times New Roman" w:eastAsia="宋体" w:cs="Times New Roman"/>
                      <w:b/>
                      <w:bCs w:val="0"/>
                      <w:color w:val="000000" w:themeColor="text1"/>
                      <w:sz w:val="21"/>
                      <w:szCs w:val="21"/>
                      <w:highlight w:val="none"/>
                      <w:lang w:val="en-US" w:eastAsia="zh-CN"/>
                    </w:rPr>
                    <w:t>达标情况</w:t>
                  </w:r>
                </w:p>
              </w:tc>
            </w:tr>
            <w:tr w14:paraId="64224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716" w:type="dxa"/>
                  <w:vMerge w:val="continue"/>
                  <w:noWrap w:val="0"/>
                  <w:vAlign w:val="center"/>
                </w:tcPr>
                <w:p w14:paraId="04CC5D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901" w:type="dxa"/>
                  <w:noWrap w:val="0"/>
                  <w:vAlign w:val="center"/>
                </w:tcPr>
                <w:p w14:paraId="36AA78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b/>
                      <w:bCs/>
                      <w:color w:val="000000" w:themeColor="text1"/>
                      <w:sz w:val="21"/>
                      <w:szCs w:val="21"/>
                    </w:rPr>
                  </w:pPr>
                  <w:r>
                    <w:rPr>
                      <w:rFonts w:hint="default"/>
                      <w:b/>
                      <w:bCs/>
                      <w:color w:val="000000" w:themeColor="text1"/>
                      <w:sz w:val="21"/>
                      <w:szCs w:val="21"/>
                      <w:lang w:eastAsia="zh-CN"/>
                    </w:rPr>
                    <w:t>经度</w:t>
                  </w:r>
                </w:p>
              </w:tc>
              <w:tc>
                <w:tcPr>
                  <w:tcW w:w="842" w:type="dxa"/>
                  <w:noWrap w:val="0"/>
                  <w:vAlign w:val="center"/>
                </w:tcPr>
                <w:p w14:paraId="50BB1E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b/>
                      <w:bCs/>
                      <w:color w:val="000000" w:themeColor="text1"/>
                      <w:sz w:val="21"/>
                      <w:szCs w:val="21"/>
                    </w:rPr>
                  </w:pPr>
                  <w:r>
                    <w:rPr>
                      <w:rFonts w:hint="default"/>
                      <w:b/>
                      <w:bCs/>
                      <w:color w:val="000000" w:themeColor="text1"/>
                      <w:sz w:val="21"/>
                      <w:szCs w:val="21"/>
                      <w:lang w:val="en-US" w:eastAsia="zh-CN"/>
                    </w:rPr>
                    <w:t>纬度</w:t>
                  </w:r>
                </w:p>
              </w:tc>
              <w:tc>
                <w:tcPr>
                  <w:tcW w:w="815" w:type="dxa"/>
                  <w:vMerge w:val="continue"/>
                  <w:noWrap w:val="0"/>
                  <w:vAlign w:val="center"/>
                </w:tcPr>
                <w:p w14:paraId="0B7B2E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668" w:type="dxa"/>
                  <w:vMerge w:val="continue"/>
                  <w:noWrap w:val="0"/>
                  <w:vAlign w:val="center"/>
                </w:tcPr>
                <w:p w14:paraId="55603E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1125" w:type="dxa"/>
                  <w:vMerge w:val="continue"/>
                  <w:noWrap w:val="0"/>
                  <w:vAlign w:val="center"/>
                </w:tcPr>
                <w:p w14:paraId="01FC0E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1170" w:type="dxa"/>
                  <w:vMerge w:val="continue"/>
                  <w:noWrap w:val="0"/>
                  <w:vAlign w:val="center"/>
                </w:tcPr>
                <w:p w14:paraId="47892C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816" w:type="dxa"/>
                  <w:vMerge w:val="continue"/>
                  <w:noWrap w:val="0"/>
                  <w:vAlign w:val="center"/>
                </w:tcPr>
                <w:p w14:paraId="7F9A40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781" w:type="dxa"/>
                  <w:vMerge w:val="continue"/>
                  <w:noWrap w:val="0"/>
                  <w:vAlign w:val="center"/>
                </w:tcPr>
                <w:p w14:paraId="0505AE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c>
                <w:tcPr>
                  <w:tcW w:w="582" w:type="dxa"/>
                  <w:vMerge w:val="continue"/>
                  <w:noWrap w:val="0"/>
                  <w:vAlign w:val="center"/>
                </w:tcPr>
                <w:p w14:paraId="197C4B9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olor w:val="000000" w:themeColor="text1"/>
                      <w:sz w:val="21"/>
                      <w:szCs w:val="21"/>
                    </w:rPr>
                  </w:pPr>
                </w:p>
              </w:tc>
            </w:tr>
            <w:tr w14:paraId="5577B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16" w:type="dxa"/>
                  <w:vMerge w:val="restart"/>
                  <w:noWrap w:val="0"/>
                  <w:vAlign w:val="center"/>
                </w:tcPr>
                <w:p w14:paraId="2D176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外晒村</w:t>
                  </w:r>
                </w:p>
              </w:tc>
              <w:tc>
                <w:tcPr>
                  <w:tcW w:w="901" w:type="dxa"/>
                  <w:vMerge w:val="restart"/>
                  <w:noWrap w:val="0"/>
                  <w:vAlign w:val="center"/>
                </w:tcPr>
                <w:p w14:paraId="433259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rPr>
                    <w:t>E115°44′2.956″</w:t>
                  </w:r>
                </w:p>
              </w:tc>
              <w:tc>
                <w:tcPr>
                  <w:tcW w:w="842" w:type="dxa"/>
                  <w:vMerge w:val="restart"/>
                  <w:noWrap w:val="0"/>
                  <w:vAlign w:val="center"/>
                </w:tcPr>
                <w:p w14:paraId="0E3352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default" w:ascii="Times New Roman" w:hAnsi="Times New Roman" w:eastAsia="宋体" w:cs="Times New Roman"/>
                      <w:bCs/>
                      <w:color w:val="000000" w:themeColor="text1"/>
                      <w:sz w:val="21"/>
                      <w:szCs w:val="21"/>
                      <w:highlight w:val="none"/>
                      <w:lang w:val="en-US" w:eastAsia="zh-CN"/>
                    </w:rPr>
                    <w:t>N29°45′28.407″</w:t>
                  </w:r>
                </w:p>
              </w:tc>
              <w:tc>
                <w:tcPr>
                  <w:tcW w:w="815" w:type="dxa"/>
                  <w:noWrap w:val="0"/>
                  <w:vAlign w:val="center"/>
                </w:tcPr>
                <w:p w14:paraId="7594FC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TSP</w:t>
                  </w:r>
                </w:p>
              </w:tc>
              <w:tc>
                <w:tcPr>
                  <w:tcW w:w="668" w:type="dxa"/>
                  <w:noWrap w:val="0"/>
                  <w:vAlign w:val="center"/>
                </w:tcPr>
                <w:p w14:paraId="772A9C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日均值</w:t>
                  </w:r>
                </w:p>
              </w:tc>
              <w:tc>
                <w:tcPr>
                  <w:tcW w:w="1125" w:type="dxa"/>
                  <w:noWrap w:val="0"/>
                  <w:vAlign w:val="center"/>
                </w:tcPr>
                <w:p w14:paraId="72E54C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300</w:t>
                  </w:r>
                </w:p>
              </w:tc>
              <w:tc>
                <w:tcPr>
                  <w:tcW w:w="1170" w:type="dxa"/>
                  <w:noWrap w:val="0"/>
                  <w:vAlign w:val="center"/>
                </w:tcPr>
                <w:p w14:paraId="36589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133~202</w:t>
                  </w:r>
                </w:p>
              </w:tc>
              <w:tc>
                <w:tcPr>
                  <w:tcW w:w="816" w:type="dxa"/>
                  <w:noWrap w:val="0"/>
                  <w:vAlign w:val="center"/>
                </w:tcPr>
                <w:p w14:paraId="34506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67.3</w:t>
                  </w:r>
                </w:p>
              </w:tc>
              <w:tc>
                <w:tcPr>
                  <w:tcW w:w="781" w:type="dxa"/>
                  <w:noWrap w:val="0"/>
                  <w:vAlign w:val="center"/>
                </w:tcPr>
                <w:p w14:paraId="22ABA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0</w:t>
                  </w:r>
                </w:p>
              </w:tc>
              <w:tc>
                <w:tcPr>
                  <w:tcW w:w="582" w:type="dxa"/>
                  <w:noWrap w:val="0"/>
                  <w:vAlign w:val="center"/>
                </w:tcPr>
                <w:p w14:paraId="0574B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达标</w:t>
                  </w:r>
                </w:p>
              </w:tc>
            </w:tr>
            <w:tr w14:paraId="6E04EB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16" w:type="dxa"/>
                  <w:vMerge w:val="continue"/>
                  <w:noWrap w:val="0"/>
                  <w:vAlign w:val="center"/>
                </w:tcPr>
                <w:p w14:paraId="639FC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p>
              </w:tc>
              <w:tc>
                <w:tcPr>
                  <w:tcW w:w="901" w:type="dxa"/>
                  <w:vMerge w:val="continue"/>
                  <w:noWrap w:val="0"/>
                  <w:vAlign w:val="center"/>
                </w:tcPr>
                <w:p w14:paraId="4FCEA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p>
              </w:tc>
              <w:tc>
                <w:tcPr>
                  <w:tcW w:w="842" w:type="dxa"/>
                  <w:vMerge w:val="continue"/>
                  <w:noWrap w:val="0"/>
                  <w:vAlign w:val="center"/>
                </w:tcPr>
                <w:p w14:paraId="26243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p>
              </w:tc>
              <w:tc>
                <w:tcPr>
                  <w:tcW w:w="815" w:type="dxa"/>
                  <w:noWrap w:val="0"/>
                  <w:vAlign w:val="center"/>
                </w:tcPr>
                <w:p w14:paraId="39D22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TVOC</w:t>
                  </w:r>
                </w:p>
              </w:tc>
              <w:tc>
                <w:tcPr>
                  <w:tcW w:w="668" w:type="dxa"/>
                  <w:noWrap w:val="0"/>
                  <w:vAlign w:val="center"/>
                </w:tcPr>
                <w:p w14:paraId="760FB6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8小时均值</w:t>
                  </w:r>
                </w:p>
              </w:tc>
              <w:tc>
                <w:tcPr>
                  <w:tcW w:w="1125" w:type="dxa"/>
                  <w:noWrap w:val="0"/>
                  <w:vAlign w:val="center"/>
                </w:tcPr>
                <w:p w14:paraId="790B4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600</w:t>
                  </w:r>
                </w:p>
              </w:tc>
              <w:tc>
                <w:tcPr>
                  <w:tcW w:w="1170" w:type="dxa"/>
                  <w:noWrap w:val="0"/>
                  <w:vAlign w:val="center"/>
                </w:tcPr>
                <w:p w14:paraId="75D90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ND</w:t>
                  </w:r>
                </w:p>
              </w:tc>
              <w:tc>
                <w:tcPr>
                  <w:tcW w:w="816" w:type="dxa"/>
                  <w:noWrap w:val="0"/>
                  <w:vAlign w:val="center"/>
                </w:tcPr>
                <w:p w14:paraId="2436DC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w:t>
                  </w:r>
                </w:p>
              </w:tc>
              <w:tc>
                <w:tcPr>
                  <w:tcW w:w="781" w:type="dxa"/>
                  <w:noWrap w:val="0"/>
                  <w:vAlign w:val="center"/>
                </w:tcPr>
                <w:p w14:paraId="4EBFFD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cs="Times New Roman"/>
                      <w:bCs/>
                      <w:color w:val="000000" w:themeColor="text1"/>
                      <w:sz w:val="21"/>
                      <w:szCs w:val="21"/>
                      <w:highlight w:val="none"/>
                      <w:lang w:val="en-US" w:eastAsia="zh-CN"/>
                    </w:rPr>
                    <w:t>/</w:t>
                  </w:r>
                </w:p>
              </w:tc>
              <w:tc>
                <w:tcPr>
                  <w:tcW w:w="582" w:type="dxa"/>
                  <w:noWrap w:val="0"/>
                  <w:vAlign w:val="center"/>
                </w:tcPr>
                <w:p w14:paraId="6D2576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达标</w:t>
                  </w:r>
                </w:p>
              </w:tc>
            </w:tr>
            <w:tr w14:paraId="4086E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8416" w:type="dxa"/>
                  <w:gridSpan w:val="10"/>
                  <w:noWrap w:val="0"/>
                  <w:vAlign w:val="center"/>
                </w:tcPr>
                <w:p w14:paraId="0788FDE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000000" w:themeColor="text1"/>
                      <w:sz w:val="21"/>
                      <w:szCs w:val="21"/>
                      <w:highlight w:val="none"/>
                      <w:lang w:val="en-US" w:eastAsia="zh-CN"/>
                    </w:rPr>
                  </w:pPr>
                  <w:r>
                    <w:rPr>
                      <w:rFonts w:hint="eastAsia" w:ascii="Times New Roman" w:hAnsi="Times New Roman" w:eastAsia="宋体" w:cs="Times New Roman"/>
                      <w:bCs/>
                      <w:color w:val="000000" w:themeColor="text1"/>
                      <w:sz w:val="21"/>
                      <w:szCs w:val="21"/>
                      <w:highlight w:val="none"/>
                      <w:lang w:val="en-US" w:eastAsia="zh-CN"/>
                    </w:rPr>
                    <w:t>备注：“ND”代表未检出</w:t>
                  </w:r>
                </w:p>
              </w:tc>
            </w:tr>
          </w:tbl>
          <w:p w14:paraId="13B02893">
            <w:pPr>
              <w:pStyle w:val="161"/>
              <w:spacing w:line="360" w:lineRule="auto"/>
              <w:ind w:firstLine="480" w:firstLineChars="200"/>
              <w:rPr>
                <w:rFonts w:hint="eastAsia" w:ascii="Times New Roman" w:hAnsi="Times New Roman" w:eastAsia="宋体" w:cs="Times New Roman"/>
                <w:snapToGrid w:val="0"/>
                <w:color w:val="000000" w:themeColor="text1"/>
                <w:kern w:val="0"/>
                <w:sz w:val="24"/>
                <w:szCs w:val="24"/>
                <w:highlight w:val="none"/>
                <w:lang w:val="en-US" w:eastAsia="zh-CN" w:bidi="ar-SA"/>
              </w:rPr>
            </w:pPr>
            <w:r>
              <w:rPr>
                <w:rFonts w:hint="eastAsia" w:ascii="Times New Roman" w:hAnsi="Times New Roman" w:eastAsia="宋体" w:cs="Times New Roman"/>
                <w:snapToGrid w:val="0"/>
                <w:color w:val="000000" w:themeColor="text1"/>
                <w:kern w:val="0"/>
                <w:sz w:val="24"/>
                <w:szCs w:val="24"/>
                <w:highlight w:val="none"/>
                <w:lang w:val="en-US" w:eastAsia="zh-CN" w:bidi="ar-SA"/>
              </w:rPr>
              <w:t>从表中的统计结果来看，环境空气评价因子</w:t>
            </w:r>
            <w:r>
              <w:rPr>
                <w:rFonts w:hint="eastAsia" w:cs="Times New Roman"/>
                <w:snapToGrid w:val="0"/>
                <w:color w:val="000000" w:themeColor="text1"/>
                <w:kern w:val="0"/>
                <w:sz w:val="24"/>
                <w:szCs w:val="24"/>
                <w:highlight w:val="none"/>
                <w:lang w:val="en-US" w:eastAsia="zh-CN" w:bidi="ar-SA"/>
              </w:rPr>
              <w:t>TSP、TVOC</w:t>
            </w:r>
            <w:r>
              <w:rPr>
                <w:rFonts w:hint="eastAsia" w:ascii="Times New Roman" w:hAnsi="Times New Roman" w:eastAsia="宋体" w:cs="Times New Roman"/>
                <w:snapToGrid w:val="0"/>
                <w:color w:val="000000" w:themeColor="text1"/>
                <w:kern w:val="0"/>
                <w:sz w:val="24"/>
                <w:szCs w:val="24"/>
                <w:highlight w:val="none"/>
                <w:lang w:val="en-US" w:eastAsia="zh-CN" w:bidi="ar-SA"/>
              </w:rPr>
              <w:t>标准指数均小于</w:t>
            </w:r>
            <w:r>
              <w:rPr>
                <w:rFonts w:hint="default" w:ascii="Times New Roman" w:hAnsi="Times New Roman" w:eastAsia="宋体" w:cs="Times New Roman"/>
                <w:snapToGrid w:val="0"/>
                <w:color w:val="000000" w:themeColor="text1"/>
                <w:kern w:val="0"/>
                <w:sz w:val="24"/>
                <w:szCs w:val="24"/>
                <w:highlight w:val="none"/>
                <w:lang w:val="en-US" w:eastAsia="zh-CN" w:bidi="ar-SA"/>
              </w:rPr>
              <w:t>1</w:t>
            </w:r>
            <w:r>
              <w:rPr>
                <w:rFonts w:hint="eastAsia" w:cs="Times New Roman"/>
                <w:snapToGrid w:val="0"/>
                <w:color w:val="000000" w:themeColor="text1"/>
                <w:kern w:val="0"/>
                <w:sz w:val="24"/>
                <w:szCs w:val="24"/>
                <w:highlight w:val="none"/>
                <w:lang w:val="en-US" w:eastAsia="zh-CN" w:bidi="ar-SA"/>
              </w:rPr>
              <w:t>。TSP</w:t>
            </w:r>
            <w:r>
              <w:rPr>
                <w:rFonts w:hint="eastAsia" w:ascii="Times New Roman" w:hAnsi="Times New Roman" w:eastAsia="宋体" w:cs="Times New Roman"/>
                <w:snapToGrid w:val="0"/>
                <w:color w:val="000000" w:themeColor="text1"/>
                <w:kern w:val="0"/>
                <w:sz w:val="24"/>
                <w:szCs w:val="24"/>
                <w:highlight w:val="none"/>
                <w:lang w:val="en-US" w:eastAsia="zh-CN" w:bidi="ar-SA"/>
              </w:rPr>
              <w:t>符合《环境空气质量标准》（GB3095-2012）二级标准限值要求，</w:t>
            </w:r>
            <w:r>
              <w:rPr>
                <w:rFonts w:hint="eastAsia" w:cs="Times New Roman"/>
                <w:snapToGrid w:val="0"/>
                <w:color w:val="000000" w:themeColor="text1"/>
                <w:kern w:val="0"/>
                <w:sz w:val="24"/>
                <w:szCs w:val="24"/>
                <w:highlight w:val="none"/>
                <w:lang w:val="en-US" w:eastAsia="zh-CN" w:bidi="ar-SA"/>
              </w:rPr>
              <w:t>TVOC</w:t>
            </w:r>
            <w:r>
              <w:rPr>
                <w:rFonts w:hint="eastAsia" w:ascii="Times New Roman" w:hAnsi="Times New Roman" w:eastAsia="宋体" w:cs="Times New Roman"/>
                <w:snapToGrid w:val="0"/>
                <w:color w:val="000000" w:themeColor="text1"/>
                <w:kern w:val="0"/>
                <w:sz w:val="24"/>
                <w:szCs w:val="24"/>
                <w:highlight w:val="none"/>
                <w:lang w:val="en-US" w:eastAsia="zh-CN" w:bidi="ar-SA"/>
              </w:rPr>
              <w:t>符合</w:t>
            </w:r>
            <w:r>
              <w:rPr>
                <w:rFonts w:ascii="Times New Roman" w:hAnsi="Times New Roman" w:eastAsiaTheme="minorEastAsia"/>
                <w:color w:val="000000" w:themeColor="text1"/>
                <w:kern w:val="2"/>
              </w:rPr>
              <w:t>《环境影响评价技术导则大气环境》（HJ2.2-2018）附录D表D.1标准中浓度限值</w:t>
            </w:r>
            <w:r>
              <w:rPr>
                <w:rFonts w:hint="eastAsia" w:ascii="Times New Roman" w:hAnsi="Times New Roman" w:eastAsiaTheme="minorEastAsia"/>
                <w:color w:val="000000" w:themeColor="text1"/>
                <w:kern w:val="2"/>
                <w:lang w:eastAsia="zh-CN"/>
              </w:rPr>
              <w:t>；</w:t>
            </w:r>
            <w:r>
              <w:rPr>
                <w:rFonts w:hint="eastAsia" w:ascii="Times New Roman" w:hAnsi="Times New Roman" w:eastAsia="宋体" w:cs="Times New Roman"/>
                <w:snapToGrid w:val="0"/>
                <w:color w:val="000000" w:themeColor="text1"/>
                <w:kern w:val="0"/>
                <w:sz w:val="24"/>
                <w:szCs w:val="24"/>
                <w:highlight w:val="none"/>
                <w:lang w:val="en-US" w:eastAsia="zh-CN" w:bidi="ar-SA"/>
              </w:rPr>
              <w:t>说明评价区域内的环境空气质量良好。</w:t>
            </w:r>
          </w:p>
          <w:p w14:paraId="3B8F013F">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2、地表水</w:t>
            </w:r>
          </w:p>
          <w:p w14:paraId="0285C1FF">
            <w:pPr>
              <w:spacing w:line="360" w:lineRule="auto"/>
              <w:ind w:firstLine="482"/>
              <w:rPr>
                <w:rFonts w:hint="eastAsia"/>
                <w:color w:val="000000" w:themeColor="text1"/>
                <w:lang w:eastAsia="zh-CN"/>
              </w:rPr>
            </w:pPr>
            <w:r>
              <w:rPr>
                <w:color w:val="000000" w:themeColor="text1"/>
                <w:sz w:val="24"/>
                <w:highlight w:val="none"/>
              </w:rPr>
              <w:t>本项目</w:t>
            </w:r>
            <w:r>
              <w:rPr>
                <w:rFonts w:hint="eastAsia"/>
                <w:color w:val="000000" w:themeColor="text1"/>
                <w:sz w:val="24"/>
                <w:highlight w:val="none"/>
                <w:lang w:val="en-US" w:eastAsia="zh-CN"/>
              </w:rPr>
              <w:t>废水为地面清洗水，经厂内化粪池处理后通过园区管网汇入赤湖工业园污水处理厂深度处理，经赤湖工业园污水处理厂</w:t>
            </w:r>
            <w:r>
              <w:rPr>
                <w:rFonts w:hint="default"/>
                <w:color w:val="000000" w:themeColor="text1"/>
              </w:rPr>
              <w:t>处理</w:t>
            </w:r>
            <w:r>
              <w:rPr>
                <w:rFonts w:hint="eastAsia"/>
                <w:color w:val="000000" w:themeColor="text1"/>
                <w:lang w:eastAsia="zh-CN"/>
              </w:rPr>
              <w:t>达到</w:t>
            </w:r>
            <w:r>
              <w:rPr>
                <w:rFonts w:hint="default"/>
                <w:color w:val="000000" w:themeColor="text1"/>
              </w:rPr>
              <w:t>《城镇污水处理厂污染物排放标准》（GB18918-2002）中的</w:t>
            </w:r>
            <w:r>
              <w:rPr>
                <w:rFonts w:hint="eastAsia"/>
                <w:color w:val="000000" w:themeColor="text1"/>
                <w:lang w:eastAsia="zh-CN"/>
              </w:rPr>
              <w:t>一级A</w:t>
            </w:r>
            <w:r>
              <w:rPr>
                <w:rFonts w:hint="default"/>
                <w:color w:val="000000" w:themeColor="text1"/>
              </w:rPr>
              <w:t>标准后，最终排入</w:t>
            </w:r>
            <w:r>
              <w:rPr>
                <w:rFonts w:hint="default"/>
                <w:color w:val="000000" w:themeColor="text1"/>
                <w:lang w:eastAsia="zh-CN"/>
              </w:rPr>
              <w:t>长江</w:t>
            </w:r>
            <w:r>
              <w:rPr>
                <w:rFonts w:hint="eastAsia"/>
                <w:color w:val="000000" w:themeColor="text1"/>
                <w:lang w:eastAsia="zh-CN"/>
              </w:rPr>
              <w:t>。</w:t>
            </w:r>
          </w:p>
          <w:p w14:paraId="5784BBE4">
            <w:pPr>
              <w:spacing w:line="360" w:lineRule="auto"/>
              <w:ind w:firstLine="480" w:firstLineChars="200"/>
              <w:rPr>
                <w:rFonts w:hint="default" w:ascii="Times New Roman" w:hAnsi="Times New Roman" w:eastAsia="宋体" w:cs="Times New Roman"/>
                <w:bCs/>
                <w:color w:val="000000" w:themeColor="text1"/>
                <w:sz w:val="24"/>
                <w:highlight w:val="none"/>
                <w:shd w:val="clear" w:color="auto" w:fill="auto"/>
                <w:lang w:val="en-US" w:eastAsia="zh-CN"/>
              </w:rPr>
            </w:pPr>
            <w:r>
              <w:rPr>
                <w:rFonts w:hint="default" w:ascii="Times New Roman" w:hAnsi="Times New Roman" w:eastAsia="宋体" w:cs="Times New Roman"/>
                <w:bCs/>
                <w:color w:val="000000" w:themeColor="text1"/>
                <w:sz w:val="24"/>
                <w:highlight w:val="none"/>
                <w:shd w:val="clear" w:color="auto" w:fill="auto"/>
                <w:lang w:val="en-US" w:eastAsia="zh-CN"/>
              </w:rPr>
              <w:t>根据《环境影响评</w:t>
            </w:r>
            <w:r>
              <w:rPr>
                <w:rFonts w:hint="eastAsia" w:ascii="Times New Roman" w:hAnsi="Times New Roman" w:eastAsia="宋体" w:cs="Times New Roman"/>
                <w:bCs/>
                <w:color w:val="000000" w:themeColor="text1"/>
                <w:sz w:val="24"/>
                <w:highlight w:val="none"/>
                <w:shd w:val="clear" w:color="auto" w:fill="auto"/>
                <w:lang w:val="en-US" w:eastAsia="zh-CN"/>
              </w:rPr>
              <w:t>价</w:t>
            </w:r>
            <w:r>
              <w:rPr>
                <w:rFonts w:hint="default" w:ascii="Times New Roman" w:hAnsi="Times New Roman" w:eastAsia="宋体" w:cs="Times New Roman"/>
                <w:bCs/>
                <w:color w:val="000000" w:themeColor="text1"/>
                <w:sz w:val="24"/>
                <w:highlight w:val="none"/>
                <w:shd w:val="clear" w:color="auto" w:fill="auto"/>
                <w:lang w:val="en-US" w:eastAsia="zh-CN"/>
              </w:rPr>
              <w:t>技术导则 地表水环境》（HJ2.3-2018）6.6.3.2“应优先采用国务院生态环境保护主管部门统一发布的水环境状况信息”，因此本</w:t>
            </w:r>
            <w:r>
              <w:rPr>
                <w:rFonts w:hint="eastAsia" w:ascii="Times New Roman" w:hAnsi="Times New Roman" w:eastAsia="宋体" w:cs="Times New Roman"/>
                <w:bCs/>
                <w:color w:val="000000" w:themeColor="text1"/>
                <w:sz w:val="24"/>
                <w:highlight w:val="none"/>
                <w:shd w:val="clear" w:color="auto" w:fill="auto"/>
                <w:lang w:val="en-US" w:eastAsia="zh-CN"/>
              </w:rPr>
              <w:t>次</w:t>
            </w:r>
            <w:r>
              <w:rPr>
                <w:rFonts w:hint="default" w:ascii="Times New Roman" w:hAnsi="Times New Roman" w:eastAsia="宋体" w:cs="Times New Roman"/>
                <w:bCs/>
                <w:color w:val="000000" w:themeColor="text1"/>
                <w:sz w:val="24"/>
                <w:highlight w:val="none"/>
                <w:shd w:val="clear" w:color="auto" w:fill="auto"/>
                <w:lang w:val="en-US" w:eastAsia="zh-CN"/>
              </w:rPr>
              <w:t>评价根据江西省生态环境厅发布《202</w:t>
            </w:r>
            <w:r>
              <w:rPr>
                <w:rFonts w:hint="eastAsia" w:ascii="Times New Roman" w:hAnsi="Times New Roman" w:eastAsia="宋体" w:cs="Times New Roman"/>
                <w:bCs/>
                <w:color w:val="000000" w:themeColor="text1"/>
                <w:sz w:val="24"/>
                <w:highlight w:val="none"/>
                <w:shd w:val="clear" w:color="auto" w:fill="auto"/>
                <w:lang w:val="en-US" w:eastAsia="zh-CN"/>
              </w:rPr>
              <w:t>4</w:t>
            </w:r>
            <w:r>
              <w:rPr>
                <w:rFonts w:hint="default" w:ascii="Times New Roman" w:hAnsi="Times New Roman" w:eastAsia="宋体" w:cs="Times New Roman"/>
                <w:bCs/>
                <w:color w:val="000000" w:themeColor="text1"/>
                <w:sz w:val="24"/>
                <w:highlight w:val="none"/>
                <w:shd w:val="clear" w:color="auto" w:fill="auto"/>
                <w:lang w:val="en-US" w:eastAsia="zh-CN"/>
              </w:rPr>
              <w:t>年江西省生态环境状况公报》中相关数据，长江九江段断面水质优良比例为100%，水质优，区域水环境质量优。</w:t>
            </w:r>
          </w:p>
          <w:p w14:paraId="179F8B35">
            <w:pPr>
              <w:pStyle w:val="14"/>
              <w:keepNext w:val="0"/>
              <w:keepLines w:val="0"/>
              <w:pageBreakBefore w:val="0"/>
              <w:widowControl w:val="0"/>
              <w:tabs>
                <w:tab w:val="left" w:pos="3360"/>
              </w:tabs>
              <w:kinsoku/>
              <w:wordWrap/>
              <w:overflowPunct/>
              <w:topLinePunct w:val="0"/>
              <w:autoSpaceDE/>
              <w:autoSpaceDN/>
              <w:bidi w:val="0"/>
              <w:adjustRightInd/>
              <w:snapToGrid/>
              <w:spacing w:line="240" w:lineRule="auto"/>
              <w:ind w:firstLine="0" w:firstLineChars="0"/>
              <w:jc w:val="center"/>
              <w:textAlignment w:val="auto"/>
              <w:rPr>
                <w:color w:val="000000" w:themeColor="text1"/>
              </w:rPr>
            </w:pPr>
            <w:r>
              <w:rPr>
                <w:color w:val="000000" w:themeColor="text1"/>
              </w:rPr>
              <w:drawing>
                <wp:inline distT="0" distB="0" distL="114300" distR="114300">
                  <wp:extent cx="4495165" cy="1629410"/>
                  <wp:effectExtent l="0" t="0" r="635" b="889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33"/>
                          <a:stretch>
                            <a:fillRect/>
                          </a:stretch>
                        </pic:blipFill>
                        <pic:spPr>
                          <a:xfrm>
                            <a:off x="0" y="0"/>
                            <a:ext cx="4495165" cy="1629410"/>
                          </a:xfrm>
                          <a:prstGeom prst="rect">
                            <a:avLst/>
                          </a:prstGeom>
                          <a:noFill/>
                          <a:ln>
                            <a:noFill/>
                          </a:ln>
                        </pic:spPr>
                      </pic:pic>
                    </a:graphicData>
                  </a:graphic>
                </wp:inline>
              </w:drawing>
            </w:r>
          </w:p>
          <w:p w14:paraId="1BF3EB3C">
            <w:pPr>
              <w:pStyle w:val="14"/>
              <w:keepNext w:val="0"/>
              <w:keepLines w:val="0"/>
              <w:pageBreakBefore w:val="0"/>
              <w:widowControl w:val="0"/>
              <w:tabs>
                <w:tab w:val="left" w:pos="3360"/>
              </w:tabs>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color w:val="000000" w:themeColor="text1"/>
                <w:szCs w:val="21"/>
                <w:lang w:eastAsia="zh-CN"/>
              </w:rPr>
            </w:pPr>
            <w:r>
              <w:rPr>
                <w:rFonts w:hint="default" w:ascii="Times New Roman" w:hAnsi="Times New Roman" w:eastAsia="宋体" w:cs="Times New Roman"/>
                <w:b/>
                <w:color w:val="000000" w:themeColor="text1"/>
                <w:szCs w:val="21"/>
                <w:lang w:eastAsia="zh-CN"/>
              </w:rPr>
              <w:t>图</w:t>
            </w:r>
            <w:r>
              <w:rPr>
                <w:rFonts w:hint="default" w:ascii="Times New Roman" w:hAnsi="Times New Roman" w:eastAsia="宋体" w:cs="Times New Roman"/>
                <w:b/>
                <w:color w:val="000000" w:themeColor="text1"/>
                <w:szCs w:val="21"/>
              </w:rPr>
              <w:t>3-</w:t>
            </w:r>
            <w:r>
              <w:rPr>
                <w:rFonts w:hint="eastAsia" w:ascii="Times New Roman" w:hAnsi="Times New Roman" w:eastAsia="宋体" w:cs="Times New Roman"/>
                <w:b/>
                <w:color w:val="000000" w:themeColor="text1"/>
                <w:szCs w:val="21"/>
                <w:lang w:val="en-US" w:eastAsia="zh-CN"/>
              </w:rPr>
              <w:t>2</w:t>
            </w:r>
            <w:r>
              <w:rPr>
                <w:rFonts w:hint="default" w:ascii="Times New Roman" w:hAnsi="Times New Roman" w:eastAsia="宋体" w:cs="Times New Roman"/>
                <w:b/>
                <w:color w:val="000000" w:themeColor="text1"/>
                <w:szCs w:val="21"/>
              </w:rPr>
              <w:t xml:space="preserve">   </w:t>
            </w:r>
            <w:r>
              <w:rPr>
                <w:rFonts w:hint="eastAsia" w:ascii="Times New Roman" w:hAnsi="Times New Roman" w:eastAsia="宋体" w:cs="Times New Roman"/>
                <w:b/>
                <w:color w:val="000000" w:themeColor="text1"/>
                <w:szCs w:val="21"/>
                <w:lang w:val="en-US" w:eastAsia="zh-CN"/>
              </w:rPr>
              <w:t>2024年江西省主要河流</w:t>
            </w:r>
            <w:r>
              <w:rPr>
                <w:rFonts w:hint="eastAsia" w:ascii="Times New Roman" w:hAnsi="Times New Roman" w:cs="Times New Roman"/>
                <w:b/>
                <w:color w:val="000000" w:themeColor="text1"/>
                <w:szCs w:val="21"/>
                <w:lang w:val="en-US" w:eastAsia="zh-CN"/>
              </w:rPr>
              <w:t>水质优良率</w:t>
            </w:r>
            <w:r>
              <w:rPr>
                <w:rFonts w:hint="eastAsia" w:ascii="Times New Roman" w:hAnsi="Times New Roman" w:eastAsia="宋体" w:cs="Times New Roman"/>
                <w:b/>
                <w:color w:val="000000" w:themeColor="text1"/>
                <w:szCs w:val="21"/>
                <w:lang w:val="en-US" w:eastAsia="zh-CN"/>
              </w:rPr>
              <w:t>比例图</w:t>
            </w:r>
            <w:r>
              <w:rPr>
                <w:rFonts w:hint="default" w:ascii="Times New Roman" w:hAnsi="Times New Roman" w:eastAsia="宋体" w:cs="Times New Roman"/>
                <w:b/>
                <w:color w:val="000000" w:themeColor="text1"/>
                <w:szCs w:val="21"/>
                <w:lang w:eastAsia="zh-CN"/>
              </w:rPr>
              <w:t>截图</w:t>
            </w:r>
          </w:p>
          <w:p w14:paraId="2BF62E8D">
            <w:pPr>
              <w:pStyle w:val="86"/>
              <w:ind w:firstLine="480" w:firstLineChars="200"/>
              <w:rPr>
                <w:rFonts w:hint="default" w:ascii="Times New Roman" w:hAnsi="Times New Roman" w:eastAsia="宋体" w:cs="Times New Roman"/>
                <w:color w:val="000000" w:themeColor="text1"/>
              </w:rPr>
            </w:pPr>
            <w:r>
              <w:rPr>
                <w:rFonts w:hAnsi="宋体"/>
                <w:color w:val="000000" w:themeColor="text1"/>
                <w:sz w:val="24"/>
              </w:rPr>
              <w:t>为了解项目所在地区域环境质量现状，</w:t>
            </w:r>
            <w:r>
              <w:rPr>
                <w:color w:val="000000" w:themeColor="text1"/>
                <w:sz w:val="24"/>
              </w:rPr>
              <w:t>本评价引用</w:t>
            </w:r>
            <w:r>
              <w:rPr>
                <w:rFonts w:hint="eastAsia"/>
                <w:color w:val="000000" w:themeColor="text1"/>
                <w:sz w:val="24"/>
                <w:szCs w:val="24"/>
                <w:highlight w:val="none"/>
                <w:lang w:val="en-US" w:eastAsia="zh-CN"/>
              </w:rPr>
              <w:t>江西力圣检测</w:t>
            </w:r>
            <w:r>
              <w:rPr>
                <w:rFonts w:hint="eastAsia"/>
                <w:color w:val="000000" w:themeColor="text1"/>
                <w:sz w:val="24"/>
                <w:szCs w:val="24"/>
                <w:highlight w:val="none"/>
              </w:rPr>
              <w:t>有限公司出具的《九江市沙城工业园</w:t>
            </w:r>
            <w:r>
              <w:rPr>
                <w:rFonts w:hint="eastAsia"/>
                <w:color w:val="000000" w:themeColor="text1"/>
                <w:sz w:val="24"/>
                <w:szCs w:val="24"/>
                <w:highlight w:val="none"/>
                <w:lang w:val="en-US" w:eastAsia="zh-CN"/>
              </w:rPr>
              <w:t>区</w:t>
            </w:r>
            <w:r>
              <w:rPr>
                <w:rFonts w:hint="eastAsia"/>
                <w:color w:val="000000" w:themeColor="text1"/>
                <w:sz w:val="24"/>
                <w:szCs w:val="24"/>
                <w:highlight w:val="none"/>
              </w:rPr>
              <w:t>环境质量监测</w:t>
            </w:r>
            <w:r>
              <w:rPr>
                <w:rFonts w:hint="eastAsia"/>
                <w:color w:val="000000" w:themeColor="text1"/>
                <w:sz w:val="24"/>
                <w:szCs w:val="24"/>
                <w:highlight w:val="none"/>
                <w:lang w:val="en-US" w:eastAsia="zh-CN"/>
              </w:rPr>
              <w:t>数据更新项目</w:t>
            </w:r>
            <w:r>
              <w:rPr>
                <w:rFonts w:hint="eastAsia"/>
                <w:color w:val="000000" w:themeColor="text1"/>
                <w:sz w:val="24"/>
                <w:szCs w:val="24"/>
                <w:highlight w:val="none"/>
              </w:rPr>
              <w:t>》中的</w:t>
            </w:r>
            <w:r>
              <w:rPr>
                <w:rFonts w:hint="eastAsia"/>
                <w:color w:val="000000" w:themeColor="text1"/>
                <w:sz w:val="24"/>
                <w:szCs w:val="24"/>
                <w:highlight w:val="none"/>
                <w:lang w:val="en-US" w:eastAsia="zh-CN"/>
              </w:rPr>
              <w:t>5</w:t>
            </w:r>
            <w:r>
              <w:rPr>
                <w:rFonts w:hint="default" w:ascii="Times New Roman" w:hAnsi="Times New Roman" w:eastAsia="宋体" w:cs="Times New Roman"/>
                <w:color w:val="000000" w:themeColor="text1"/>
              </w:rPr>
              <w:t>个地表水环境监测断面</w:t>
            </w:r>
            <w:r>
              <w:rPr>
                <w:rFonts w:hint="eastAsia"/>
                <w:color w:val="000000" w:themeColor="text1"/>
                <w:sz w:val="24"/>
                <w:szCs w:val="24"/>
                <w:highlight w:val="none"/>
              </w:rPr>
              <w:t>数据，监测点位</w:t>
            </w:r>
            <w:r>
              <w:rPr>
                <w:rFonts w:hint="eastAsia"/>
                <w:color w:val="000000" w:themeColor="text1"/>
                <w:sz w:val="24"/>
                <w:szCs w:val="24"/>
                <w:highlight w:val="none"/>
                <w:lang w:val="en-US" w:eastAsia="zh-CN"/>
              </w:rPr>
              <w:t>如表3-5所示</w:t>
            </w:r>
            <w:r>
              <w:rPr>
                <w:rFonts w:hint="eastAsia"/>
                <w:color w:val="000000" w:themeColor="text1"/>
                <w:sz w:val="24"/>
                <w:szCs w:val="24"/>
                <w:highlight w:val="none"/>
              </w:rPr>
              <w:t>，监测时间为202</w:t>
            </w:r>
            <w:r>
              <w:rPr>
                <w:rFonts w:hint="eastAsia"/>
                <w:color w:val="000000" w:themeColor="text1"/>
                <w:sz w:val="24"/>
                <w:szCs w:val="24"/>
                <w:highlight w:val="none"/>
                <w:lang w:val="en-US" w:eastAsia="zh-CN"/>
              </w:rPr>
              <w:t>4</w:t>
            </w:r>
            <w:r>
              <w:rPr>
                <w:rFonts w:hint="eastAsia"/>
                <w:color w:val="000000" w:themeColor="text1"/>
                <w:sz w:val="24"/>
                <w:szCs w:val="24"/>
                <w:highlight w:val="none"/>
              </w:rPr>
              <w:t>.</w:t>
            </w:r>
            <w:r>
              <w:rPr>
                <w:rFonts w:hint="eastAsia"/>
                <w:color w:val="000000" w:themeColor="text1"/>
                <w:sz w:val="24"/>
                <w:szCs w:val="24"/>
                <w:highlight w:val="none"/>
                <w:lang w:val="en-US" w:eastAsia="zh-CN"/>
              </w:rPr>
              <w:t>02</w:t>
            </w:r>
            <w:r>
              <w:rPr>
                <w:rFonts w:hint="eastAsia"/>
                <w:color w:val="000000" w:themeColor="text1"/>
                <w:sz w:val="24"/>
                <w:szCs w:val="24"/>
                <w:highlight w:val="none"/>
              </w:rPr>
              <w:t>.2</w:t>
            </w:r>
            <w:r>
              <w:rPr>
                <w:rFonts w:hint="eastAsia"/>
                <w:color w:val="000000" w:themeColor="text1"/>
                <w:sz w:val="24"/>
                <w:szCs w:val="24"/>
                <w:highlight w:val="none"/>
                <w:lang w:val="en-US" w:eastAsia="zh-CN"/>
              </w:rPr>
              <w:t>9</w:t>
            </w:r>
            <w:r>
              <w:rPr>
                <w:rFonts w:hint="eastAsia"/>
                <w:color w:val="000000" w:themeColor="text1"/>
                <w:sz w:val="24"/>
                <w:szCs w:val="24"/>
                <w:highlight w:val="none"/>
              </w:rPr>
              <w:t>~202</w:t>
            </w:r>
            <w:r>
              <w:rPr>
                <w:rFonts w:hint="eastAsia"/>
                <w:color w:val="000000" w:themeColor="text1"/>
                <w:sz w:val="24"/>
                <w:szCs w:val="24"/>
                <w:highlight w:val="none"/>
                <w:lang w:val="en-US" w:eastAsia="zh-CN"/>
              </w:rPr>
              <w:t>4.03.02</w:t>
            </w:r>
            <w:r>
              <w:rPr>
                <w:rFonts w:hint="eastAsia"/>
                <w:color w:val="000000" w:themeColor="text1"/>
                <w:sz w:val="24"/>
                <w:szCs w:val="24"/>
                <w:highlight w:val="none"/>
              </w:rPr>
              <w:t>。</w:t>
            </w:r>
            <w:r>
              <w:rPr>
                <w:rFonts w:hint="default" w:ascii="Times New Roman" w:hAnsi="Times New Roman" w:eastAsia="宋体" w:cs="Times New Roman"/>
                <w:color w:val="000000" w:themeColor="text1"/>
              </w:rPr>
              <w:t>本项目</w:t>
            </w:r>
            <w:r>
              <w:rPr>
                <w:rFonts w:hint="eastAsia" w:ascii="Times New Roman" w:hAnsi="Times New Roman" w:eastAsia="宋体" w:cs="Times New Roman"/>
                <w:color w:val="000000" w:themeColor="text1"/>
                <w:lang w:val="en-US" w:eastAsia="zh-CN"/>
              </w:rPr>
              <w:t>现有</w:t>
            </w:r>
            <w:r>
              <w:rPr>
                <w:rFonts w:hint="default" w:ascii="Times New Roman" w:hAnsi="Times New Roman" w:eastAsia="宋体" w:cs="Times New Roman"/>
                <w:color w:val="000000" w:themeColor="text1"/>
              </w:rPr>
              <w:t>废水</w:t>
            </w:r>
            <w:r>
              <w:rPr>
                <w:rFonts w:hint="default" w:ascii="Times New Roman" w:hAnsi="Times New Roman" w:eastAsia="宋体" w:cs="Times New Roman"/>
                <w:color w:val="000000" w:themeColor="text1"/>
                <w:lang w:val="en-US" w:eastAsia="zh-CN"/>
              </w:rPr>
              <w:t>经</w:t>
            </w:r>
            <w:r>
              <w:rPr>
                <w:rFonts w:hint="eastAsia"/>
                <w:color w:val="000000" w:themeColor="text1"/>
                <w:sz w:val="24"/>
                <w:highlight w:val="none"/>
                <w:lang w:val="en-US" w:eastAsia="zh-CN"/>
              </w:rPr>
              <w:t>赤湖工业园污水处理厂处理后进入</w:t>
            </w:r>
            <w:r>
              <w:rPr>
                <w:rFonts w:hint="eastAsia" w:ascii="Times New Roman" w:hAnsi="Times New Roman" w:eastAsia="宋体" w:cs="Times New Roman"/>
                <w:color w:val="000000" w:themeColor="text1"/>
                <w:lang w:val="en-US" w:eastAsia="zh-CN"/>
              </w:rPr>
              <w:t>长江</w:t>
            </w:r>
            <w:r>
              <w:rPr>
                <w:rFonts w:hint="default"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lang w:val="en-US" w:eastAsia="zh-CN"/>
              </w:rPr>
              <w:t>引用此报告可行</w:t>
            </w:r>
            <w:r>
              <w:rPr>
                <w:rFonts w:hint="default" w:ascii="Times New Roman" w:hAnsi="Times New Roman" w:eastAsia="宋体" w:cs="Times New Roman"/>
                <w:color w:val="000000" w:themeColor="text1"/>
              </w:rPr>
              <w:t>。</w:t>
            </w:r>
          </w:p>
          <w:p w14:paraId="66D433AF">
            <w:pPr>
              <w:spacing w:line="360" w:lineRule="auto"/>
              <w:ind w:firstLine="482"/>
              <w:rPr>
                <w:color w:val="000000" w:themeColor="text1"/>
                <w:sz w:val="24"/>
              </w:rPr>
            </w:pPr>
            <w:r>
              <w:rPr>
                <w:color w:val="000000" w:themeColor="text1"/>
                <w:sz w:val="24"/>
              </w:rPr>
              <w:t>（1）</w:t>
            </w:r>
            <w:r>
              <w:rPr>
                <w:rFonts w:hint="eastAsia"/>
                <w:color w:val="000000" w:themeColor="text1"/>
                <w:sz w:val="24"/>
              </w:rPr>
              <w:t>监测点位</w:t>
            </w:r>
          </w:p>
          <w:p w14:paraId="627B6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color w:val="000000" w:themeColor="text1"/>
                <w:sz w:val="21"/>
                <w:szCs w:val="21"/>
              </w:rPr>
            </w:pPr>
            <w:r>
              <w:rPr>
                <w:b/>
                <w:color w:val="000000" w:themeColor="text1"/>
                <w:sz w:val="21"/>
                <w:szCs w:val="21"/>
              </w:rPr>
              <w:t>表</w:t>
            </w:r>
            <w:r>
              <w:rPr>
                <w:rFonts w:hint="eastAsia"/>
                <w:b/>
                <w:color w:val="000000" w:themeColor="text1"/>
                <w:sz w:val="21"/>
                <w:szCs w:val="21"/>
              </w:rPr>
              <w:t>3-</w:t>
            </w:r>
            <w:r>
              <w:rPr>
                <w:rFonts w:hint="eastAsia"/>
                <w:b/>
                <w:color w:val="000000" w:themeColor="text1"/>
                <w:sz w:val="21"/>
                <w:szCs w:val="21"/>
                <w:lang w:val="en-US" w:eastAsia="zh-CN"/>
              </w:rPr>
              <w:t>5</w:t>
            </w:r>
            <w:r>
              <w:rPr>
                <w:b/>
                <w:color w:val="000000" w:themeColor="text1"/>
                <w:sz w:val="21"/>
                <w:szCs w:val="21"/>
              </w:rPr>
              <w:t xml:space="preserve">      地表水现状监测断面位置</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867"/>
              <w:gridCol w:w="1170"/>
              <w:gridCol w:w="5002"/>
              <w:gridCol w:w="1318"/>
            </w:tblGrid>
            <w:tr w14:paraId="1E2DAA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0" w:hRule="atLeast"/>
                <w:jc w:val="center"/>
              </w:trPr>
              <w:tc>
                <w:tcPr>
                  <w:tcW w:w="518" w:type="pct"/>
                  <w:noWrap w:val="0"/>
                  <w:vAlign w:val="center"/>
                </w:tcPr>
                <w:p w14:paraId="1990B49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snapToGrid w:val="0"/>
                      <w:color w:val="000000" w:themeColor="text1"/>
                      <w:kern w:val="0"/>
                      <w:sz w:val="21"/>
                      <w:szCs w:val="21"/>
                    </w:rPr>
                  </w:pPr>
                  <w:r>
                    <w:rPr>
                      <w:b/>
                      <w:snapToGrid w:val="0"/>
                      <w:color w:val="000000" w:themeColor="text1"/>
                      <w:kern w:val="0"/>
                      <w:sz w:val="21"/>
                      <w:szCs w:val="21"/>
                    </w:rPr>
                    <w:t>水体</w:t>
                  </w:r>
                </w:p>
              </w:tc>
              <w:tc>
                <w:tcPr>
                  <w:tcW w:w="700" w:type="pct"/>
                  <w:noWrap w:val="0"/>
                  <w:vAlign w:val="center"/>
                </w:tcPr>
                <w:p w14:paraId="1B74BE1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snapToGrid w:val="0"/>
                      <w:color w:val="000000" w:themeColor="text1"/>
                      <w:kern w:val="0"/>
                      <w:sz w:val="21"/>
                      <w:szCs w:val="21"/>
                    </w:rPr>
                  </w:pPr>
                  <w:r>
                    <w:rPr>
                      <w:b/>
                      <w:snapToGrid w:val="0"/>
                      <w:color w:val="000000" w:themeColor="text1"/>
                      <w:kern w:val="0"/>
                      <w:sz w:val="21"/>
                      <w:szCs w:val="21"/>
                    </w:rPr>
                    <w:t>断面编号</w:t>
                  </w:r>
                </w:p>
              </w:tc>
              <w:tc>
                <w:tcPr>
                  <w:tcW w:w="2992" w:type="pct"/>
                  <w:noWrap w:val="0"/>
                  <w:vAlign w:val="center"/>
                </w:tcPr>
                <w:p w14:paraId="674DC5A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snapToGrid w:val="0"/>
                      <w:color w:val="000000" w:themeColor="text1"/>
                      <w:kern w:val="0"/>
                      <w:sz w:val="21"/>
                      <w:szCs w:val="21"/>
                    </w:rPr>
                  </w:pPr>
                  <w:r>
                    <w:rPr>
                      <w:b/>
                      <w:bCs/>
                      <w:snapToGrid w:val="0"/>
                      <w:color w:val="000000" w:themeColor="text1"/>
                      <w:kern w:val="0"/>
                      <w:sz w:val="21"/>
                      <w:szCs w:val="21"/>
                    </w:rPr>
                    <w:t>位置</w:t>
                  </w:r>
                </w:p>
              </w:tc>
              <w:tc>
                <w:tcPr>
                  <w:tcW w:w="788" w:type="pct"/>
                  <w:noWrap w:val="0"/>
                  <w:vAlign w:val="center"/>
                </w:tcPr>
                <w:p w14:paraId="6186506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b/>
                      <w:bCs/>
                      <w:snapToGrid w:val="0"/>
                      <w:color w:val="000000" w:themeColor="text1"/>
                      <w:kern w:val="0"/>
                      <w:sz w:val="21"/>
                      <w:szCs w:val="21"/>
                    </w:rPr>
                  </w:pPr>
                  <w:r>
                    <w:rPr>
                      <w:b/>
                      <w:bCs/>
                      <w:snapToGrid w:val="0"/>
                      <w:color w:val="000000" w:themeColor="text1"/>
                      <w:kern w:val="0"/>
                      <w:sz w:val="21"/>
                      <w:szCs w:val="21"/>
                    </w:rPr>
                    <w:t>监测目的</w:t>
                  </w:r>
                </w:p>
              </w:tc>
            </w:tr>
            <w:tr w14:paraId="66E658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2" w:hRule="atLeast"/>
                <w:jc w:val="center"/>
              </w:trPr>
              <w:tc>
                <w:tcPr>
                  <w:tcW w:w="518" w:type="pct"/>
                  <w:vMerge w:val="restart"/>
                  <w:noWrap w:val="0"/>
                  <w:vAlign w:val="center"/>
                </w:tcPr>
                <w:p w14:paraId="670F644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r>
                    <w:rPr>
                      <w:rFonts w:hint="eastAsia"/>
                      <w:snapToGrid w:val="0"/>
                      <w:color w:val="000000" w:themeColor="text1"/>
                      <w:kern w:val="0"/>
                      <w:sz w:val="21"/>
                      <w:szCs w:val="21"/>
                    </w:rPr>
                    <w:t>长江</w:t>
                  </w:r>
                </w:p>
              </w:tc>
              <w:tc>
                <w:tcPr>
                  <w:tcW w:w="700" w:type="pct"/>
                  <w:noWrap w:val="0"/>
                  <w:vAlign w:val="center"/>
                </w:tcPr>
                <w:p w14:paraId="148C0A7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snapToGrid w:val="0"/>
                      <w:color w:val="000000" w:themeColor="text1"/>
                      <w:kern w:val="0"/>
                      <w:sz w:val="21"/>
                      <w:szCs w:val="21"/>
                      <w:lang w:val="en-US" w:eastAsia="zh-CN"/>
                    </w:rPr>
                  </w:pPr>
                  <w:r>
                    <w:rPr>
                      <w:snapToGrid w:val="0"/>
                      <w:color w:val="000000" w:themeColor="text1"/>
                      <w:kern w:val="0"/>
                      <w:sz w:val="21"/>
                      <w:szCs w:val="21"/>
                    </w:rPr>
                    <w:t>SW</w:t>
                  </w:r>
                  <w:r>
                    <w:rPr>
                      <w:rFonts w:hint="eastAsia"/>
                      <w:snapToGrid w:val="0"/>
                      <w:color w:val="000000" w:themeColor="text1"/>
                      <w:kern w:val="0"/>
                      <w:sz w:val="21"/>
                      <w:szCs w:val="21"/>
                      <w:lang w:val="en-US" w:eastAsia="zh-CN"/>
                    </w:rPr>
                    <w:t>1</w:t>
                  </w:r>
                </w:p>
              </w:tc>
              <w:tc>
                <w:tcPr>
                  <w:tcW w:w="2992" w:type="pct"/>
                  <w:noWrap w:val="0"/>
                  <w:vAlign w:val="center"/>
                </w:tcPr>
                <w:p w14:paraId="03EB737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000000" w:themeColor="text1"/>
                      <w:sz w:val="21"/>
                      <w:szCs w:val="21"/>
                    </w:rPr>
                  </w:pPr>
                  <w:r>
                    <w:rPr>
                      <w:rFonts w:hint="eastAsia" w:hAnsi="宋体"/>
                      <w:color w:val="000000" w:themeColor="text1"/>
                      <w:sz w:val="21"/>
                      <w:szCs w:val="21"/>
                      <w:lang w:val="en-US" w:eastAsia="zh-CN"/>
                    </w:rPr>
                    <w:t>赤湖工业园污水处理厂</w:t>
                  </w:r>
                  <w:r>
                    <w:rPr>
                      <w:rFonts w:hint="eastAsia" w:hAnsi="宋体"/>
                      <w:color w:val="000000" w:themeColor="text1"/>
                      <w:sz w:val="21"/>
                      <w:szCs w:val="21"/>
                    </w:rPr>
                    <w:t>废水入长江处</w:t>
                  </w:r>
                  <w:r>
                    <w:rPr>
                      <w:rFonts w:hint="eastAsia" w:hAnsi="宋体"/>
                      <w:color w:val="000000" w:themeColor="text1"/>
                      <w:sz w:val="21"/>
                      <w:szCs w:val="21"/>
                      <w:lang w:val="en-US" w:eastAsia="zh-CN"/>
                    </w:rPr>
                    <w:t>上</w:t>
                  </w:r>
                  <w:r>
                    <w:rPr>
                      <w:rFonts w:hint="eastAsia" w:hAnsi="宋体"/>
                      <w:color w:val="000000" w:themeColor="text1"/>
                      <w:sz w:val="21"/>
                      <w:szCs w:val="21"/>
                    </w:rPr>
                    <w:t>游</w:t>
                  </w:r>
                  <w:r>
                    <w:rPr>
                      <w:rFonts w:hint="eastAsia" w:hAnsi="宋体"/>
                      <w:color w:val="000000" w:themeColor="text1"/>
                      <w:sz w:val="21"/>
                      <w:szCs w:val="21"/>
                      <w:lang w:val="en-US" w:eastAsia="zh-CN"/>
                    </w:rPr>
                    <w:t>5</w:t>
                  </w:r>
                  <w:r>
                    <w:rPr>
                      <w:rFonts w:hint="eastAsia" w:hAnsi="宋体"/>
                      <w:color w:val="000000" w:themeColor="text1"/>
                      <w:sz w:val="21"/>
                      <w:szCs w:val="21"/>
                    </w:rPr>
                    <w:t>00m处</w:t>
                  </w:r>
                </w:p>
              </w:tc>
              <w:tc>
                <w:tcPr>
                  <w:tcW w:w="788" w:type="pct"/>
                  <w:noWrap w:val="0"/>
                  <w:vAlign w:val="center"/>
                </w:tcPr>
                <w:p w14:paraId="1006907A">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Cs/>
                      <w:color w:val="000000" w:themeColor="text1"/>
                      <w:sz w:val="21"/>
                      <w:szCs w:val="21"/>
                      <w:lang w:val="en-US" w:eastAsia="zh-CN"/>
                    </w:rPr>
                  </w:pPr>
                  <w:r>
                    <w:rPr>
                      <w:rFonts w:hint="eastAsia"/>
                      <w:bCs/>
                      <w:color w:val="000000" w:themeColor="text1"/>
                      <w:sz w:val="21"/>
                      <w:szCs w:val="21"/>
                      <w:lang w:val="en-US" w:eastAsia="zh-CN"/>
                    </w:rPr>
                    <w:t>对照断面</w:t>
                  </w:r>
                </w:p>
              </w:tc>
            </w:tr>
            <w:tr w14:paraId="078321D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518" w:type="pct"/>
                  <w:vMerge w:val="continue"/>
                  <w:noWrap w:val="0"/>
                  <w:vAlign w:val="center"/>
                </w:tcPr>
                <w:p w14:paraId="47C3F33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p>
              </w:tc>
              <w:tc>
                <w:tcPr>
                  <w:tcW w:w="1170" w:type="dxa"/>
                  <w:noWrap w:val="0"/>
                  <w:vAlign w:val="center"/>
                </w:tcPr>
                <w:p w14:paraId="4E9A61E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r>
                    <w:rPr>
                      <w:snapToGrid w:val="0"/>
                      <w:color w:val="000000" w:themeColor="text1"/>
                      <w:kern w:val="0"/>
                      <w:sz w:val="21"/>
                      <w:szCs w:val="21"/>
                    </w:rPr>
                    <w:t>SW</w:t>
                  </w:r>
                  <w:r>
                    <w:rPr>
                      <w:rFonts w:hint="eastAsia"/>
                      <w:snapToGrid w:val="0"/>
                      <w:color w:val="000000" w:themeColor="text1"/>
                      <w:kern w:val="0"/>
                      <w:sz w:val="21"/>
                      <w:szCs w:val="21"/>
                      <w:lang w:val="en-US" w:eastAsia="zh-CN"/>
                    </w:rPr>
                    <w:t>2</w:t>
                  </w:r>
                </w:p>
              </w:tc>
              <w:tc>
                <w:tcPr>
                  <w:tcW w:w="2992" w:type="pct"/>
                  <w:noWrap w:val="0"/>
                  <w:vAlign w:val="center"/>
                </w:tcPr>
                <w:p w14:paraId="58DC378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hAnsi="宋体"/>
                      <w:color w:val="000000" w:themeColor="text1"/>
                      <w:sz w:val="21"/>
                      <w:szCs w:val="21"/>
                      <w:lang w:val="en-US" w:eastAsia="zh-CN"/>
                    </w:rPr>
                  </w:pPr>
                  <w:r>
                    <w:rPr>
                      <w:rFonts w:hint="eastAsia" w:hAnsi="宋体"/>
                      <w:color w:val="000000" w:themeColor="text1"/>
                      <w:sz w:val="21"/>
                      <w:szCs w:val="21"/>
                      <w:lang w:val="en-US" w:eastAsia="zh-CN"/>
                    </w:rPr>
                    <w:t>赤湖工业园污水处理厂</w:t>
                  </w:r>
                  <w:r>
                    <w:rPr>
                      <w:rFonts w:hint="eastAsia" w:hAnsi="宋体"/>
                      <w:color w:val="000000" w:themeColor="text1"/>
                      <w:sz w:val="21"/>
                      <w:szCs w:val="21"/>
                    </w:rPr>
                    <w:t>废水入长江处</w:t>
                  </w:r>
                </w:p>
              </w:tc>
              <w:tc>
                <w:tcPr>
                  <w:tcW w:w="788" w:type="pct"/>
                  <w:noWrap w:val="0"/>
                  <w:vAlign w:val="center"/>
                </w:tcPr>
                <w:p w14:paraId="4013FBD9">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bCs/>
                      <w:color w:val="000000" w:themeColor="text1"/>
                      <w:sz w:val="21"/>
                      <w:szCs w:val="21"/>
                      <w:lang w:val="en-US" w:eastAsia="zh-CN"/>
                    </w:rPr>
                  </w:pPr>
                  <w:r>
                    <w:rPr>
                      <w:rFonts w:hint="eastAsia"/>
                      <w:bCs/>
                      <w:color w:val="000000" w:themeColor="text1"/>
                      <w:sz w:val="21"/>
                      <w:szCs w:val="21"/>
                      <w:lang w:val="en-US" w:eastAsia="zh-CN"/>
                    </w:rPr>
                    <w:t>控制断面</w:t>
                  </w:r>
                </w:p>
              </w:tc>
            </w:tr>
            <w:tr w14:paraId="3429FB6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518" w:type="pct"/>
                  <w:vMerge w:val="continue"/>
                  <w:noWrap w:val="0"/>
                  <w:vAlign w:val="center"/>
                </w:tcPr>
                <w:p w14:paraId="20EC6FB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p>
              </w:tc>
              <w:tc>
                <w:tcPr>
                  <w:tcW w:w="1170" w:type="dxa"/>
                  <w:noWrap w:val="0"/>
                  <w:vAlign w:val="center"/>
                </w:tcPr>
                <w:p w14:paraId="758812A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snapToGrid w:val="0"/>
                      <w:color w:val="000000" w:themeColor="text1"/>
                      <w:kern w:val="0"/>
                      <w:sz w:val="21"/>
                      <w:szCs w:val="21"/>
                      <w:lang w:val="en-US" w:eastAsia="zh-CN"/>
                    </w:rPr>
                  </w:pPr>
                  <w:r>
                    <w:rPr>
                      <w:snapToGrid w:val="0"/>
                      <w:color w:val="000000" w:themeColor="text1"/>
                      <w:kern w:val="0"/>
                      <w:sz w:val="21"/>
                      <w:szCs w:val="21"/>
                    </w:rPr>
                    <w:t>SW</w:t>
                  </w:r>
                  <w:r>
                    <w:rPr>
                      <w:rFonts w:hint="eastAsia"/>
                      <w:snapToGrid w:val="0"/>
                      <w:color w:val="000000" w:themeColor="text1"/>
                      <w:kern w:val="0"/>
                      <w:sz w:val="21"/>
                      <w:szCs w:val="21"/>
                      <w:lang w:val="en-US" w:eastAsia="zh-CN"/>
                    </w:rPr>
                    <w:t>3</w:t>
                  </w:r>
                </w:p>
              </w:tc>
              <w:tc>
                <w:tcPr>
                  <w:tcW w:w="2992" w:type="pct"/>
                  <w:noWrap w:val="0"/>
                  <w:vAlign w:val="center"/>
                </w:tcPr>
                <w:p w14:paraId="20E88D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r>
                    <w:rPr>
                      <w:rFonts w:hint="eastAsia" w:hAnsi="宋体"/>
                      <w:color w:val="000000" w:themeColor="text1"/>
                      <w:sz w:val="21"/>
                      <w:szCs w:val="21"/>
                      <w:lang w:val="en-US" w:eastAsia="zh-CN"/>
                    </w:rPr>
                    <w:t>赤湖工业园污水处理厂</w:t>
                  </w:r>
                  <w:r>
                    <w:rPr>
                      <w:rFonts w:hint="eastAsia" w:hAnsi="宋体"/>
                      <w:color w:val="000000" w:themeColor="text1"/>
                      <w:sz w:val="21"/>
                      <w:szCs w:val="21"/>
                    </w:rPr>
                    <w:t>废水入长江处下游1000m处</w:t>
                  </w:r>
                </w:p>
              </w:tc>
              <w:tc>
                <w:tcPr>
                  <w:tcW w:w="788" w:type="pct"/>
                  <w:noWrap w:val="0"/>
                  <w:vAlign w:val="center"/>
                </w:tcPr>
                <w:p w14:paraId="245DA463">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0" w:firstLineChars="0"/>
                    <w:jc w:val="center"/>
                    <w:textAlignment w:val="auto"/>
                    <w:rPr>
                      <w:snapToGrid w:val="0"/>
                      <w:color w:val="000000" w:themeColor="text1"/>
                      <w:kern w:val="0"/>
                      <w:sz w:val="21"/>
                      <w:szCs w:val="21"/>
                    </w:rPr>
                  </w:pPr>
                  <w:r>
                    <w:rPr>
                      <w:bCs/>
                      <w:color w:val="000000" w:themeColor="text1"/>
                      <w:sz w:val="21"/>
                      <w:szCs w:val="21"/>
                    </w:rPr>
                    <w:t>削减断面</w:t>
                  </w:r>
                </w:p>
              </w:tc>
            </w:tr>
            <w:tr w14:paraId="592CB82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03" w:hRule="atLeast"/>
                <w:jc w:val="center"/>
              </w:trPr>
              <w:tc>
                <w:tcPr>
                  <w:tcW w:w="518" w:type="pct"/>
                  <w:vMerge w:val="continue"/>
                  <w:noWrap w:val="0"/>
                  <w:vAlign w:val="center"/>
                </w:tcPr>
                <w:p w14:paraId="38DB4CB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p>
              </w:tc>
              <w:tc>
                <w:tcPr>
                  <w:tcW w:w="1170" w:type="dxa"/>
                  <w:noWrap w:val="0"/>
                  <w:vAlign w:val="center"/>
                </w:tcPr>
                <w:p w14:paraId="02967B3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snapToGrid w:val="0"/>
                      <w:color w:val="000000" w:themeColor="text1"/>
                      <w:kern w:val="0"/>
                      <w:sz w:val="21"/>
                      <w:szCs w:val="21"/>
                      <w:lang w:val="en-US" w:eastAsia="zh-CN"/>
                    </w:rPr>
                  </w:pPr>
                  <w:r>
                    <w:rPr>
                      <w:snapToGrid w:val="0"/>
                      <w:color w:val="000000" w:themeColor="text1"/>
                      <w:kern w:val="0"/>
                      <w:sz w:val="21"/>
                      <w:szCs w:val="21"/>
                    </w:rPr>
                    <w:t>SW</w:t>
                  </w:r>
                  <w:r>
                    <w:rPr>
                      <w:rFonts w:hint="eastAsia"/>
                      <w:snapToGrid w:val="0"/>
                      <w:color w:val="000000" w:themeColor="text1"/>
                      <w:kern w:val="0"/>
                      <w:sz w:val="21"/>
                      <w:szCs w:val="21"/>
                      <w:lang w:val="en-US" w:eastAsia="zh-CN"/>
                    </w:rPr>
                    <w:t>4</w:t>
                  </w:r>
                </w:p>
              </w:tc>
              <w:tc>
                <w:tcPr>
                  <w:tcW w:w="2992" w:type="pct"/>
                  <w:noWrap w:val="0"/>
                  <w:vAlign w:val="center"/>
                </w:tcPr>
                <w:p w14:paraId="185E81D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r>
                    <w:rPr>
                      <w:rFonts w:hint="eastAsia" w:hAnsi="宋体"/>
                      <w:color w:val="000000" w:themeColor="text1"/>
                      <w:sz w:val="21"/>
                      <w:szCs w:val="21"/>
                      <w:lang w:val="en-US" w:eastAsia="zh-CN"/>
                    </w:rPr>
                    <w:t>赤湖工业园污水处理厂</w:t>
                  </w:r>
                  <w:r>
                    <w:rPr>
                      <w:rFonts w:hint="eastAsia" w:hAnsi="宋体"/>
                      <w:color w:val="000000" w:themeColor="text1"/>
                      <w:sz w:val="21"/>
                      <w:szCs w:val="21"/>
                    </w:rPr>
                    <w:t>废水入长江处下游3000m处</w:t>
                  </w:r>
                </w:p>
              </w:tc>
              <w:tc>
                <w:tcPr>
                  <w:tcW w:w="788" w:type="pct"/>
                  <w:noWrap w:val="0"/>
                  <w:vAlign w:val="center"/>
                </w:tcPr>
                <w:p w14:paraId="04901597">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0" w:firstLineChars="0"/>
                    <w:jc w:val="center"/>
                    <w:textAlignment w:val="auto"/>
                    <w:rPr>
                      <w:snapToGrid w:val="0"/>
                      <w:color w:val="000000" w:themeColor="text1"/>
                      <w:kern w:val="0"/>
                      <w:sz w:val="21"/>
                      <w:szCs w:val="21"/>
                    </w:rPr>
                  </w:pPr>
                  <w:r>
                    <w:rPr>
                      <w:bCs/>
                      <w:color w:val="000000" w:themeColor="text1"/>
                      <w:sz w:val="21"/>
                      <w:szCs w:val="21"/>
                    </w:rPr>
                    <w:t>削减断面</w:t>
                  </w:r>
                </w:p>
              </w:tc>
            </w:tr>
            <w:tr w14:paraId="348DE6F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8" w:hRule="atLeast"/>
                <w:jc w:val="center"/>
              </w:trPr>
              <w:tc>
                <w:tcPr>
                  <w:tcW w:w="518" w:type="pct"/>
                  <w:vMerge w:val="continue"/>
                  <w:noWrap w:val="0"/>
                  <w:vAlign w:val="center"/>
                </w:tcPr>
                <w:p w14:paraId="7332F13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p>
              </w:tc>
              <w:tc>
                <w:tcPr>
                  <w:tcW w:w="700" w:type="pct"/>
                  <w:noWrap w:val="0"/>
                  <w:vAlign w:val="center"/>
                </w:tcPr>
                <w:p w14:paraId="78877A4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eastAsia="宋体"/>
                      <w:snapToGrid w:val="0"/>
                      <w:color w:val="000000" w:themeColor="text1"/>
                      <w:kern w:val="0"/>
                      <w:sz w:val="21"/>
                      <w:szCs w:val="21"/>
                      <w:lang w:val="en-US" w:eastAsia="zh-CN"/>
                    </w:rPr>
                  </w:pPr>
                  <w:r>
                    <w:rPr>
                      <w:snapToGrid w:val="0"/>
                      <w:color w:val="000000" w:themeColor="text1"/>
                      <w:kern w:val="0"/>
                      <w:sz w:val="21"/>
                      <w:szCs w:val="21"/>
                    </w:rPr>
                    <w:t>SW</w:t>
                  </w:r>
                  <w:r>
                    <w:rPr>
                      <w:rFonts w:hint="eastAsia"/>
                      <w:snapToGrid w:val="0"/>
                      <w:color w:val="000000" w:themeColor="text1"/>
                      <w:kern w:val="0"/>
                      <w:sz w:val="21"/>
                      <w:szCs w:val="21"/>
                      <w:lang w:val="en-US" w:eastAsia="zh-CN"/>
                    </w:rPr>
                    <w:t>5</w:t>
                  </w:r>
                </w:p>
              </w:tc>
              <w:tc>
                <w:tcPr>
                  <w:tcW w:w="2992" w:type="pct"/>
                  <w:noWrap w:val="0"/>
                  <w:vAlign w:val="center"/>
                </w:tcPr>
                <w:p w14:paraId="1A806D57">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snapToGrid w:val="0"/>
                      <w:color w:val="000000" w:themeColor="text1"/>
                      <w:kern w:val="0"/>
                      <w:sz w:val="21"/>
                      <w:szCs w:val="21"/>
                    </w:rPr>
                  </w:pPr>
                  <w:r>
                    <w:rPr>
                      <w:rFonts w:hint="eastAsia" w:hAnsi="宋体"/>
                      <w:color w:val="000000" w:themeColor="text1"/>
                      <w:sz w:val="21"/>
                      <w:szCs w:val="21"/>
                      <w:lang w:val="en-US" w:eastAsia="zh-CN"/>
                    </w:rPr>
                    <w:t>赤湖工业园污水处理厂</w:t>
                  </w:r>
                  <w:r>
                    <w:rPr>
                      <w:rFonts w:hint="eastAsia" w:hAnsi="宋体"/>
                      <w:color w:val="000000" w:themeColor="text1"/>
                      <w:sz w:val="21"/>
                      <w:szCs w:val="21"/>
                    </w:rPr>
                    <w:t>废水入长江处下游5000m处</w:t>
                  </w:r>
                </w:p>
              </w:tc>
              <w:tc>
                <w:tcPr>
                  <w:tcW w:w="788" w:type="pct"/>
                  <w:noWrap w:val="0"/>
                  <w:vAlign w:val="center"/>
                </w:tcPr>
                <w:p w14:paraId="16674455">
                  <w:pPr>
                    <w:keepNext w:val="0"/>
                    <w:keepLines w:val="0"/>
                    <w:pageBreakBefore w:val="0"/>
                    <w:widowControl w:val="0"/>
                    <w:tabs>
                      <w:tab w:val="left" w:pos="7560"/>
                    </w:tabs>
                    <w:kinsoku/>
                    <w:wordWrap/>
                    <w:overflowPunct/>
                    <w:topLinePunct w:val="0"/>
                    <w:autoSpaceDE/>
                    <w:autoSpaceDN/>
                    <w:bidi w:val="0"/>
                    <w:adjustRightInd w:val="0"/>
                    <w:snapToGrid w:val="0"/>
                    <w:spacing w:line="240" w:lineRule="auto"/>
                    <w:ind w:firstLine="0" w:firstLineChars="0"/>
                    <w:jc w:val="center"/>
                    <w:textAlignment w:val="auto"/>
                    <w:rPr>
                      <w:snapToGrid w:val="0"/>
                      <w:color w:val="000000" w:themeColor="text1"/>
                      <w:kern w:val="0"/>
                      <w:sz w:val="21"/>
                      <w:szCs w:val="21"/>
                    </w:rPr>
                  </w:pPr>
                  <w:r>
                    <w:rPr>
                      <w:bCs/>
                      <w:color w:val="000000" w:themeColor="text1"/>
                      <w:sz w:val="21"/>
                      <w:szCs w:val="21"/>
                    </w:rPr>
                    <w:t>削减断面</w:t>
                  </w:r>
                </w:p>
              </w:tc>
            </w:tr>
          </w:tbl>
          <w:p w14:paraId="2A9C7E58">
            <w:pPr>
              <w:pStyle w:val="120"/>
              <w:keepNext w:val="0"/>
              <w:keepLines w:val="0"/>
              <w:pageBreakBefore w:val="0"/>
              <w:widowControl w:val="0"/>
              <w:kinsoku/>
              <w:wordWrap/>
              <w:overflowPunct/>
              <w:topLinePunct w:val="0"/>
              <w:autoSpaceDE/>
              <w:autoSpaceDN/>
              <w:bidi w:val="0"/>
              <w:adjustRightInd/>
              <w:spacing w:after="0" w:line="360" w:lineRule="auto"/>
              <w:ind w:left="0" w:leftChars="0" w:firstLine="480" w:firstLineChars="200"/>
              <w:jc w:val="both"/>
              <w:textAlignment w:val="auto"/>
              <w:rPr>
                <w:color w:val="000000" w:themeColor="text1"/>
                <w:sz w:val="24"/>
                <w:szCs w:val="24"/>
              </w:rPr>
            </w:pPr>
            <w:r>
              <w:rPr>
                <w:color w:val="000000" w:themeColor="text1"/>
                <w:sz w:val="24"/>
                <w:szCs w:val="24"/>
              </w:rPr>
              <w:t>（2）现状评价</w:t>
            </w:r>
          </w:p>
          <w:p w14:paraId="6122D8D2">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rFonts w:hint="eastAsia" w:ascii="宋体" w:hAnsi="宋体" w:cs="宋体"/>
                <w:color w:val="000000" w:themeColor="text1"/>
                <w:sz w:val="24"/>
              </w:rPr>
              <w:t>①</w:t>
            </w:r>
            <w:r>
              <w:rPr>
                <w:color w:val="000000" w:themeColor="text1"/>
                <w:sz w:val="24"/>
              </w:rPr>
              <w:t>评价方法</w:t>
            </w:r>
          </w:p>
          <w:p w14:paraId="25C112B2">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本评价采用单项标准指数法。</w:t>
            </w:r>
          </w:p>
          <w:p w14:paraId="5B52A9F5">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其代数式如下：</w:t>
            </w:r>
          </w:p>
          <w:p w14:paraId="70A5C529">
            <w:pPr>
              <w:pStyle w:val="162"/>
              <w:keepNext w:val="0"/>
              <w:keepLines w:val="0"/>
              <w:pageBreakBefore w:val="0"/>
              <w:widowControl w:val="0"/>
              <w:kinsoku/>
              <w:wordWrap/>
              <w:overflowPunct/>
              <w:topLinePunct w:val="0"/>
              <w:autoSpaceDE/>
              <w:autoSpaceDN/>
              <w:bidi w:val="0"/>
              <w:adjustRightInd/>
              <w:spacing w:before="0" w:after="0" w:line="360" w:lineRule="auto"/>
              <w:ind w:firstLine="482" w:firstLineChars="200"/>
              <w:jc w:val="center"/>
              <w:textAlignment w:val="auto"/>
              <w:rPr>
                <w:color w:val="000000" w:themeColor="text1"/>
                <w:sz w:val="24"/>
                <w:szCs w:val="24"/>
              </w:rPr>
            </w:pPr>
            <w:r>
              <w:rPr>
                <w:color w:val="000000" w:themeColor="text1"/>
                <w:sz w:val="24"/>
                <w:szCs w:val="24"/>
              </w:rPr>
              <w:object>
                <v:shape id="_x0000_i1033" o:spt="75" type="#_x0000_t75" style="height:30.75pt;width:68.2pt;" o:ole="t" fillcolor="#6D6D6D" filled="f" o:preferrelative="t" stroked="f" coordsize="21600,21600">
                  <v:path/>
                  <v:fill on="f" focussize="0,0"/>
                  <v:stroke on="f"/>
                  <v:imagedata r:id="rId35" o:title=""/>
                  <o:lock v:ext="edit" aspectratio="t"/>
                  <w10:wrap type="none"/>
                  <w10:anchorlock/>
                </v:shape>
                <o:OLEObject Type="Embed" ProgID="Equation.3" ShapeID="_x0000_i1033" DrawAspect="Content" ObjectID="_1468075733" r:id="rId34">
                  <o:LockedField>false</o:LockedField>
                </o:OLEObject>
              </w:object>
            </w:r>
          </w:p>
          <w:p w14:paraId="436DAFBC">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式中  S</w:t>
            </w:r>
            <w:r>
              <w:rPr>
                <w:color w:val="000000" w:themeColor="text1"/>
                <w:sz w:val="24"/>
                <w:vertAlign w:val="subscript"/>
              </w:rPr>
              <w:t>i，j</w:t>
            </w:r>
            <w:r>
              <w:rPr>
                <w:color w:val="000000" w:themeColor="text1"/>
                <w:sz w:val="24"/>
              </w:rPr>
              <w:t>——单项水质评价因子i在第j取样点的标准指数；</w:t>
            </w:r>
          </w:p>
          <w:p w14:paraId="4B1826D1">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 xml:space="preserve">      C</w:t>
            </w:r>
            <w:r>
              <w:rPr>
                <w:color w:val="000000" w:themeColor="text1"/>
                <w:sz w:val="24"/>
                <w:vertAlign w:val="subscript"/>
              </w:rPr>
              <w:t>i，j</w:t>
            </w:r>
            <w:r>
              <w:rPr>
                <w:color w:val="000000" w:themeColor="text1"/>
                <w:sz w:val="24"/>
              </w:rPr>
              <w:t>——某评价因子i在第j取样点的实测浓度，mg/L；</w:t>
            </w:r>
          </w:p>
          <w:p w14:paraId="3E3D1157">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 xml:space="preserve">      C</w:t>
            </w:r>
            <w:r>
              <w:rPr>
                <w:color w:val="000000" w:themeColor="text1"/>
                <w:sz w:val="24"/>
                <w:vertAlign w:val="subscript"/>
              </w:rPr>
              <w:t>si</w:t>
            </w:r>
            <w:r>
              <w:rPr>
                <w:color w:val="000000" w:themeColor="text1"/>
                <w:sz w:val="24"/>
              </w:rPr>
              <w:t>——i因子的评价标准，mg/L。</w:t>
            </w:r>
          </w:p>
          <w:p w14:paraId="6B31A4D4">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 xml:space="preserve">     pH的标准指数为：</w:t>
            </w:r>
          </w:p>
          <w:p w14:paraId="738E16AA">
            <w:pPr>
              <w:pStyle w:val="162"/>
              <w:keepNext w:val="0"/>
              <w:keepLines w:val="0"/>
              <w:pageBreakBefore w:val="0"/>
              <w:widowControl w:val="0"/>
              <w:kinsoku/>
              <w:wordWrap/>
              <w:overflowPunct/>
              <w:topLinePunct w:val="0"/>
              <w:autoSpaceDE/>
              <w:autoSpaceDN/>
              <w:bidi w:val="0"/>
              <w:adjustRightInd/>
              <w:spacing w:before="0" w:after="0" w:line="360" w:lineRule="auto"/>
              <w:ind w:firstLine="482" w:firstLineChars="200"/>
              <w:jc w:val="center"/>
              <w:textAlignment w:val="auto"/>
              <w:rPr>
                <w:color w:val="000000" w:themeColor="text1"/>
                <w:sz w:val="24"/>
                <w:szCs w:val="24"/>
              </w:rPr>
            </w:pPr>
            <w:r>
              <w:rPr>
                <w:color w:val="000000" w:themeColor="text1"/>
                <w:sz w:val="24"/>
                <w:szCs w:val="24"/>
              </w:rPr>
              <w:object>
                <v:shape id="_x0000_i1034" o:spt="75" type="#_x0000_t75" style="height:36pt;width:96pt;" o:ole="t" fillcolor="#6D6D6D" filled="f" o:preferrelative="t" stroked="f" coordsize="21600,21600">
                  <v:path/>
                  <v:fill on="f" focussize="0,0"/>
                  <v:stroke on="f"/>
                  <v:imagedata r:id="rId37" o:title=""/>
                  <o:lock v:ext="edit" aspectratio="t"/>
                  <w10:wrap type="none"/>
                  <w10:anchorlock/>
                </v:shape>
                <o:OLEObject Type="Embed" ProgID="Equation.3" ShapeID="_x0000_i1034" DrawAspect="Content" ObjectID="_1468075734" r:id="rId36">
                  <o:LockedField>false</o:LockedField>
                </o:OLEObject>
              </w:object>
            </w:r>
            <w:r>
              <w:rPr>
                <w:color w:val="000000" w:themeColor="text1"/>
                <w:sz w:val="24"/>
                <w:szCs w:val="24"/>
              </w:rPr>
              <w:t xml:space="preserve">       </w:t>
            </w:r>
            <w:r>
              <w:rPr>
                <w:color w:val="000000" w:themeColor="text1"/>
                <w:position w:val="-14"/>
                <w:sz w:val="24"/>
                <w:szCs w:val="24"/>
              </w:rPr>
              <w:object>
                <v:shape id="_x0000_i1035" o:spt="75" type="#_x0000_t75" style="height:18.75pt;width:54pt;" o:ole="t" fillcolor="#6D6D6D" filled="f" o:preferrelative="t" stroked="f" coordsize="21600,21600">
                  <v:path/>
                  <v:fill on="f" focussize="0,0"/>
                  <v:stroke on="f"/>
                  <v:imagedata r:id="rId39" o:title=""/>
                  <o:lock v:ext="edit" aspectratio="t"/>
                  <w10:wrap type="none"/>
                  <w10:anchorlock/>
                </v:shape>
                <o:OLEObject Type="Embed" ProgID="Equation.3" ShapeID="_x0000_i1035" DrawAspect="Content" ObjectID="_1468075735" r:id="rId38">
                  <o:LockedField>false</o:LockedField>
                </o:OLEObject>
              </w:object>
            </w:r>
          </w:p>
          <w:p w14:paraId="0E381740">
            <w:pPr>
              <w:pStyle w:val="162"/>
              <w:keepNext w:val="0"/>
              <w:keepLines w:val="0"/>
              <w:pageBreakBefore w:val="0"/>
              <w:widowControl w:val="0"/>
              <w:kinsoku/>
              <w:wordWrap/>
              <w:overflowPunct/>
              <w:topLinePunct w:val="0"/>
              <w:autoSpaceDE/>
              <w:autoSpaceDN/>
              <w:bidi w:val="0"/>
              <w:adjustRightInd/>
              <w:spacing w:before="0" w:after="0" w:line="360" w:lineRule="auto"/>
              <w:ind w:firstLine="482" w:firstLineChars="200"/>
              <w:jc w:val="center"/>
              <w:textAlignment w:val="auto"/>
              <w:rPr>
                <w:color w:val="000000" w:themeColor="text1"/>
                <w:sz w:val="24"/>
                <w:szCs w:val="24"/>
                <w:vertAlign w:val="subscript"/>
              </w:rPr>
            </w:pPr>
            <w:r>
              <w:rPr>
                <w:color w:val="000000" w:themeColor="text1"/>
                <w:sz w:val="24"/>
                <w:szCs w:val="24"/>
              </w:rPr>
              <w:object>
                <v:shape id="_x0000_i1036" o:spt="75" type="#_x0000_t75" style="height:36pt;width:96pt;" o:ole="t" fillcolor="#6D6D6D" filled="f" o:preferrelative="t" stroked="f" coordsize="21600,21600">
                  <v:path/>
                  <v:fill on="f" focussize="0,0"/>
                  <v:stroke on="f"/>
                  <v:imagedata r:id="rId41" o:title=""/>
                  <o:lock v:ext="edit" aspectratio="t"/>
                  <w10:wrap type="none"/>
                  <w10:anchorlock/>
                </v:shape>
                <o:OLEObject Type="Embed" ProgID="Equation.3" ShapeID="_x0000_i1036" DrawAspect="Content" ObjectID="_1468075736" r:id="rId40">
                  <o:LockedField>false</o:LockedField>
                </o:OLEObject>
              </w:object>
            </w:r>
            <w:r>
              <w:rPr>
                <w:color w:val="000000" w:themeColor="text1"/>
                <w:sz w:val="24"/>
                <w:szCs w:val="24"/>
              </w:rPr>
              <w:t xml:space="preserve">       </w:t>
            </w:r>
            <w:r>
              <w:rPr>
                <w:color w:val="000000" w:themeColor="text1"/>
                <w:position w:val="-14"/>
                <w:sz w:val="24"/>
                <w:szCs w:val="24"/>
              </w:rPr>
              <w:object>
                <v:shape id="_x0000_i1037" o:spt="75" type="#_x0000_t75" style="height:18.75pt;width:54.75pt;" o:ole="t" fillcolor="#6D6D6D" filled="f" o:preferrelative="t" stroked="f" coordsize="21600,21600">
                  <v:path/>
                  <v:fill on="f" focussize="0,0"/>
                  <v:stroke on="f"/>
                  <v:imagedata r:id="rId43" o:title=""/>
                  <o:lock v:ext="edit" aspectratio="t"/>
                  <w10:wrap type="none"/>
                  <w10:anchorlock/>
                </v:shape>
                <o:OLEObject Type="Embed" ProgID="Equation.3" ShapeID="_x0000_i1037" DrawAspect="Content" ObjectID="_1468075737" r:id="rId42">
                  <o:LockedField>false</o:LockedField>
                </o:OLEObject>
              </w:object>
            </w:r>
          </w:p>
          <w:p w14:paraId="734BD48A">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式中  pH</w:t>
            </w:r>
            <w:r>
              <w:rPr>
                <w:color w:val="000000" w:themeColor="text1"/>
                <w:sz w:val="24"/>
                <w:vertAlign w:val="subscript"/>
              </w:rPr>
              <w:t>j</w:t>
            </w:r>
            <w:r>
              <w:rPr>
                <w:color w:val="000000" w:themeColor="text1"/>
                <w:sz w:val="24"/>
              </w:rPr>
              <w:t>——j取样点水样的pH值；</w:t>
            </w:r>
          </w:p>
          <w:p w14:paraId="5A9B122E">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 xml:space="preserve">      pH</w:t>
            </w:r>
            <w:r>
              <w:rPr>
                <w:color w:val="000000" w:themeColor="text1"/>
                <w:sz w:val="24"/>
                <w:vertAlign w:val="subscript"/>
              </w:rPr>
              <w:t>sd</w:t>
            </w:r>
            <w:r>
              <w:rPr>
                <w:color w:val="000000" w:themeColor="text1"/>
                <w:sz w:val="24"/>
              </w:rPr>
              <w:t>——评价标准规定的下限值；</w:t>
            </w:r>
          </w:p>
          <w:p w14:paraId="0B6B3538">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 xml:space="preserve">      pH</w:t>
            </w:r>
            <w:r>
              <w:rPr>
                <w:color w:val="000000" w:themeColor="text1"/>
                <w:sz w:val="24"/>
                <w:vertAlign w:val="subscript"/>
              </w:rPr>
              <w:t>su</w:t>
            </w:r>
            <w:r>
              <w:rPr>
                <w:color w:val="000000" w:themeColor="text1"/>
                <w:sz w:val="24"/>
              </w:rPr>
              <w:t>——评价标准规定的上限值。</w:t>
            </w:r>
          </w:p>
          <w:p w14:paraId="6E3DC052">
            <w:pPr>
              <w:keepNext w:val="0"/>
              <w:keepLines w:val="0"/>
              <w:pageBreakBefore w:val="0"/>
              <w:widowControl w:val="0"/>
              <w:kinsoku/>
              <w:wordWrap/>
              <w:overflowPunct/>
              <w:topLinePunct w:val="0"/>
              <w:autoSpaceDE/>
              <w:autoSpaceDN/>
              <w:bidi w:val="0"/>
              <w:adjustRightInd/>
              <w:spacing w:line="360" w:lineRule="auto"/>
              <w:ind w:firstLine="472" w:firstLineChars="200"/>
              <w:jc w:val="both"/>
              <w:textAlignment w:val="auto"/>
              <w:rPr>
                <w:color w:val="000000" w:themeColor="text1"/>
                <w:sz w:val="24"/>
              </w:rPr>
            </w:pPr>
            <w:r>
              <w:rPr>
                <w:color w:val="000000" w:themeColor="text1"/>
                <w:spacing w:val="-2"/>
                <w:sz w:val="24"/>
              </w:rPr>
              <w:t>如果某评价因子的标准指数值&gt;1表明该因子超过了水质评价标准，已经不能满足使用要求。根据监测结果及相应的评价标准统计出各断面处各污染因子的标准指数。</w:t>
            </w:r>
          </w:p>
          <w:p w14:paraId="5B5E42BA">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rFonts w:hint="eastAsia" w:ascii="宋体" w:hAnsi="宋体" w:cs="宋体"/>
                <w:color w:val="000000" w:themeColor="text1"/>
                <w:sz w:val="24"/>
              </w:rPr>
              <w:t>②</w:t>
            </w:r>
            <w:r>
              <w:rPr>
                <w:color w:val="000000" w:themeColor="text1"/>
                <w:sz w:val="24"/>
              </w:rPr>
              <w:t>评价标准</w:t>
            </w:r>
          </w:p>
          <w:p w14:paraId="52521F98">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纳污水体</w:t>
            </w:r>
            <w:r>
              <w:rPr>
                <w:rFonts w:hint="eastAsia"/>
                <w:color w:val="000000" w:themeColor="text1"/>
                <w:sz w:val="24"/>
              </w:rPr>
              <w:t>长江</w:t>
            </w:r>
            <w:r>
              <w:rPr>
                <w:color w:val="000000" w:themeColor="text1"/>
                <w:sz w:val="24"/>
              </w:rPr>
              <w:t>水质执行《地表水环境质量标准》</w:t>
            </w:r>
            <w:r>
              <w:rPr>
                <w:rFonts w:hint="eastAsia"/>
                <w:color w:val="000000" w:themeColor="text1"/>
                <w:sz w:val="24"/>
                <w:lang w:eastAsia="zh-CN"/>
              </w:rPr>
              <w:t>（</w:t>
            </w:r>
            <w:r>
              <w:rPr>
                <w:color w:val="000000" w:themeColor="text1"/>
                <w:sz w:val="24"/>
              </w:rPr>
              <w:t>GB3838-2002</w:t>
            </w:r>
            <w:r>
              <w:rPr>
                <w:rFonts w:hint="eastAsia"/>
                <w:color w:val="000000" w:themeColor="text1"/>
                <w:sz w:val="24"/>
                <w:lang w:eastAsia="zh-CN"/>
              </w:rPr>
              <w:t>）</w:t>
            </w:r>
            <w:r>
              <w:rPr>
                <w:color w:val="000000" w:themeColor="text1"/>
                <w:sz w:val="24"/>
              </w:rPr>
              <w:t>Ⅲ类标准。</w:t>
            </w:r>
          </w:p>
          <w:p w14:paraId="46B51067">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rFonts w:hint="eastAsia" w:ascii="宋体" w:hAnsi="宋体" w:cs="宋体"/>
                <w:color w:val="000000" w:themeColor="text1"/>
                <w:sz w:val="24"/>
              </w:rPr>
              <w:t>③</w:t>
            </w:r>
            <w:r>
              <w:rPr>
                <w:color w:val="000000" w:themeColor="text1"/>
                <w:sz w:val="24"/>
              </w:rPr>
              <w:t>评价结果</w:t>
            </w:r>
          </w:p>
          <w:p w14:paraId="65F5ABB8">
            <w:pPr>
              <w:keepNext w:val="0"/>
              <w:keepLines w:val="0"/>
              <w:pageBreakBefore w:val="0"/>
              <w:widowControl w:val="0"/>
              <w:kinsoku/>
              <w:wordWrap/>
              <w:overflowPunct/>
              <w:topLinePunct w:val="0"/>
              <w:autoSpaceDE/>
              <w:autoSpaceDN/>
              <w:bidi w:val="0"/>
              <w:adjustRightInd/>
              <w:spacing w:line="360" w:lineRule="auto"/>
              <w:ind w:firstLine="480" w:firstLineChars="200"/>
              <w:jc w:val="both"/>
              <w:textAlignment w:val="auto"/>
              <w:rPr>
                <w:color w:val="000000" w:themeColor="text1"/>
                <w:sz w:val="24"/>
              </w:rPr>
            </w:pPr>
            <w:r>
              <w:rPr>
                <w:color w:val="000000" w:themeColor="text1"/>
                <w:sz w:val="24"/>
              </w:rPr>
              <w:t>各断面单项水质参数的评价结果见</w:t>
            </w:r>
            <w:r>
              <w:rPr>
                <w:rFonts w:hint="eastAsia"/>
                <w:color w:val="000000" w:themeColor="text1"/>
                <w:sz w:val="24"/>
              </w:rPr>
              <w:t>下</w:t>
            </w:r>
            <w:r>
              <w:rPr>
                <w:color w:val="000000" w:themeColor="text1"/>
                <w:sz w:val="24"/>
              </w:rPr>
              <w:t>表</w:t>
            </w:r>
            <w:r>
              <w:rPr>
                <w:rFonts w:hint="eastAsia"/>
                <w:color w:val="000000" w:themeColor="text1"/>
                <w:sz w:val="24"/>
              </w:rPr>
              <w:t>：</w:t>
            </w:r>
          </w:p>
          <w:p w14:paraId="27730445">
            <w:pPr>
              <w:pStyle w:val="99"/>
              <w:spacing w:line="240" w:lineRule="auto"/>
              <w:rPr>
                <w:rFonts w:hint="eastAsia" w:ascii="Times New Roman" w:eastAsia="宋体"/>
                <w:color w:val="000000" w:themeColor="text1"/>
                <w:szCs w:val="21"/>
                <w:lang w:eastAsia="zh-CN"/>
              </w:rPr>
            </w:pPr>
            <w:r>
              <w:rPr>
                <w:rFonts w:ascii="Times New Roman" w:eastAsia="宋体"/>
                <w:color w:val="000000" w:themeColor="text1"/>
                <w:szCs w:val="21"/>
              </w:rPr>
              <w:t>表3-</w:t>
            </w:r>
            <w:r>
              <w:rPr>
                <w:rFonts w:hint="eastAsia" w:ascii="Times New Roman" w:eastAsia="宋体"/>
                <w:color w:val="000000" w:themeColor="text1"/>
                <w:szCs w:val="21"/>
                <w:lang w:val="en-US" w:eastAsia="zh-CN"/>
              </w:rPr>
              <w:t>6</w:t>
            </w:r>
            <w:r>
              <w:rPr>
                <w:rFonts w:ascii="Times New Roman" w:eastAsia="宋体"/>
                <w:color w:val="000000" w:themeColor="text1"/>
                <w:szCs w:val="21"/>
              </w:rPr>
              <w:t xml:space="preserve"> 地表水环境质量现状监测结果统计表  单位：mg/L</w:t>
            </w:r>
            <w:r>
              <w:rPr>
                <w:rFonts w:hint="eastAsia" w:ascii="Times New Roman" w:eastAsia="宋体"/>
                <w:color w:val="000000" w:themeColor="text1"/>
                <w:szCs w:val="21"/>
                <w:lang w:eastAsia="zh-CN"/>
              </w:rPr>
              <w:t>（</w:t>
            </w:r>
            <w:r>
              <w:rPr>
                <w:rFonts w:ascii="Times New Roman" w:eastAsia="宋体"/>
                <w:color w:val="000000" w:themeColor="text1"/>
                <w:szCs w:val="21"/>
              </w:rPr>
              <w:t>pH除外</w:t>
            </w:r>
            <w:r>
              <w:rPr>
                <w:rFonts w:hint="eastAsia" w:ascii="Times New Roman" w:eastAsia="宋体"/>
                <w:color w:val="000000" w:themeColor="text1"/>
                <w:szCs w:val="21"/>
                <w:lang w:eastAsia="zh-CN"/>
              </w:rPr>
              <w:t>）</w:t>
            </w:r>
          </w:p>
          <w:tbl>
            <w:tblPr>
              <w:tblStyle w:val="33"/>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4"/>
              <w:gridCol w:w="1544"/>
              <w:gridCol w:w="919"/>
              <w:gridCol w:w="1074"/>
              <w:gridCol w:w="1005"/>
              <w:gridCol w:w="969"/>
              <w:gridCol w:w="900"/>
              <w:gridCol w:w="1021"/>
            </w:tblGrid>
            <w:tr w14:paraId="47D3F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6FA589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794042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断面</w:t>
                  </w:r>
                </w:p>
              </w:tc>
              <w:tc>
                <w:tcPr>
                  <w:tcW w:w="1544" w:type="dxa"/>
                  <w:tcBorders>
                    <w:tl2br w:val="nil"/>
                    <w:tr2bl w:val="nil"/>
                  </w:tcBorders>
                  <w:noWrap w:val="0"/>
                  <w:vAlign w:val="center"/>
                </w:tcPr>
                <w:p w14:paraId="48A5CEE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919" w:type="dxa"/>
                  <w:tcBorders>
                    <w:tl2br w:val="nil"/>
                    <w:tr2bl w:val="nil"/>
                  </w:tcBorders>
                  <w:noWrap w:val="0"/>
                  <w:vAlign w:val="center"/>
                </w:tcPr>
                <w:p w14:paraId="470F452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pH</w:t>
                  </w:r>
                </w:p>
              </w:tc>
              <w:tc>
                <w:tcPr>
                  <w:tcW w:w="1074" w:type="dxa"/>
                  <w:tcBorders>
                    <w:tl2br w:val="nil"/>
                    <w:tr2bl w:val="nil"/>
                  </w:tcBorders>
                  <w:noWrap w:val="0"/>
                  <w:vAlign w:val="center"/>
                </w:tcPr>
                <w:p w14:paraId="33E228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COD</w:t>
                  </w:r>
                  <w:r>
                    <w:rPr>
                      <w:rFonts w:hint="default" w:ascii="Times New Roman" w:hAnsi="Times New Roman" w:eastAsia="宋体" w:cs="Times New Roman"/>
                      <w:b/>
                      <w:bCs/>
                      <w:color w:val="000000" w:themeColor="text1"/>
                      <w:sz w:val="21"/>
                      <w:szCs w:val="21"/>
                      <w:vertAlign w:val="subscript"/>
                    </w:rPr>
                    <w:t>Cr</w:t>
                  </w:r>
                </w:p>
              </w:tc>
              <w:tc>
                <w:tcPr>
                  <w:tcW w:w="1005" w:type="dxa"/>
                  <w:tcBorders>
                    <w:tl2br w:val="nil"/>
                    <w:tr2bl w:val="nil"/>
                  </w:tcBorders>
                  <w:noWrap w:val="0"/>
                  <w:vAlign w:val="center"/>
                </w:tcPr>
                <w:p w14:paraId="56CFA9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pacing w:val="-16"/>
                      <w:sz w:val="21"/>
                      <w:szCs w:val="21"/>
                    </w:rPr>
                  </w:pPr>
                  <w:r>
                    <w:rPr>
                      <w:rFonts w:hint="default" w:ascii="Times New Roman" w:hAnsi="Times New Roman" w:eastAsia="宋体" w:cs="Times New Roman"/>
                      <w:b/>
                      <w:bCs/>
                      <w:color w:val="000000" w:themeColor="text1"/>
                      <w:sz w:val="21"/>
                      <w:szCs w:val="21"/>
                    </w:rPr>
                    <w:t>BOD</w:t>
                  </w:r>
                  <w:r>
                    <w:rPr>
                      <w:rFonts w:hint="default" w:ascii="Times New Roman" w:hAnsi="Times New Roman" w:eastAsia="宋体" w:cs="Times New Roman"/>
                      <w:b/>
                      <w:bCs/>
                      <w:color w:val="000000" w:themeColor="text1"/>
                      <w:sz w:val="21"/>
                      <w:szCs w:val="21"/>
                      <w:vertAlign w:val="subscript"/>
                    </w:rPr>
                    <w:t>5</w:t>
                  </w:r>
                </w:p>
              </w:tc>
              <w:tc>
                <w:tcPr>
                  <w:tcW w:w="969" w:type="dxa"/>
                  <w:tcBorders>
                    <w:tl2br w:val="nil"/>
                    <w:tr2bl w:val="nil"/>
                  </w:tcBorders>
                  <w:noWrap w:val="0"/>
                  <w:vAlign w:val="center"/>
                </w:tcPr>
                <w:p w14:paraId="07EDF5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氨氮</w:t>
                  </w:r>
                </w:p>
              </w:tc>
              <w:tc>
                <w:tcPr>
                  <w:tcW w:w="900" w:type="dxa"/>
                  <w:tcBorders>
                    <w:tl2br w:val="nil"/>
                    <w:tr2bl w:val="nil"/>
                  </w:tcBorders>
                  <w:noWrap w:val="0"/>
                  <w:vAlign w:val="center"/>
                </w:tcPr>
                <w:p w14:paraId="2A0B7B7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TP</w:t>
                  </w:r>
                </w:p>
              </w:tc>
              <w:tc>
                <w:tcPr>
                  <w:tcW w:w="1021" w:type="dxa"/>
                  <w:tcBorders>
                    <w:tl2br w:val="nil"/>
                    <w:tr2bl w:val="nil"/>
                  </w:tcBorders>
                  <w:noWrap w:val="0"/>
                  <w:vAlign w:val="center"/>
                </w:tcPr>
                <w:p w14:paraId="265C07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TN</w:t>
                  </w:r>
                </w:p>
              </w:tc>
            </w:tr>
            <w:tr w14:paraId="6A0FF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7CA4AB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p>
              </w:tc>
              <w:tc>
                <w:tcPr>
                  <w:tcW w:w="1544" w:type="dxa"/>
                  <w:tcBorders>
                    <w:tl2br w:val="nil"/>
                    <w:tr2bl w:val="nil"/>
                  </w:tcBorders>
                  <w:noWrap w:val="0"/>
                  <w:vAlign w:val="center"/>
                </w:tcPr>
                <w:p w14:paraId="548803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i w:val="0"/>
                      <w:iCs w:val="0"/>
                      <w:color w:val="000000" w:themeColor="text1"/>
                      <w:sz w:val="21"/>
                      <w:szCs w:val="21"/>
                    </w:rPr>
                  </w:pPr>
                  <w:r>
                    <w:rPr>
                      <w:rFonts w:hint="default" w:ascii="Times New Roman" w:hAnsi="Times New Roman" w:eastAsia="宋体" w:cs="Times New Roman"/>
                      <w:b/>
                      <w:bCs/>
                      <w:i w:val="0"/>
                      <w:iCs w:val="0"/>
                      <w:color w:val="000000" w:themeColor="text1"/>
                      <w:sz w:val="21"/>
                      <w:szCs w:val="21"/>
                    </w:rPr>
                    <w:t>评价标准</w:t>
                  </w:r>
                </w:p>
              </w:tc>
              <w:tc>
                <w:tcPr>
                  <w:tcW w:w="919" w:type="dxa"/>
                  <w:tcBorders>
                    <w:tl2br w:val="nil"/>
                    <w:tr2bl w:val="nil"/>
                  </w:tcBorders>
                  <w:noWrap w:val="0"/>
                  <w:vAlign w:val="center"/>
                </w:tcPr>
                <w:p w14:paraId="5B4C43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6~9</w:t>
                  </w:r>
                </w:p>
              </w:tc>
              <w:tc>
                <w:tcPr>
                  <w:tcW w:w="1074" w:type="dxa"/>
                  <w:tcBorders>
                    <w:tl2br w:val="nil"/>
                    <w:tr2bl w:val="nil"/>
                  </w:tcBorders>
                  <w:noWrap w:val="0"/>
                  <w:vAlign w:val="center"/>
                </w:tcPr>
                <w:p w14:paraId="1AE7EB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20</w:t>
                  </w:r>
                </w:p>
              </w:tc>
              <w:tc>
                <w:tcPr>
                  <w:tcW w:w="1005" w:type="dxa"/>
                  <w:tcBorders>
                    <w:tl2br w:val="nil"/>
                    <w:tr2bl w:val="nil"/>
                  </w:tcBorders>
                  <w:noWrap w:val="0"/>
                  <w:vAlign w:val="center"/>
                </w:tcPr>
                <w:p w14:paraId="3659CA0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4</w:t>
                  </w:r>
                </w:p>
              </w:tc>
              <w:tc>
                <w:tcPr>
                  <w:tcW w:w="969" w:type="dxa"/>
                  <w:tcBorders>
                    <w:tl2br w:val="nil"/>
                    <w:tr2bl w:val="nil"/>
                  </w:tcBorders>
                  <w:noWrap w:val="0"/>
                  <w:vAlign w:val="center"/>
                </w:tcPr>
                <w:p w14:paraId="029E5B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1.0</w:t>
                  </w:r>
                </w:p>
              </w:tc>
              <w:tc>
                <w:tcPr>
                  <w:tcW w:w="900" w:type="dxa"/>
                  <w:tcBorders>
                    <w:tl2br w:val="nil"/>
                    <w:tr2bl w:val="nil"/>
                  </w:tcBorders>
                  <w:noWrap w:val="0"/>
                  <w:vAlign w:val="center"/>
                </w:tcPr>
                <w:p w14:paraId="0C20B0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0.2</w:t>
                  </w:r>
                </w:p>
              </w:tc>
              <w:tc>
                <w:tcPr>
                  <w:tcW w:w="1021" w:type="dxa"/>
                  <w:tcBorders>
                    <w:tl2br w:val="nil"/>
                    <w:tr2bl w:val="nil"/>
                  </w:tcBorders>
                  <w:noWrap w:val="0"/>
                  <w:vAlign w:val="center"/>
                </w:tcPr>
                <w:p w14:paraId="14E334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w:t>
                  </w:r>
                </w:p>
              </w:tc>
            </w:tr>
            <w:tr w14:paraId="760B7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2C0380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SW1</w:t>
                  </w:r>
                </w:p>
              </w:tc>
              <w:tc>
                <w:tcPr>
                  <w:tcW w:w="1544" w:type="dxa"/>
                  <w:tcBorders>
                    <w:tl2br w:val="nil"/>
                    <w:tr2bl w:val="nil"/>
                  </w:tcBorders>
                  <w:noWrap w:val="0"/>
                  <w:vAlign w:val="center"/>
                </w:tcPr>
                <w:p w14:paraId="465D18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4-02-29</w:t>
                  </w:r>
                </w:p>
              </w:tc>
              <w:tc>
                <w:tcPr>
                  <w:tcW w:w="919" w:type="dxa"/>
                  <w:tcBorders>
                    <w:tl2br w:val="nil"/>
                    <w:tr2bl w:val="nil"/>
                  </w:tcBorders>
                  <w:noWrap w:val="0"/>
                  <w:vAlign w:val="center"/>
                </w:tcPr>
                <w:p w14:paraId="714BD0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7.</w:t>
                  </w:r>
                  <w:r>
                    <w:rPr>
                      <w:rFonts w:hint="eastAsia" w:ascii="Times New Roman" w:hAnsi="Times New Roman" w:eastAsia="宋体" w:cs="Times New Roman"/>
                      <w:b w:val="0"/>
                      <w:bCs w:val="0"/>
                      <w:color w:val="000000" w:themeColor="text1"/>
                      <w:sz w:val="21"/>
                      <w:szCs w:val="21"/>
                      <w:lang w:val="en-US" w:eastAsia="zh-CN"/>
                    </w:rPr>
                    <w:t>97</w:t>
                  </w:r>
                </w:p>
              </w:tc>
              <w:tc>
                <w:tcPr>
                  <w:tcW w:w="1074" w:type="dxa"/>
                  <w:tcBorders>
                    <w:tl2br w:val="nil"/>
                    <w:tr2bl w:val="nil"/>
                  </w:tcBorders>
                  <w:noWrap w:val="0"/>
                  <w:vAlign w:val="center"/>
                </w:tcPr>
                <w:p w14:paraId="26DC91B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w:t>
                  </w:r>
                  <w:r>
                    <w:rPr>
                      <w:rFonts w:hint="default" w:ascii="Times New Roman" w:hAnsi="Times New Roman" w:eastAsia="宋体" w:cs="Times New Roman"/>
                      <w:b w:val="0"/>
                      <w:bCs w:val="0"/>
                      <w:color w:val="000000" w:themeColor="text1"/>
                      <w:sz w:val="21"/>
                      <w:szCs w:val="21"/>
                      <w:lang w:val="en-US" w:eastAsia="zh-CN"/>
                    </w:rPr>
                    <w:t>8</w:t>
                  </w:r>
                </w:p>
              </w:tc>
              <w:tc>
                <w:tcPr>
                  <w:tcW w:w="1005" w:type="dxa"/>
                  <w:tcBorders>
                    <w:tl2br w:val="nil"/>
                    <w:tr2bl w:val="nil"/>
                  </w:tcBorders>
                  <w:noWrap w:val="0"/>
                  <w:vAlign w:val="center"/>
                </w:tcPr>
                <w:p w14:paraId="7F8ADD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2.3</w:t>
                  </w:r>
                </w:p>
              </w:tc>
              <w:tc>
                <w:tcPr>
                  <w:tcW w:w="969" w:type="dxa"/>
                  <w:tcBorders>
                    <w:tl2br w:val="nil"/>
                    <w:tr2bl w:val="nil"/>
                  </w:tcBorders>
                  <w:noWrap w:val="0"/>
                  <w:vAlign w:val="center"/>
                </w:tcPr>
                <w:p w14:paraId="17CDED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0.239</w:t>
                  </w:r>
                </w:p>
              </w:tc>
              <w:tc>
                <w:tcPr>
                  <w:tcW w:w="900" w:type="dxa"/>
                  <w:tcBorders>
                    <w:tl2br w:val="nil"/>
                    <w:tr2bl w:val="nil"/>
                  </w:tcBorders>
                  <w:noWrap w:val="0"/>
                  <w:vAlign w:val="center"/>
                </w:tcPr>
                <w:p w14:paraId="7E7901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0.04</w:t>
                  </w:r>
                </w:p>
              </w:tc>
              <w:tc>
                <w:tcPr>
                  <w:tcW w:w="1021" w:type="dxa"/>
                  <w:tcBorders>
                    <w:tl2br w:val="nil"/>
                    <w:tr2bl w:val="nil"/>
                  </w:tcBorders>
                  <w:noWrap w:val="0"/>
                  <w:vAlign w:val="center"/>
                </w:tcPr>
                <w:p w14:paraId="089059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0.96</w:t>
                  </w:r>
                </w:p>
              </w:tc>
            </w:tr>
            <w:tr w14:paraId="279F8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733C736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395613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4-03-01</w:t>
                  </w:r>
                </w:p>
              </w:tc>
              <w:tc>
                <w:tcPr>
                  <w:tcW w:w="919" w:type="dxa"/>
                  <w:tcBorders>
                    <w:tl2br w:val="nil"/>
                    <w:tr2bl w:val="nil"/>
                  </w:tcBorders>
                  <w:noWrap w:val="0"/>
                  <w:vAlign w:val="center"/>
                </w:tcPr>
                <w:p w14:paraId="7C1DB45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7.93</w:t>
                  </w:r>
                </w:p>
              </w:tc>
              <w:tc>
                <w:tcPr>
                  <w:tcW w:w="1074" w:type="dxa"/>
                  <w:tcBorders>
                    <w:tl2br w:val="nil"/>
                    <w:tr2bl w:val="nil"/>
                  </w:tcBorders>
                  <w:noWrap w:val="0"/>
                  <w:vAlign w:val="center"/>
                </w:tcPr>
                <w:p w14:paraId="0263AC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w:t>
                  </w:r>
                </w:p>
              </w:tc>
              <w:tc>
                <w:tcPr>
                  <w:tcW w:w="1005" w:type="dxa"/>
                  <w:tcBorders>
                    <w:tl2br w:val="nil"/>
                    <w:tr2bl w:val="nil"/>
                  </w:tcBorders>
                  <w:noWrap w:val="0"/>
                  <w:vAlign w:val="center"/>
                </w:tcPr>
                <w:p w14:paraId="5C8803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2.1</w:t>
                  </w:r>
                </w:p>
              </w:tc>
              <w:tc>
                <w:tcPr>
                  <w:tcW w:w="969" w:type="dxa"/>
                  <w:tcBorders>
                    <w:tl2br w:val="nil"/>
                    <w:tr2bl w:val="nil"/>
                  </w:tcBorders>
                  <w:noWrap w:val="0"/>
                  <w:vAlign w:val="center"/>
                </w:tcPr>
                <w:p w14:paraId="3E707F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0.208</w:t>
                  </w:r>
                </w:p>
              </w:tc>
              <w:tc>
                <w:tcPr>
                  <w:tcW w:w="900" w:type="dxa"/>
                  <w:tcBorders>
                    <w:tl2br w:val="nil"/>
                    <w:tr2bl w:val="nil"/>
                  </w:tcBorders>
                  <w:noWrap w:val="0"/>
                  <w:vAlign w:val="center"/>
                </w:tcPr>
                <w:p w14:paraId="1864FF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0.03</w:t>
                  </w:r>
                </w:p>
              </w:tc>
              <w:tc>
                <w:tcPr>
                  <w:tcW w:w="1021" w:type="dxa"/>
                  <w:tcBorders>
                    <w:tl2br w:val="nil"/>
                    <w:tr2bl w:val="nil"/>
                  </w:tcBorders>
                  <w:noWrap w:val="0"/>
                  <w:vAlign w:val="center"/>
                </w:tcPr>
                <w:p w14:paraId="0FF046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0.97</w:t>
                  </w:r>
                </w:p>
              </w:tc>
            </w:tr>
            <w:tr w14:paraId="0A54F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65251A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578F2F1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4-03-02</w:t>
                  </w:r>
                </w:p>
              </w:tc>
              <w:tc>
                <w:tcPr>
                  <w:tcW w:w="919" w:type="dxa"/>
                  <w:tcBorders>
                    <w:tl2br w:val="nil"/>
                    <w:tr2bl w:val="nil"/>
                  </w:tcBorders>
                  <w:noWrap w:val="0"/>
                  <w:vAlign w:val="center"/>
                </w:tcPr>
                <w:p w14:paraId="7164E2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7.92</w:t>
                  </w:r>
                </w:p>
              </w:tc>
              <w:tc>
                <w:tcPr>
                  <w:tcW w:w="1074" w:type="dxa"/>
                  <w:tcBorders>
                    <w:tl2br w:val="nil"/>
                    <w:tr2bl w:val="nil"/>
                  </w:tcBorders>
                  <w:noWrap w:val="0"/>
                  <w:vAlign w:val="center"/>
                </w:tcPr>
                <w:p w14:paraId="5B710D0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16</w:t>
                  </w:r>
                </w:p>
              </w:tc>
              <w:tc>
                <w:tcPr>
                  <w:tcW w:w="1005" w:type="dxa"/>
                  <w:tcBorders>
                    <w:tl2br w:val="nil"/>
                    <w:tr2bl w:val="nil"/>
                  </w:tcBorders>
                  <w:noWrap w:val="0"/>
                  <w:vAlign w:val="center"/>
                </w:tcPr>
                <w:p w14:paraId="56DF6A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2.0</w:t>
                  </w:r>
                </w:p>
              </w:tc>
              <w:tc>
                <w:tcPr>
                  <w:tcW w:w="969" w:type="dxa"/>
                  <w:tcBorders>
                    <w:tl2br w:val="nil"/>
                    <w:tr2bl w:val="nil"/>
                  </w:tcBorders>
                  <w:noWrap w:val="0"/>
                  <w:vAlign w:val="center"/>
                </w:tcPr>
                <w:p w14:paraId="36C3D2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0.210</w:t>
                  </w:r>
                </w:p>
              </w:tc>
              <w:tc>
                <w:tcPr>
                  <w:tcW w:w="900" w:type="dxa"/>
                  <w:tcBorders>
                    <w:tl2br w:val="nil"/>
                    <w:tr2bl w:val="nil"/>
                  </w:tcBorders>
                  <w:noWrap w:val="0"/>
                  <w:vAlign w:val="center"/>
                </w:tcPr>
                <w:p w14:paraId="3DF63B6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0.04</w:t>
                  </w:r>
                </w:p>
              </w:tc>
              <w:tc>
                <w:tcPr>
                  <w:tcW w:w="1021" w:type="dxa"/>
                  <w:tcBorders>
                    <w:tl2br w:val="nil"/>
                    <w:tr2bl w:val="nil"/>
                  </w:tcBorders>
                  <w:noWrap w:val="0"/>
                  <w:vAlign w:val="center"/>
                </w:tcPr>
                <w:p w14:paraId="6D4ECB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0.94</w:t>
                  </w:r>
                </w:p>
              </w:tc>
            </w:tr>
            <w:tr w14:paraId="5C93A1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784F87F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SW2</w:t>
                  </w:r>
                </w:p>
              </w:tc>
              <w:tc>
                <w:tcPr>
                  <w:tcW w:w="1544" w:type="dxa"/>
                  <w:tcBorders>
                    <w:tl2br w:val="nil"/>
                    <w:tr2bl w:val="nil"/>
                  </w:tcBorders>
                  <w:noWrap w:val="0"/>
                  <w:vAlign w:val="center"/>
                </w:tcPr>
                <w:p w14:paraId="00772E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4-02-29</w:t>
                  </w:r>
                </w:p>
              </w:tc>
              <w:tc>
                <w:tcPr>
                  <w:tcW w:w="919" w:type="dxa"/>
                  <w:tcBorders>
                    <w:tl2br w:val="nil"/>
                    <w:tr2bl w:val="nil"/>
                  </w:tcBorders>
                  <w:noWrap w:val="0"/>
                  <w:vAlign w:val="center"/>
                </w:tcPr>
                <w:p w14:paraId="58A24D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7.</w:t>
                  </w:r>
                  <w:r>
                    <w:rPr>
                      <w:rFonts w:hint="eastAsia" w:ascii="Times New Roman" w:hAnsi="Times New Roman" w:eastAsia="宋体" w:cs="Times New Roman"/>
                      <w:b w:val="0"/>
                      <w:bCs w:val="0"/>
                      <w:color w:val="000000" w:themeColor="text1"/>
                      <w:sz w:val="21"/>
                      <w:szCs w:val="21"/>
                      <w:lang w:val="en-US" w:eastAsia="zh-CN"/>
                    </w:rPr>
                    <w:t>65</w:t>
                  </w:r>
                </w:p>
              </w:tc>
              <w:tc>
                <w:tcPr>
                  <w:tcW w:w="1074" w:type="dxa"/>
                  <w:tcBorders>
                    <w:tl2br w:val="nil"/>
                    <w:tr2bl w:val="nil"/>
                  </w:tcBorders>
                  <w:noWrap w:val="0"/>
                  <w:vAlign w:val="center"/>
                </w:tcPr>
                <w:p w14:paraId="4FEE1F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1</w:t>
                  </w:r>
                  <w:r>
                    <w:rPr>
                      <w:rFonts w:hint="eastAsia" w:ascii="Times New Roman" w:hAnsi="Times New Roman" w:eastAsia="宋体" w:cs="Times New Roman"/>
                      <w:b w:val="0"/>
                      <w:bCs w:val="0"/>
                      <w:color w:val="000000" w:themeColor="text1"/>
                      <w:sz w:val="21"/>
                      <w:szCs w:val="21"/>
                      <w:lang w:val="en-US" w:eastAsia="zh-CN"/>
                    </w:rPr>
                    <w:t>3</w:t>
                  </w:r>
                </w:p>
              </w:tc>
              <w:tc>
                <w:tcPr>
                  <w:tcW w:w="1005" w:type="dxa"/>
                  <w:tcBorders>
                    <w:tl2br w:val="nil"/>
                    <w:tr2bl w:val="nil"/>
                  </w:tcBorders>
                  <w:noWrap w:val="0"/>
                  <w:vAlign w:val="center"/>
                </w:tcPr>
                <w:p w14:paraId="73B2DF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1.1</w:t>
                  </w:r>
                </w:p>
              </w:tc>
              <w:tc>
                <w:tcPr>
                  <w:tcW w:w="969" w:type="dxa"/>
                  <w:tcBorders>
                    <w:tl2br w:val="nil"/>
                    <w:tr2bl w:val="nil"/>
                  </w:tcBorders>
                  <w:noWrap w:val="0"/>
                  <w:vAlign w:val="center"/>
                </w:tcPr>
                <w:p w14:paraId="274E281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0.226</w:t>
                  </w:r>
                </w:p>
              </w:tc>
              <w:tc>
                <w:tcPr>
                  <w:tcW w:w="900" w:type="dxa"/>
                  <w:tcBorders>
                    <w:tl2br w:val="nil"/>
                    <w:tr2bl w:val="nil"/>
                  </w:tcBorders>
                  <w:noWrap w:val="0"/>
                  <w:vAlign w:val="center"/>
                </w:tcPr>
                <w:p w14:paraId="46D5140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0.12</w:t>
                  </w:r>
                </w:p>
              </w:tc>
              <w:tc>
                <w:tcPr>
                  <w:tcW w:w="1021" w:type="dxa"/>
                  <w:tcBorders>
                    <w:tl2br w:val="nil"/>
                    <w:tr2bl w:val="nil"/>
                  </w:tcBorders>
                  <w:noWrap w:val="0"/>
                  <w:vAlign w:val="center"/>
                </w:tcPr>
                <w:p w14:paraId="7846C6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1.50</w:t>
                  </w:r>
                </w:p>
              </w:tc>
            </w:tr>
            <w:tr w14:paraId="2B5F8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4D6F9D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46E6913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4-03-01</w:t>
                  </w:r>
                </w:p>
              </w:tc>
              <w:tc>
                <w:tcPr>
                  <w:tcW w:w="919" w:type="dxa"/>
                  <w:tcBorders>
                    <w:tl2br w:val="nil"/>
                    <w:tr2bl w:val="nil"/>
                  </w:tcBorders>
                  <w:noWrap w:val="0"/>
                  <w:vAlign w:val="center"/>
                </w:tcPr>
                <w:p w14:paraId="258976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7.61</w:t>
                  </w:r>
                </w:p>
              </w:tc>
              <w:tc>
                <w:tcPr>
                  <w:tcW w:w="1074" w:type="dxa"/>
                  <w:tcBorders>
                    <w:tl2br w:val="nil"/>
                    <w:tr2bl w:val="nil"/>
                  </w:tcBorders>
                  <w:noWrap w:val="0"/>
                  <w:vAlign w:val="center"/>
                </w:tcPr>
                <w:p w14:paraId="6CF91D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14</w:t>
                  </w:r>
                </w:p>
              </w:tc>
              <w:tc>
                <w:tcPr>
                  <w:tcW w:w="1005" w:type="dxa"/>
                  <w:tcBorders>
                    <w:tl2br w:val="nil"/>
                    <w:tr2bl w:val="nil"/>
                  </w:tcBorders>
                  <w:noWrap w:val="0"/>
                  <w:vAlign w:val="center"/>
                </w:tcPr>
                <w:p w14:paraId="6CF9BA8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1.3</w:t>
                  </w:r>
                </w:p>
              </w:tc>
              <w:tc>
                <w:tcPr>
                  <w:tcW w:w="969" w:type="dxa"/>
                  <w:tcBorders>
                    <w:tl2br w:val="nil"/>
                    <w:tr2bl w:val="nil"/>
                  </w:tcBorders>
                  <w:noWrap w:val="0"/>
                  <w:vAlign w:val="center"/>
                </w:tcPr>
                <w:p w14:paraId="62FD21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0.231</w:t>
                  </w:r>
                </w:p>
              </w:tc>
              <w:tc>
                <w:tcPr>
                  <w:tcW w:w="900" w:type="dxa"/>
                  <w:tcBorders>
                    <w:tl2br w:val="nil"/>
                    <w:tr2bl w:val="nil"/>
                  </w:tcBorders>
                  <w:noWrap w:val="0"/>
                  <w:vAlign w:val="center"/>
                </w:tcPr>
                <w:p w14:paraId="7AEFC4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0.11</w:t>
                  </w:r>
                </w:p>
              </w:tc>
              <w:tc>
                <w:tcPr>
                  <w:tcW w:w="1021" w:type="dxa"/>
                  <w:tcBorders>
                    <w:tl2br w:val="nil"/>
                    <w:tr2bl w:val="nil"/>
                  </w:tcBorders>
                  <w:noWrap w:val="0"/>
                  <w:vAlign w:val="center"/>
                </w:tcPr>
                <w:p w14:paraId="56E200B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1.58</w:t>
                  </w:r>
                </w:p>
              </w:tc>
            </w:tr>
            <w:tr w14:paraId="7E0FE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75E245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24752D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4-03-02</w:t>
                  </w:r>
                </w:p>
              </w:tc>
              <w:tc>
                <w:tcPr>
                  <w:tcW w:w="919" w:type="dxa"/>
                  <w:tcBorders>
                    <w:tl2br w:val="nil"/>
                    <w:tr2bl w:val="nil"/>
                  </w:tcBorders>
                  <w:noWrap w:val="0"/>
                  <w:vAlign w:val="center"/>
                </w:tcPr>
                <w:p w14:paraId="12E0B0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7.67</w:t>
                  </w:r>
                </w:p>
              </w:tc>
              <w:tc>
                <w:tcPr>
                  <w:tcW w:w="1074" w:type="dxa"/>
                  <w:tcBorders>
                    <w:tl2br w:val="nil"/>
                    <w:tr2bl w:val="nil"/>
                  </w:tcBorders>
                  <w:noWrap w:val="0"/>
                  <w:vAlign w:val="center"/>
                </w:tcPr>
                <w:p w14:paraId="6FCC47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w:t>
                  </w:r>
                </w:p>
              </w:tc>
              <w:tc>
                <w:tcPr>
                  <w:tcW w:w="1005" w:type="dxa"/>
                  <w:tcBorders>
                    <w:tl2br w:val="nil"/>
                    <w:tr2bl w:val="nil"/>
                  </w:tcBorders>
                  <w:noWrap w:val="0"/>
                  <w:vAlign w:val="center"/>
                </w:tcPr>
                <w:p w14:paraId="2B0C2F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1.9</w:t>
                  </w:r>
                </w:p>
              </w:tc>
              <w:tc>
                <w:tcPr>
                  <w:tcW w:w="969" w:type="dxa"/>
                  <w:tcBorders>
                    <w:tl2br w:val="nil"/>
                    <w:tr2bl w:val="nil"/>
                  </w:tcBorders>
                  <w:noWrap w:val="0"/>
                  <w:vAlign w:val="center"/>
                </w:tcPr>
                <w:p w14:paraId="2E4AF4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0.195</w:t>
                  </w:r>
                </w:p>
              </w:tc>
              <w:tc>
                <w:tcPr>
                  <w:tcW w:w="900" w:type="dxa"/>
                  <w:tcBorders>
                    <w:tl2br w:val="nil"/>
                    <w:tr2bl w:val="nil"/>
                  </w:tcBorders>
                  <w:noWrap w:val="0"/>
                  <w:vAlign w:val="center"/>
                </w:tcPr>
                <w:p w14:paraId="353E77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0.11</w:t>
                  </w:r>
                </w:p>
              </w:tc>
              <w:tc>
                <w:tcPr>
                  <w:tcW w:w="1021" w:type="dxa"/>
                  <w:tcBorders>
                    <w:tl2br w:val="nil"/>
                    <w:tr2bl w:val="nil"/>
                  </w:tcBorders>
                  <w:noWrap w:val="0"/>
                  <w:vAlign w:val="center"/>
                </w:tcPr>
                <w:p w14:paraId="24F012E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1.48</w:t>
                  </w:r>
                </w:p>
              </w:tc>
            </w:tr>
            <w:tr w14:paraId="138E5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27861F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SW3</w:t>
                  </w:r>
                </w:p>
              </w:tc>
              <w:tc>
                <w:tcPr>
                  <w:tcW w:w="1544" w:type="dxa"/>
                  <w:tcBorders>
                    <w:tl2br w:val="nil"/>
                    <w:tr2bl w:val="nil"/>
                  </w:tcBorders>
                  <w:noWrap w:val="0"/>
                  <w:vAlign w:val="center"/>
                </w:tcPr>
                <w:p w14:paraId="05DCD1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4-02-29</w:t>
                  </w:r>
                </w:p>
              </w:tc>
              <w:tc>
                <w:tcPr>
                  <w:tcW w:w="919" w:type="dxa"/>
                  <w:tcBorders>
                    <w:tl2br w:val="nil"/>
                    <w:tr2bl w:val="nil"/>
                  </w:tcBorders>
                  <w:noWrap w:val="0"/>
                  <w:vAlign w:val="center"/>
                </w:tcPr>
                <w:p w14:paraId="4D0C3E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7.78</w:t>
                  </w:r>
                </w:p>
              </w:tc>
              <w:tc>
                <w:tcPr>
                  <w:tcW w:w="1074" w:type="dxa"/>
                  <w:tcBorders>
                    <w:tl2br w:val="nil"/>
                    <w:tr2bl w:val="nil"/>
                  </w:tcBorders>
                  <w:noWrap w:val="0"/>
                  <w:vAlign w:val="center"/>
                </w:tcPr>
                <w:p w14:paraId="14011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w:t>
                  </w:r>
                </w:p>
              </w:tc>
              <w:tc>
                <w:tcPr>
                  <w:tcW w:w="1005" w:type="dxa"/>
                  <w:tcBorders>
                    <w:tl2br w:val="nil"/>
                    <w:tr2bl w:val="nil"/>
                  </w:tcBorders>
                  <w:noWrap w:val="0"/>
                  <w:vAlign w:val="center"/>
                </w:tcPr>
                <w:p w14:paraId="4EE824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2.1</w:t>
                  </w:r>
                </w:p>
              </w:tc>
              <w:tc>
                <w:tcPr>
                  <w:tcW w:w="969" w:type="dxa"/>
                  <w:tcBorders>
                    <w:tl2br w:val="nil"/>
                    <w:tr2bl w:val="nil"/>
                  </w:tcBorders>
                  <w:noWrap w:val="0"/>
                  <w:vAlign w:val="center"/>
                </w:tcPr>
                <w:p w14:paraId="3A98D5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0.221</w:t>
                  </w:r>
                </w:p>
              </w:tc>
              <w:tc>
                <w:tcPr>
                  <w:tcW w:w="900" w:type="dxa"/>
                  <w:tcBorders>
                    <w:tl2br w:val="nil"/>
                    <w:tr2bl w:val="nil"/>
                  </w:tcBorders>
                  <w:noWrap w:val="0"/>
                  <w:vAlign w:val="center"/>
                </w:tcPr>
                <w:p w14:paraId="698EAD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0.15</w:t>
                  </w:r>
                </w:p>
              </w:tc>
              <w:tc>
                <w:tcPr>
                  <w:tcW w:w="1021" w:type="dxa"/>
                  <w:tcBorders>
                    <w:tl2br w:val="nil"/>
                    <w:tr2bl w:val="nil"/>
                  </w:tcBorders>
                  <w:noWrap w:val="0"/>
                  <w:vAlign w:val="center"/>
                </w:tcPr>
                <w:p w14:paraId="02AACE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1.58</w:t>
                  </w:r>
                </w:p>
              </w:tc>
            </w:tr>
            <w:tr w14:paraId="013B3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12CAD1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4408D62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4-03-01</w:t>
                  </w:r>
                </w:p>
              </w:tc>
              <w:tc>
                <w:tcPr>
                  <w:tcW w:w="919" w:type="dxa"/>
                  <w:tcBorders>
                    <w:tl2br w:val="nil"/>
                    <w:tr2bl w:val="nil"/>
                  </w:tcBorders>
                  <w:noWrap w:val="0"/>
                  <w:vAlign w:val="center"/>
                </w:tcPr>
                <w:p w14:paraId="118857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7.79</w:t>
                  </w:r>
                </w:p>
              </w:tc>
              <w:tc>
                <w:tcPr>
                  <w:tcW w:w="1074" w:type="dxa"/>
                  <w:tcBorders>
                    <w:tl2br w:val="nil"/>
                    <w:tr2bl w:val="nil"/>
                  </w:tcBorders>
                  <w:noWrap w:val="0"/>
                  <w:vAlign w:val="center"/>
                </w:tcPr>
                <w:p w14:paraId="216C0A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14</w:t>
                  </w:r>
                </w:p>
              </w:tc>
              <w:tc>
                <w:tcPr>
                  <w:tcW w:w="1005" w:type="dxa"/>
                  <w:tcBorders>
                    <w:tl2br w:val="nil"/>
                    <w:tr2bl w:val="nil"/>
                  </w:tcBorders>
                  <w:noWrap w:val="0"/>
                  <w:vAlign w:val="center"/>
                </w:tcPr>
                <w:p w14:paraId="5FB6E6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2.0</w:t>
                  </w:r>
                </w:p>
              </w:tc>
              <w:tc>
                <w:tcPr>
                  <w:tcW w:w="969" w:type="dxa"/>
                  <w:tcBorders>
                    <w:tl2br w:val="nil"/>
                    <w:tr2bl w:val="nil"/>
                  </w:tcBorders>
                  <w:noWrap w:val="0"/>
                  <w:vAlign w:val="center"/>
                </w:tcPr>
                <w:p w14:paraId="3C1E64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0.197</w:t>
                  </w:r>
                </w:p>
              </w:tc>
              <w:tc>
                <w:tcPr>
                  <w:tcW w:w="900" w:type="dxa"/>
                  <w:tcBorders>
                    <w:tl2br w:val="nil"/>
                    <w:tr2bl w:val="nil"/>
                  </w:tcBorders>
                  <w:noWrap w:val="0"/>
                  <w:vAlign w:val="center"/>
                </w:tcPr>
                <w:p w14:paraId="223598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0.16</w:t>
                  </w:r>
                </w:p>
              </w:tc>
              <w:tc>
                <w:tcPr>
                  <w:tcW w:w="1021" w:type="dxa"/>
                  <w:tcBorders>
                    <w:tl2br w:val="nil"/>
                    <w:tr2bl w:val="nil"/>
                  </w:tcBorders>
                  <w:noWrap w:val="0"/>
                  <w:vAlign w:val="center"/>
                </w:tcPr>
                <w:p w14:paraId="41751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1.67</w:t>
                  </w:r>
                </w:p>
              </w:tc>
            </w:tr>
            <w:tr w14:paraId="22C0B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185BD18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38C16B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4-03-02</w:t>
                  </w:r>
                </w:p>
              </w:tc>
              <w:tc>
                <w:tcPr>
                  <w:tcW w:w="919" w:type="dxa"/>
                  <w:tcBorders>
                    <w:tl2br w:val="nil"/>
                    <w:tr2bl w:val="nil"/>
                  </w:tcBorders>
                  <w:noWrap w:val="0"/>
                  <w:vAlign w:val="center"/>
                </w:tcPr>
                <w:p w14:paraId="0B89C7F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7.72</w:t>
                  </w:r>
                </w:p>
              </w:tc>
              <w:tc>
                <w:tcPr>
                  <w:tcW w:w="1074" w:type="dxa"/>
                  <w:tcBorders>
                    <w:tl2br w:val="nil"/>
                    <w:tr2bl w:val="nil"/>
                  </w:tcBorders>
                  <w:noWrap w:val="0"/>
                  <w:vAlign w:val="center"/>
                </w:tcPr>
                <w:p w14:paraId="019A54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w:t>
                  </w:r>
                </w:p>
              </w:tc>
              <w:tc>
                <w:tcPr>
                  <w:tcW w:w="1005" w:type="dxa"/>
                  <w:tcBorders>
                    <w:tl2br w:val="nil"/>
                    <w:tr2bl w:val="nil"/>
                  </w:tcBorders>
                  <w:noWrap w:val="0"/>
                  <w:vAlign w:val="center"/>
                </w:tcPr>
                <w:p w14:paraId="15CC32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2.2</w:t>
                  </w:r>
                </w:p>
              </w:tc>
              <w:tc>
                <w:tcPr>
                  <w:tcW w:w="969" w:type="dxa"/>
                  <w:tcBorders>
                    <w:tl2br w:val="nil"/>
                    <w:tr2bl w:val="nil"/>
                  </w:tcBorders>
                  <w:noWrap w:val="0"/>
                  <w:vAlign w:val="center"/>
                </w:tcPr>
                <w:p w14:paraId="258E557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0.218</w:t>
                  </w:r>
                </w:p>
              </w:tc>
              <w:tc>
                <w:tcPr>
                  <w:tcW w:w="900" w:type="dxa"/>
                  <w:tcBorders>
                    <w:tl2br w:val="nil"/>
                    <w:tr2bl w:val="nil"/>
                  </w:tcBorders>
                  <w:noWrap w:val="0"/>
                  <w:vAlign w:val="center"/>
                </w:tcPr>
                <w:p w14:paraId="4D2B286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0.15</w:t>
                  </w:r>
                </w:p>
              </w:tc>
              <w:tc>
                <w:tcPr>
                  <w:tcW w:w="1021" w:type="dxa"/>
                  <w:tcBorders>
                    <w:tl2br w:val="nil"/>
                    <w:tr2bl w:val="nil"/>
                  </w:tcBorders>
                  <w:noWrap w:val="0"/>
                  <w:vAlign w:val="center"/>
                </w:tcPr>
                <w:p w14:paraId="0B765E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1.60</w:t>
                  </w:r>
                </w:p>
              </w:tc>
            </w:tr>
            <w:tr w14:paraId="42E40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1E8E75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SW4</w:t>
                  </w:r>
                </w:p>
              </w:tc>
              <w:tc>
                <w:tcPr>
                  <w:tcW w:w="1544" w:type="dxa"/>
                  <w:tcBorders>
                    <w:tl2br w:val="nil"/>
                    <w:tr2bl w:val="nil"/>
                  </w:tcBorders>
                  <w:noWrap w:val="0"/>
                  <w:vAlign w:val="center"/>
                </w:tcPr>
                <w:p w14:paraId="7EC43A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4-02-29</w:t>
                  </w:r>
                </w:p>
              </w:tc>
              <w:tc>
                <w:tcPr>
                  <w:tcW w:w="919" w:type="dxa"/>
                  <w:tcBorders>
                    <w:tl2br w:val="nil"/>
                    <w:tr2bl w:val="nil"/>
                  </w:tcBorders>
                  <w:noWrap w:val="0"/>
                  <w:vAlign w:val="center"/>
                </w:tcPr>
                <w:p w14:paraId="4DFF0D3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7.79</w:t>
                  </w:r>
                </w:p>
              </w:tc>
              <w:tc>
                <w:tcPr>
                  <w:tcW w:w="1074" w:type="dxa"/>
                  <w:tcBorders>
                    <w:tl2br w:val="nil"/>
                    <w:tr2bl w:val="nil"/>
                  </w:tcBorders>
                  <w:noWrap w:val="0"/>
                  <w:vAlign w:val="center"/>
                </w:tcPr>
                <w:p w14:paraId="47BDF09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17</w:t>
                  </w:r>
                </w:p>
              </w:tc>
              <w:tc>
                <w:tcPr>
                  <w:tcW w:w="1005" w:type="dxa"/>
                  <w:tcBorders>
                    <w:tl2br w:val="nil"/>
                    <w:tr2bl w:val="nil"/>
                  </w:tcBorders>
                  <w:noWrap w:val="0"/>
                  <w:vAlign w:val="center"/>
                </w:tcPr>
                <w:p w14:paraId="24B2AF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2.0</w:t>
                  </w:r>
                </w:p>
              </w:tc>
              <w:tc>
                <w:tcPr>
                  <w:tcW w:w="969" w:type="dxa"/>
                  <w:tcBorders>
                    <w:tl2br w:val="nil"/>
                    <w:tr2bl w:val="nil"/>
                  </w:tcBorders>
                  <w:noWrap w:val="0"/>
                  <w:vAlign w:val="center"/>
                </w:tcPr>
                <w:p w14:paraId="4B3927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0.208</w:t>
                  </w:r>
                </w:p>
              </w:tc>
              <w:tc>
                <w:tcPr>
                  <w:tcW w:w="900" w:type="dxa"/>
                  <w:tcBorders>
                    <w:tl2br w:val="nil"/>
                    <w:tr2bl w:val="nil"/>
                  </w:tcBorders>
                  <w:noWrap w:val="0"/>
                  <w:vAlign w:val="center"/>
                </w:tcPr>
                <w:p w14:paraId="07295DB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0.12</w:t>
                  </w:r>
                </w:p>
              </w:tc>
              <w:tc>
                <w:tcPr>
                  <w:tcW w:w="1021" w:type="dxa"/>
                  <w:tcBorders>
                    <w:tl2br w:val="nil"/>
                    <w:tr2bl w:val="nil"/>
                  </w:tcBorders>
                  <w:noWrap w:val="0"/>
                  <w:vAlign w:val="center"/>
                </w:tcPr>
                <w:p w14:paraId="489448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1.77</w:t>
                  </w:r>
                </w:p>
              </w:tc>
            </w:tr>
            <w:tr w14:paraId="5F59C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1669FF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252266A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4-03-01</w:t>
                  </w:r>
                </w:p>
              </w:tc>
              <w:tc>
                <w:tcPr>
                  <w:tcW w:w="919" w:type="dxa"/>
                  <w:tcBorders>
                    <w:tl2br w:val="nil"/>
                    <w:tr2bl w:val="nil"/>
                  </w:tcBorders>
                  <w:noWrap w:val="0"/>
                  <w:vAlign w:val="center"/>
                </w:tcPr>
                <w:p w14:paraId="014338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7.83</w:t>
                  </w:r>
                </w:p>
              </w:tc>
              <w:tc>
                <w:tcPr>
                  <w:tcW w:w="1074" w:type="dxa"/>
                  <w:tcBorders>
                    <w:tl2br w:val="nil"/>
                    <w:tr2bl w:val="nil"/>
                  </w:tcBorders>
                  <w:noWrap w:val="0"/>
                  <w:vAlign w:val="center"/>
                </w:tcPr>
                <w:p w14:paraId="50BAD6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15</w:t>
                  </w:r>
                </w:p>
              </w:tc>
              <w:tc>
                <w:tcPr>
                  <w:tcW w:w="1005" w:type="dxa"/>
                  <w:tcBorders>
                    <w:tl2br w:val="nil"/>
                    <w:tr2bl w:val="nil"/>
                  </w:tcBorders>
                  <w:noWrap w:val="0"/>
                  <w:vAlign w:val="center"/>
                </w:tcPr>
                <w:p w14:paraId="22DF11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1.9</w:t>
                  </w:r>
                </w:p>
              </w:tc>
              <w:tc>
                <w:tcPr>
                  <w:tcW w:w="969" w:type="dxa"/>
                  <w:tcBorders>
                    <w:tl2br w:val="nil"/>
                    <w:tr2bl w:val="nil"/>
                  </w:tcBorders>
                  <w:noWrap w:val="0"/>
                  <w:vAlign w:val="center"/>
                </w:tcPr>
                <w:p w14:paraId="5B2AC2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0.218</w:t>
                  </w:r>
                </w:p>
              </w:tc>
              <w:tc>
                <w:tcPr>
                  <w:tcW w:w="900" w:type="dxa"/>
                  <w:tcBorders>
                    <w:tl2br w:val="nil"/>
                    <w:tr2bl w:val="nil"/>
                  </w:tcBorders>
                  <w:noWrap w:val="0"/>
                  <w:vAlign w:val="center"/>
                </w:tcPr>
                <w:p w14:paraId="011731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0.12</w:t>
                  </w:r>
                </w:p>
              </w:tc>
              <w:tc>
                <w:tcPr>
                  <w:tcW w:w="1021" w:type="dxa"/>
                  <w:tcBorders>
                    <w:tl2br w:val="nil"/>
                    <w:tr2bl w:val="nil"/>
                  </w:tcBorders>
                  <w:noWrap w:val="0"/>
                  <w:vAlign w:val="center"/>
                </w:tcPr>
                <w:p w14:paraId="12A0D7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1.85</w:t>
                  </w:r>
                </w:p>
              </w:tc>
            </w:tr>
            <w:tr w14:paraId="20B410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3F011B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rPr>
                  </w:pPr>
                </w:p>
              </w:tc>
              <w:tc>
                <w:tcPr>
                  <w:tcW w:w="1544" w:type="dxa"/>
                  <w:tcBorders>
                    <w:tl2br w:val="nil"/>
                    <w:tr2bl w:val="nil"/>
                  </w:tcBorders>
                  <w:noWrap w:val="0"/>
                  <w:vAlign w:val="center"/>
                </w:tcPr>
                <w:p w14:paraId="015846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4-03-02</w:t>
                  </w:r>
                </w:p>
              </w:tc>
              <w:tc>
                <w:tcPr>
                  <w:tcW w:w="919" w:type="dxa"/>
                  <w:tcBorders>
                    <w:tl2br w:val="nil"/>
                    <w:tr2bl w:val="nil"/>
                  </w:tcBorders>
                  <w:noWrap w:val="0"/>
                  <w:vAlign w:val="center"/>
                </w:tcPr>
                <w:p w14:paraId="681F13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7.76</w:t>
                  </w:r>
                </w:p>
              </w:tc>
              <w:tc>
                <w:tcPr>
                  <w:tcW w:w="1074" w:type="dxa"/>
                  <w:tcBorders>
                    <w:tl2br w:val="nil"/>
                    <w:tr2bl w:val="nil"/>
                  </w:tcBorders>
                  <w:noWrap w:val="0"/>
                  <w:vAlign w:val="center"/>
                </w:tcPr>
                <w:p w14:paraId="31F49A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16</w:t>
                  </w:r>
                </w:p>
              </w:tc>
              <w:tc>
                <w:tcPr>
                  <w:tcW w:w="1005" w:type="dxa"/>
                  <w:tcBorders>
                    <w:tl2br w:val="nil"/>
                    <w:tr2bl w:val="nil"/>
                  </w:tcBorders>
                  <w:noWrap w:val="0"/>
                  <w:vAlign w:val="center"/>
                </w:tcPr>
                <w:p w14:paraId="23DE0BC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w:t>
                  </w:r>
                </w:p>
              </w:tc>
              <w:tc>
                <w:tcPr>
                  <w:tcW w:w="969" w:type="dxa"/>
                  <w:tcBorders>
                    <w:tl2br w:val="nil"/>
                    <w:tr2bl w:val="nil"/>
                  </w:tcBorders>
                  <w:noWrap w:val="0"/>
                  <w:vAlign w:val="center"/>
                </w:tcPr>
                <w:p w14:paraId="25DA3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0.179</w:t>
                  </w:r>
                </w:p>
              </w:tc>
              <w:tc>
                <w:tcPr>
                  <w:tcW w:w="900" w:type="dxa"/>
                  <w:tcBorders>
                    <w:tl2br w:val="nil"/>
                    <w:tr2bl w:val="nil"/>
                  </w:tcBorders>
                  <w:noWrap w:val="0"/>
                  <w:vAlign w:val="center"/>
                </w:tcPr>
                <w:p w14:paraId="201438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0.11</w:t>
                  </w:r>
                </w:p>
              </w:tc>
              <w:tc>
                <w:tcPr>
                  <w:tcW w:w="1021" w:type="dxa"/>
                  <w:tcBorders>
                    <w:tl2br w:val="nil"/>
                    <w:tr2bl w:val="nil"/>
                  </w:tcBorders>
                  <w:noWrap w:val="0"/>
                  <w:vAlign w:val="center"/>
                </w:tcPr>
                <w:p w14:paraId="42E1384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1.88</w:t>
                  </w:r>
                </w:p>
              </w:tc>
            </w:tr>
            <w:tr w14:paraId="1CED9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restart"/>
                  <w:tcBorders>
                    <w:tl2br w:val="nil"/>
                    <w:tr2bl w:val="nil"/>
                  </w:tcBorders>
                  <w:noWrap w:val="0"/>
                  <w:vAlign w:val="center"/>
                </w:tcPr>
                <w:p w14:paraId="17A18E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SW</w:t>
                  </w:r>
                  <w:r>
                    <w:rPr>
                      <w:rFonts w:hint="default" w:ascii="Times New Roman" w:hAnsi="Times New Roman" w:eastAsia="宋体" w:cs="Times New Roman"/>
                      <w:color w:val="000000" w:themeColor="text1"/>
                      <w:sz w:val="21"/>
                      <w:szCs w:val="21"/>
                      <w:lang w:val="en-US" w:eastAsia="zh-CN"/>
                    </w:rPr>
                    <w:t>5</w:t>
                  </w:r>
                </w:p>
              </w:tc>
              <w:tc>
                <w:tcPr>
                  <w:tcW w:w="1544" w:type="dxa"/>
                  <w:tcBorders>
                    <w:tl2br w:val="nil"/>
                    <w:tr2bl w:val="nil"/>
                  </w:tcBorders>
                  <w:noWrap w:val="0"/>
                  <w:vAlign w:val="center"/>
                </w:tcPr>
                <w:p w14:paraId="793EF8F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4-02-29</w:t>
                  </w:r>
                </w:p>
              </w:tc>
              <w:tc>
                <w:tcPr>
                  <w:tcW w:w="919" w:type="dxa"/>
                  <w:tcBorders>
                    <w:tl2br w:val="nil"/>
                    <w:tr2bl w:val="nil"/>
                  </w:tcBorders>
                  <w:noWrap w:val="0"/>
                  <w:vAlign w:val="center"/>
                </w:tcPr>
                <w:p w14:paraId="496A01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7.</w:t>
                  </w:r>
                  <w:r>
                    <w:rPr>
                      <w:rFonts w:hint="eastAsia" w:ascii="Times New Roman" w:hAnsi="Times New Roman" w:eastAsia="宋体" w:cs="Times New Roman"/>
                      <w:b w:val="0"/>
                      <w:bCs w:val="0"/>
                      <w:color w:val="000000" w:themeColor="text1"/>
                      <w:sz w:val="21"/>
                      <w:szCs w:val="21"/>
                      <w:lang w:val="en-US" w:eastAsia="zh-CN"/>
                    </w:rPr>
                    <w:t>73</w:t>
                  </w:r>
                </w:p>
              </w:tc>
              <w:tc>
                <w:tcPr>
                  <w:tcW w:w="1074" w:type="dxa"/>
                  <w:tcBorders>
                    <w:tl2br w:val="nil"/>
                    <w:tr2bl w:val="nil"/>
                  </w:tcBorders>
                  <w:noWrap w:val="0"/>
                  <w:vAlign w:val="center"/>
                </w:tcPr>
                <w:p w14:paraId="76F511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16</w:t>
                  </w:r>
                </w:p>
              </w:tc>
              <w:tc>
                <w:tcPr>
                  <w:tcW w:w="1005" w:type="dxa"/>
                  <w:tcBorders>
                    <w:tl2br w:val="nil"/>
                    <w:tr2bl w:val="nil"/>
                  </w:tcBorders>
                  <w:noWrap w:val="0"/>
                  <w:vAlign w:val="center"/>
                </w:tcPr>
                <w:p w14:paraId="4BB75C2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1.8</w:t>
                  </w:r>
                </w:p>
              </w:tc>
              <w:tc>
                <w:tcPr>
                  <w:tcW w:w="969" w:type="dxa"/>
                  <w:tcBorders>
                    <w:tl2br w:val="nil"/>
                    <w:tr2bl w:val="nil"/>
                  </w:tcBorders>
                  <w:noWrap w:val="0"/>
                  <w:vAlign w:val="center"/>
                </w:tcPr>
                <w:p w14:paraId="603F450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0.226</w:t>
                  </w:r>
                </w:p>
              </w:tc>
              <w:tc>
                <w:tcPr>
                  <w:tcW w:w="900" w:type="dxa"/>
                  <w:tcBorders>
                    <w:tl2br w:val="nil"/>
                    <w:tr2bl w:val="nil"/>
                  </w:tcBorders>
                  <w:noWrap w:val="0"/>
                  <w:vAlign w:val="center"/>
                </w:tcPr>
                <w:p w14:paraId="18A149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0.15</w:t>
                  </w:r>
                </w:p>
              </w:tc>
              <w:tc>
                <w:tcPr>
                  <w:tcW w:w="1021" w:type="dxa"/>
                  <w:tcBorders>
                    <w:tl2br w:val="nil"/>
                    <w:tr2bl w:val="nil"/>
                  </w:tcBorders>
                  <w:noWrap w:val="0"/>
                  <w:vAlign w:val="center"/>
                </w:tcPr>
                <w:p w14:paraId="26381A5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1.70</w:t>
                  </w:r>
                </w:p>
              </w:tc>
            </w:tr>
            <w:tr w14:paraId="5D557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2F7CB1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rPr>
                  </w:pPr>
                </w:p>
              </w:tc>
              <w:tc>
                <w:tcPr>
                  <w:tcW w:w="1544" w:type="dxa"/>
                  <w:tcBorders>
                    <w:tl2br w:val="nil"/>
                    <w:tr2bl w:val="nil"/>
                  </w:tcBorders>
                  <w:noWrap w:val="0"/>
                  <w:vAlign w:val="center"/>
                </w:tcPr>
                <w:p w14:paraId="3D9412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4-03-01</w:t>
                  </w:r>
                </w:p>
              </w:tc>
              <w:tc>
                <w:tcPr>
                  <w:tcW w:w="919" w:type="dxa"/>
                  <w:tcBorders>
                    <w:tl2br w:val="nil"/>
                    <w:tr2bl w:val="nil"/>
                  </w:tcBorders>
                  <w:noWrap w:val="0"/>
                  <w:vAlign w:val="center"/>
                </w:tcPr>
                <w:p w14:paraId="0A1D82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7.72</w:t>
                  </w:r>
                </w:p>
              </w:tc>
              <w:tc>
                <w:tcPr>
                  <w:tcW w:w="1074" w:type="dxa"/>
                  <w:tcBorders>
                    <w:tl2br w:val="nil"/>
                    <w:tr2bl w:val="nil"/>
                  </w:tcBorders>
                  <w:noWrap w:val="0"/>
                  <w:vAlign w:val="center"/>
                </w:tcPr>
                <w:p w14:paraId="58143E6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17</w:t>
                  </w:r>
                </w:p>
              </w:tc>
              <w:tc>
                <w:tcPr>
                  <w:tcW w:w="1005" w:type="dxa"/>
                  <w:tcBorders>
                    <w:tl2br w:val="nil"/>
                    <w:tr2bl w:val="nil"/>
                  </w:tcBorders>
                  <w:noWrap w:val="0"/>
                  <w:vAlign w:val="center"/>
                </w:tcPr>
                <w:p w14:paraId="05CAA6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1.6</w:t>
                  </w:r>
                </w:p>
              </w:tc>
              <w:tc>
                <w:tcPr>
                  <w:tcW w:w="969" w:type="dxa"/>
                  <w:tcBorders>
                    <w:tl2br w:val="nil"/>
                    <w:tr2bl w:val="nil"/>
                  </w:tcBorders>
                  <w:noWrap w:val="0"/>
                  <w:vAlign w:val="center"/>
                </w:tcPr>
                <w:p w14:paraId="096359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0.234</w:t>
                  </w:r>
                </w:p>
              </w:tc>
              <w:tc>
                <w:tcPr>
                  <w:tcW w:w="900" w:type="dxa"/>
                  <w:tcBorders>
                    <w:tl2br w:val="nil"/>
                    <w:tr2bl w:val="nil"/>
                  </w:tcBorders>
                  <w:noWrap w:val="0"/>
                  <w:vAlign w:val="center"/>
                </w:tcPr>
                <w:p w14:paraId="179D29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0.14</w:t>
                  </w:r>
                </w:p>
              </w:tc>
              <w:tc>
                <w:tcPr>
                  <w:tcW w:w="1021" w:type="dxa"/>
                  <w:tcBorders>
                    <w:tl2br w:val="nil"/>
                    <w:tr2bl w:val="nil"/>
                  </w:tcBorders>
                  <w:noWrap w:val="0"/>
                  <w:vAlign w:val="center"/>
                </w:tcPr>
                <w:p w14:paraId="234C42C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1.73</w:t>
                  </w:r>
                </w:p>
              </w:tc>
            </w:tr>
            <w:tr w14:paraId="1896EC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4" w:type="dxa"/>
                  <w:vMerge w:val="continue"/>
                  <w:tcBorders>
                    <w:tl2br w:val="nil"/>
                    <w:tr2bl w:val="nil"/>
                  </w:tcBorders>
                  <w:noWrap w:val="0"/>
                  <w:vAlign w:val="center"/>
                </w:tcPr>
                <w:p w14:paraId="23A4D9C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p>
              </w:tc>
              <w:tc>
                <w:tcPr>
                  <w:tcW w:w="1544" w:type="dxa"/>
                  <w:tcBorders>
                    <w:tl2br w:val="nil"/>
                    <w:tr2bl w:val="nil"/>
                  </w:tcBorders>
                  <w:noWrap w:val="0"/>
                  <w:vAlign w:val="center"/>
                </w:tcPr>
                <w:p w14:paraId="19B675E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default" w:ascii="Times New Roman" w:hAnsi="Times New Roman" w:eastAsia="宋体" w:cs="Times New Roman"/>
                      <w:b w:val="0"/>
                      <w:bCs w:val="0"/>
                      <w:i w:val="0"/>
                      <w:iCs w:val="0"/>
                      <w:color w:val="000000" w:themeColor="text1"/>
                      <w:sz w:val="21"/>
                      <w:szCs w:val="21"/>
                      <w:lang w:val="en-US" w:eastAsia="zh-CN"/>
                    </w:rPr>
                    <w:t>202</w:t>
                  </w:r>
                  <w:r>
                    <w:rPr>
                      <w:rFonts w:hint="eastAsia" w:ascii="Times New Roman" w:hAnsi="Times New Roman" w:eastAsia="宋体" w:cs="Times New Roman"/>
                      <w:b w:val="0"/>
                      <w:bCs w:val="0"/>
                      <w:i w:val="0"/>
                      <w:iCs w:val="0"/>
                      <w:color w:val="000000" w:themeColor="text1"/>
                      <w:sz w:val="21"/>
                      <w:szCs w:val="21"/>
                      <w:lang w:val="en-US" w:eastAsia="zh-CN"/>
                    </w:rPr>
                    <w:t>4-03-02</w:t>
                  </w:r>
                </w:p>
              </w:tc>
              <w:tc>
                <w:tcPr>
                  <w:tcW w:w="919" w:type="dxa"/>
                  <w:tcBorders>
                    <w:tl2br w:val="nil"/>
                    <w:tr2bl w:val="nil"/>
                  </w:tcBorders>
                  <w:noWrap w:val="0"/>
                  <w:vAlign w:val="center"/>
                </w:tcPr>
                <w:p w14:paraId="10D1635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7.70</w:t>
                  </w:r>
                </w:p>
              </w:tc>
              <w:tc>
                <w:tcPr>
                  <w:tcW w:w="1074" w:type="dxa"/>
                  <w:tcBorders>
                    <w:tl2br w:val="nil"/>
                    <w:tr2bl w:val="nil"/>
                  </w:tcBorders>
                  <w:noWrap w:val="0"/>
                  <w:vAlign w:val="center"/>
                </w:tcPr>
                <w:p w14:paraId="2F07E8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17</w:t>
                  </w:r>
                </w:p>
              </w:tc>
              <w:tc>
                <w:tcPr>
                  <w:tcW w:w="1005" w:type="dxa"/>
                  <w:tcBorders>
                    <w:tl2br w:val="nil"/>
                    <w:tr2bl w:val="nil"/>
                  </w:tcBorders>
                  <w:noWrap w:val="0"/>
                  <w:vAlign w:val="center"/>
                </w:tcPr>
                <w:p w14:paraId="2059658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1.5</w:t>
                  </w:r>
                </w:p>
              </w:tc>
              <w:tc>
                <w:tcPr>
                  <w:tcW w:w="969" w:type="dxa"/>
                  <w:tcBorders>
                    <w:tl2br w:val="nil"/>
                    <w:tr2bl w:val="nil"/>
                  </w:tcBorders>
                  <w:noWrap w:val="0"/>
                  <w:vAlign w:val="center"/>
                </w:tcPr>
                <w:p w14:paraId="1F604DB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0.192</w:t>
                  </w:r>
                </w:p>
              </w:tc>
              <w:tc>
                <w:tcPr>
                  <w:tcW w:w="900" w:type="dxa"/>
                  <w:tcBorders>
                    <w:tl2br w:val="nil"/>
                    <w:tr2bl w:val="nil"/>
                  </w:tcBorders>
                  <w:noWrap w:val="0"/>
                  <w:vAlign w:val="center"/>
                </w:tcPr>
                <w:p w14:paraId="7DF0524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0.14</w:t>
                  </w:r>
                </w:p>
              </w:tc>
              <w:tc>
                <w:tcPr>
                  <w:tcW w:w="1021" w:type="dxa"/>
                  <w:tcBorders>
                    <w:tl2br w:val="nil"/>
                    <w:tr2bl w:val="nil"/>
                  </w:tcBorders>
                  <w:noWrap w:val="0"/>
                  <w:vAlign w:val="center"/>
                </w:tcPr>
                <w:p w14:paraId="5DF90A7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val="0"/>
                      <w:bCs w:val="0"/>
                      <w:i w:val="0"/>
                      <w:iCs w:val="0"/>
                      <w:color w:val="000000" w:themeColor="text1"/>
                      <w:sz w:val="21"/>
                      <w:szCs w:val="21"/>
                      <w:lang w:val="en-US" w:eastAsia="zh-CN"/>
                    </w:rPr>
                  </w:pPr>
                  <w:r>
                    <w:rPr>
                      <w:rFonts w:hint="eastAsia" w:ascii="Times New Roman" w:hAnsi="Times New Roman" w:eastAsia="宋体" w:cs="Times New Roman"/>
                      <w:b w:val="0"/>
                      <w:bCs w:val="0"/>
                      <w:i w:val="0"/>
                      <w:iCs w:val="0"/>
                      <w:color w:val="000000" w:themeColor="text1"/>
                      <w:sz w:val="21"/>
                      <w:szCs w:val="21"/>
                      <w:lang w:val="en-US" w:eastAsia="zh-CN"/>
                    </w:rPr>
                    <w:t>1.81</w:t>
                  </w:r>
                </w:p>
              </w:tc>
            </w:tr>
          </w:tbl>
          <w:p w14:paraId="6AF874DF">
            <w:pPr>
              <w:spacing w:line="360" w:lineRule="auto"/>
              <w:ind w:firstLine="480" w:firstLineChars="200"/>
              <w:rPr>
                <w:color w:val="000000" w:themeColor="text1"/>
                <w:sz w:val="24"/>
              </w:rPr>
            </w:pPr>
            <w:r>
              <w:rPr>
                <w:color w:val="000000" w:themeColor="text1"/>
                <w:sz w:val="24"/>
              </w:rPr>
              <w:t>总体而言，纳污水体</w:t>
            </w:r>
            <w:r>
              <w:rPr>
                <w:rFonts w:hint="eastAsia"/>
                <w:color w:val="000000" w:themeColor="text1"/>
                <w:sz w:val="24"/>
              </w:rPr>
              <w:t>长江</w:t>
            </w:r>
            <w:r>
              <w:rPr>
                <w:color w:val="000000" w:themeColor="text1"/>
                <w:sz w:val="24"/>
              </w:rPr>
              <w:t>水质环境质量良好，可达到《地表水环境质量标准》（GB3838-2002）</w:t>
            </w:r>
            <w:r>
              <w:rPr>
                <w:rFonts w:hint="eastAsia"/>
                <w:color w:val="000000" w:themeColor="text1"/>
                <w:sz w:val="24"/>
                <w:lang w:eastAsia="zh-CN"/>
              </w:rPr>
              <w:t>Ⅲ类</w:t>
            </w:r>
            <w:r>
              <w:rPr>
                <w:color w:val="000000" w:themeColor="text1"/>
                <w:sz w:val="24"/>
              </w:rPr>
              <w:t>标准。</w:t>
            </w:r>
          </w:p>
          <w:p w14:paraId="434B0960">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3、声环境质量现状</w:t>
            </w:r>
          </w:p>
          <w:p w14:paraId="1A257412">
            <w:pPr>
              <w:spacing w:line="360" w:lineRule="auto"/>
              <w:ind w:firstLine="480" w:firstLineChars="200"/>
              <w:rPr>
                <w:color w:val="000000" w:themeColor="text1"/>
                <w:sz w:val="24"/>
                <w:szCs w:val="24"/>
              </w:rPr>
            </w:pPr>
            <w:r>
              <w:rPr>
                <w:rFonts w:hint="default" w:ascii="Times New Roman" w:hAnsi="Times New Roman" w:cs="Times New Roman"/>
                <w:color w:val="000000" w:themeColor="text1"/>
                <w:sz w:val="24"/>
                <w:lang w:eastAsia="zh-CN"/>
              </w:rPr>
              <w:t>根据《建设项目环境影响报告表编制技术指南》（污染影响类）（试行），</w:t>
            </w:r>
            <w:r>
              <w:rPr>
                <w:rFonts w:hint="eastAsia"/>
                <w:color w:val="000000" w:themeColor="text1"/>
                <w:sz w:val="24"/>
              </w:rPr>
              <w:t>本项目厂界外</w:t>
            </w:r>
            <w:r>
              <w:rPr>
                <w:color w:val="000000" w:themeColor="text1"/>
                <w:sz w:val="24"/>
              </w:rPr>
              <w:t>50</w:t>
            </w:r>
            <w:r>
              <w:rPr>
                <w:rFonts w:hint="eastAsia"/>
                <w:color w:val="000000" w:themeColor="text1"/>
                <w:sz w:val="24"/>
              </w:rPr>
              <w:t>米</w:t>
            </w:r>
            <w:r>
              <w:rPr>
                <w:color w:val="000000" w:themeColor="text1"/>
                <w:sz w:val="24"/>
              </w:rPr>
              <w:t>范围内无声环境保护目标</w:t>
            </w:r>
            <w:r>
              <w:rPr>
                <w:rFonts w:hint="eastAsia"/>
                <w:color w:val="000000" w:themeColor="text1"/>
                <w:sz w:val="24"/>
                <w:lang w:eastAsia="zh-CN"/>
              </w:rPr>
              <w:t>，</w:t>
            </w:r>
            <w:r>
              <w:rPr>
                <w:rFonts w:hint="eastAsia"/>
                <w:color w:val="000000" w:themeColor="text1"/>
                <w:sz w:val="24"/>
              </w:rPr>
              <w:t>故</w:t>
            </w:r>
            <w:r>
              <w:rPr>
                <w:rFonts w:hint="eastAsia"/>
                <w:color w:val="000000" w:themeColor="text1"/>
                <w:sz w:val="24"/>
                <w:lang w:eastAsia="zh-CN"/>
              </w:rPr>
              <w:t>无需</w:t>
            </w:r>
            <w:r>
              <w:rPr>
                <w:rFonts w:hint="eastAsia"/>
                <w:color w:val="000000" w:themeColor="text1"/>
                <w:sz w:val="24"/>
              </w:rPr>
              <w:t>监测保护目标声环境质量现状</w:t>
            </w:r>
            <w:r>
              <w:rPr>
                <w:color w:val="000000" w:themeColor="text1"/>
                <w:sz w:val="24"/>
                <w:szCs w:val="24"/>
              </w:rPr>
              <w:t>。</w:t>
            </w:r>
          </w:p>
          <w:p w14:paraId="1963B199">
            <w:pPr>
              <w:pStyle w:val="28"/>
              <w:spacing w:line="360" w:lineRule="auto"/>
              <w:ind w:firstLine="482" w:firstLineChars="200"/>
              <w:jc w:val="left"/>
              <w:rPr>
                <w:rFonts w:hint="default" w:ascii="Times New Roman" w:hAnsi="Times New Roman" w:cs="Times New Roman"/>
                <w:b/>
                <w:bCs/>
                <w:color w:val="000000" w:themeColor="text1"/>
                <w:szCs w:val="24"/>
                <w:highlight w:val="none"/>
              </w:rPr>
            </w:pPr>
            <w:r>
              <w:rPr>
                <w:rFonts w:hint="default" w:ascii="Times New Roman" w:hAnsi="Times New Roman" w:cs="Times New Roman"/>
                <w:b/>
                <w:bCs/>
                <w:color w:val="000000" w:themeColor="text1"/>
                <w:szCs w:val="24"/>
                <w:highlight w:val="none"/>
                <w:lang w:val="en-US" w:eastAsia="zh-CN"/>
              </w:rPr>
              <w:t>4</w:t>
            </w:r>
            <w:r>
              <w:rPr>
                <w:rFonts w:hint="default" w:ascii="Times New Roman" w:hAnsi="Times New Roman" w:cs="Times New Roman"/>
                <w:b/>
                <w:bCs/>
                <w:color w:val="000000" w:themeColor="text1"/>
                <w:szCs w:val="24"/>
                <w:highlight w:val="none"/>
              </w:rPr>
              <w:t>、地下水、土壤环境质量</w:t>
            </w:r>
          </w:p>
          <w:p w14:paraId="33818ACF">
            <w:pPr>
              <w:pStyle w:val="16"/>
              <w:rPr>
                <w:rFonts w:hint="default" w:ascii="Times New Roman" w:hAnsi="Times New Roman" w:cs="Times New Roman"/>
                <w:color w:val="000000" w:themeColor="text1"/>
                <w:szCs w:val="24"/>
                <w:highlight w:val="none"/>
              </w:rPr>
            </w:pPr>
            <w:r>
              <w:rPr>
                <w:rFonts w:hint="default" w:ascii="Times New Roman" w:hAnsi="Times New Roman" w:cs="Times New Roman"/>
                <w:color w:val="000000" w:themeColor="text1"/>
                <w:szCs w:val="28"/>
                <w:highlight w:val="none"/>
              </w:rPr>
              <w:t>根据《建设项目环境影响报告表编制技术指南</w:t>
            </w:r>
            <w:r>
              <w:rPr>
                <w:rFonts w:hint="eastAsia" w:ascii="Times New Roman" w:hAnsi="Times New Roman" w:cs="Times New Roman"/>
                <w:color w:val="000000" w:themeColor="text1"/>
                <w:szCs w:val="28"/>
                <w:highlight w:val="none"/>
                <w:lang w:eastAsia="zh-CN"/>
              </w:rPr>
              <w:t>（</w:t>
            </w:r>
            <w:r>
              <w:rPr>
                <w:rFonts w:hint="default" w:ascii="Times New Roman" w:hAnsi="Times New Roman" w:cs="Times New Roman"/>
                <w:color w:val="000000" w:themeColor="text1"/>
                <w:szCs w:val="28"/>
                <w:highlight w:val="none"/>
              </w:rPr>
              <w:t>污染影响类</w:t>
            </w:r>
            <w:r>
              <w:rPr>
                <w:rFonts w:hint="eastAsia" w:ascii="Times New Roman" w:hAnsi="Times New Roman" w:cs="Times New Roman"/>
                <w:color w:val="000000" w:themeColor="text1"/>
                <w:szCs w:val="28"/>
                <w:highlight w:val="none"/>
                <w:lang w:eastAsia="zh-CN"/>
              </w:rPr>
              <w:t>）（</w:t>
            </w:r>
            <w:r>
              <w:rPr>
                <w:rFonts w:hint="default" w:ascii="Times New Roman" w:hAnsi="Times New Roman" w:cs="Times New Roman"/>
                <w:color w:val="000000" w:themeColor="text1"/>
                <w:szCs w:val="28"/>
                <w:highlight w:val="none"/>
              </w:rPr>
              <w:t>试行</w:t>
            </w:r>
            <w:r>
              <w:rPr>
                <w:rFonts w:hint="eastAsia" w:ascii="Times New Roman" w:hAnsi="Times New Roman" w:cs="Times New Roman"/>
                <w:color w:val="000000" w:themeColor="text1"/>
                <w:szCs w:val="28"/>
                <w:highlight w:val="none"/>
                <w:lang w:eastAsia="zh-CN"/>
              </w:rPr>
              <w:t>）</w:t>
            </w:r>
            <w:r>
              <w:rPr>
                <w:rFonts w:hint="default" w:ascii="Times New Roman" w:hAnsi="Times New Roman" w:cs="Times New Roman"/>
                <w:color w:val="000000" w:themeColor="text1"/>
                <w:szCs w:val="28"/>
                <w:highlight w:val="none"/>
              </w:rPr>
              <w:t>》，原则上不开展地下水和土壤环境质量现状调查，</w:t>
            </w:r>
            <w:r>
              <w:rPr>
                <w:rFonts w:hint="default" w:ascii="Times New Roman" w:hAnsi="Times New Roman" w:cs="Times New Roman"/>
                <w:color w:val="000000" w:themeColor="text1"/>
                <w:szCs w:val="24"/>
                <w:highlight w:val="none"/>
              </w:rPr>
              <w:t>本项目为</w:t>
            </w:r>
            <w:r>
              <w:rPr>
                <w:rFonts w:hint="eastAsia"/>
                <w:color w:val="000000" w:themeColor="text1"/>
                <w:kern w:val="0"/>
                <w:sz w:val="24"/>
                <w:highlight w:val="none"/>
                <w:lang w:val="en-US" w:eastAsia="zh-CN" w:bidi="ar"/>
              </w:rPr>
              <w:t>塑料零件及其他塑料制品制造以及非金属废料和碎屑加工处理</w:t>
            </w:r>
            <w:r>
              <w:rPr>
                <w:rFonts w:hint="default" w:ascii="Times New Roman" w:hAnsi="Times New Roman" w:cs="Times New Roman"/>
                <w:color w:val="000000" w:themeColor="text1"/>
                <w:szCs w:val="24"/>
                <w:highlight w:val="none"/>
              </w:rPr>
              <w:t>行业，所有生产工序均在生产车间内进行，</w:t>
            </w:r>
            <w:r>
              <w:rPr>
                <w:rFonts w:hint="eastAsia" w:ascii="Times New Roman" w:hAnsi="Times New Roman" w:cs="Times New Roman"/>
                <w:color w:val="000000" w:themeColor="text1"/>
                <w:szCs w:val="24"/>
                <w:highlight w:val="none"/>
                <w:lang w:val="en-US" w:eastAsia="zh-CN"/>
              </w:rPr>
              <w:t>重点防渗区域</w:t>
            </w:r>
            <w:r>
              <w:rPr>
                <w:rFonts w:hint="default" w:ascii="Times New Roman" w:hAnsi="Times New Roman" w:cs="Times New Roman"/>
                <w:color w:val="000000" w:themeColor="text1"/>
                <w:szCs w:val="24"/>
                <w:highlight w:val="none"/>
              </w:rPr>
              <w:t>地面做好防腐防渗。本项目厂界500m范围内无地下水集中式饮用水水源和热水、矿泉水、温泉等特殊地下水资源，不存在地下水、土壤环境污染。根据《建设项目环境影响报告表编制技术指南》（污染影响类）（试行），本项目不需开展地下水、土壤环境质量调查。</w:t>
            </w:r>
          </w:p>
          <w:p w14:paraId="33A8D376">
            <w:pPr>
              <w:pStyle w:val="28"/>
              <w:spacing w:line="360" w:lineRule="auto"/>
              <w:ind w:firstLine="482" w:firstLineChars="200"/>
              <w:jc w:val="left"/>
              <w:rPr>
                <w:rFonts w:hint="default" w:ascii="Times New Roman" w:hAnsi="Times New Roman" w:cs="Times New Roman"/>
                <w:b/>
                <w:bCs/>
                <w:color w:val="000000" w:themeColor="text1"/>
                <w:szCs w:val="24"/>
                <w:highlight w:val="none"/>
              </w:rPr>
            </w:pPr>
            <w:r>
              <w:rPr>
                <w:rFonts w:hint="default" w:ascii="Times New Roman" w:hAnsi="Times New Roman" w:cs="Times New Roman"/>
                <w:b/>
                <w:bCs/>
                <w:color w:val="000000" w:themeColor="text1"/>
                <w:szCs w:val="24"/>
                <w:highlight w:val="none"/>
                <w:lang w:val="en-US" w:eastAsia="zh-CN"/>
              </w:rPr>
              <w:t>5</w:t>
            </w:r>
            <w:r>
              <w:rPr>
                <w:rFonts w:hint="default" w:ascii="Times New Roman" w:hAnsi="Times New Roman" w:cs="Times New Roman"/>
                <w:b/>
                <w:bCs/>
                <w:color w:val="000000" w:themeColor="text1"/>
                <w:szCs w:val="24"/>
                <w:highlight w:val="none"/>
              </w:rPr>
              <w:t>、生态环境质量</w:t>
            </w:r>
          </w:p>
          <w:p w14:paraId="5A9A613B">
            <w:pPr>
              <w:adjustRightInd w:val="0"/>
              <w:snapToGrid w:val="0"/>
              <w:ind w:firstLine="480"/>
              <w:jc w:val="left"/>
              <w:rPr>
                <w:rFonts w:hint="default" w:ascii="Times New Roman" w:hAnsi="Times New Roman" w:eastAsia="宋体" w:cs="Times New Roman"/>
                <w:color w:val="000000" w:themeColor="text1"/>
              </w:rPr>
            </w:pPr>
            <w:r>
              <w:rPr>
                <w:rFonts w:hint="default" w:ascii="Times New Roman" w:hAnsi="Times New Roman" w:cs="Times New Roman"/>
                <w:color w:val="000000" w:themeColor="text1"/>
                <w:szCs w:val="28"/>
                <w:highlight w:val="none"/>
              </w:rPr>
              <w:t>项目所在地为九江市柴桑区</w:t>
            </w:r>
            <w:r>
              <w:rPr>
                <w:rFonts w:hint="eastAsia" w:cs="Times New Roman"/>
                <w:color w:val="000000" w:themeColor="text1"/>
                <w:szCs w:val="28"/>
                <w:highlight w:val="none"/>
                <w:lang w:val="en-US" w:eastAsia="zh-CN"/>
              </w:rPr>
              <w:t>赤湖</w:t>
            </w:r>
            <w:r>
              <w:rPr>
                <w:rFonts w:hint="default" w:ascii="Times New Roman" w:hAnsi="Times New Roman" w:cs="Times New Roman"/>
                <w:color w:val="000000" w:themeColor="text1"/>
                <w:szCs w:val="28"/>
                <w:highlight w:val="none"/>
              </w:rPr>
              <w:t>工业园，该区域为工业园区，环境敏感点程度较低，生态环境质量一般，评价范围不属于自然保护区、风景名胜区、农田保护区、水源保护区、无文物保护点，同时无探明的矿床和珍稀动、植物资源。因此，本项目不开展生态环境质量现状调查。</w:t>
            </w:r>
          </w:p>
        </w:tc>
      </w:tr>
      <w:tr w14:paraId="1D5C64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640" w:hRule="atLeast"/>
          <w:jc w:val="center"/>
        </w:trPr>
        <w:tc>
          <w:tcPr>
            <w:tcW w:w="488" w:type="dxa"/>
            <w:vAlign w:val="center"/>
          </w:tcPr>
          <w:p w14:paraId="6512EB0A">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环境</w:t>
            </w:r>
          </w:p>
          <w:p w14:paraId="6C127FC0">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保护</w:t>
            </w:r>
          </w:p>
          <w:p w14:paraId="7D6689D7">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sz w:val="30"/>
                <w:szCs w:val="30"/>
              </w:rPr>
              <w:t>目标</w:t>
            </w:r>
          </w:p>
        </w:tc>
        <w:tc>
          <w:tcPr>
            <w:tcW w:w="8573" w:type="dxa"/>
            <w:vAlign w:val="top"/>
          </w:tcPr>
          <w:p w14:paraId="5C4D2878">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1、环境空气：保护厂区及周边环境空气质量，确保评价范围内的环境空气质量满足《环境空气质量标准》（GB3095-2012）中的二级标准。</w:t>
            </w:r>
          </w:p>
          <w:p w14:paraId="081412C6">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2、地表水：《地表水环境质量标准》（GB3838-2002）Ⅲ类标准。</w:t>
            </w:r>
          </w:p>
          <w:p w14:paraId="789D2194">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3、噪声：声环境质量满足《声环境质量标准》（GB3096-2008）中的3类标准。</w:t>
            </w:r>
          </w:p>
          <w:p w14:paraId="00A358BC">
            <w:pPr>
              <w:spacing w:line="360" w:lineRule="auto"/>
              <w:ind w:firstLine="480" w:firstLineChars="200"/>
              <w:jc w:val="left"/>
              <w:rPr>
                <w:color w:val="000000" w:themeColor="text1"/>
                <w:sz w:val="24"/>
                <w:highlight w:val="none"/>
              </w:rPr>
            </w:pPr>
            <w:r>
              <w:rPr>
                <w:b w:val="0"/>
                <w:bCs/>
                <w:color w:val="000000" w:themeColor="text1"/>
                <w:sz w:val="24"/>
                <w:highlight w:val="none"/>
              </w:rPr>
              <w:t>4、地下水环境保护目标：</w:t>
            </w:r>
            <w:r>
              <w:rPr>
                <w:color w:val="000000" w:themeColor="text1"/>
                <w:sz w:val="24"/>
                <w:highlight w:val="none"/>
              </w:rPr>
              <w:t>厂界外500米范围内无地下水集中式饮用水水源和热水、矿泉水、温泉等特殊地下水资源。</w:t>
            </w:r>
          </w:p>
          <w:p w14:paraId="1D371CC6">
            <w:pPr>
              <w:spacing w:line="360" w:lineRule="auto"/>
              <w:ind w:firstLine="480" w:firstLineChars="200"/>
              <w:jc w:val="left"/>
              <w:rPr>
                <w:rFonts w:hint="eastAsia"/>
                <w:color w:val="000000" w:themeColor="text1"/>
                <w:sz w:val="24"/>
                <w:highlight w:val="none"/>
              </w:rPr>
            </w:pPr>
            <w:r>
              <w:rPr>
                <w:rFonts w:hint="eastAsia"/>
                <w:color w:val="000000" w:themeColor="text1"/>
                <w:sz w:val="24"/>
                <w:highlight w:val="none"/>
              </w:rPr>
              <w:t>项目位于九江市柴桑区</w:t>
            </w:r>
            <w:r>
              <w:rPr>
                <w:rFonts w:hint="eastAsia"/>
                <w:color w:val="000000" w:themeColor="text1"/>
                <w:sz w:val="24"/>
                <w:highlight w:val="none"/>
                <w:lang w:val="en-US" w:eastAsia="zh-CN"/>
              </w:rPr>
              <w:t>赤湖</w:t>
            </w:r>
            <w:r>
              <w:rPr>
                <w:rFonts w:hint="eastAsia"/>
                <w:color w:val="000000" w:themeColor="text1"/>
                <w:sz w:val="24"/>
                <w:highlight w:val="none"/>
              </w:rPr>
              <w:t>工业园，根据</w:t>
            </w:r>
            <w:r>
              <w:rPr>
                <w:color w:val="000000" w:themeColor="text1"/>
                <w:sz w:val="24"/>
                <w:highlight w:val="none"/>
              </w:rPr>
              <w:t>现场</w:t>
            </w:r>
            <w:r>
              <w:rPr>
                <w:rFonts w:hint="eastAsia"/>
                <w:color w:val="000000" w:themeColor="text1"/>
                <w:sz w:val="24"/>
                <w:highlight w:val="none"/>
              </w:rPr>
              <w:t>调查</w:t>
            </w:r>
            <w:r>
              <w:rPr>
                <w:color w:val="000000" w:themeColor="text1"/>
                <w:sz w:val="24"/>
                <w:highlight w:val="none"/>
              </w:rPr>
              <w:t>，项目评价范围内无自然保护区、风景名胜区和文物保护单位等特殊环境保护目标，主要保护目标及保护功能见</w:t>
            </w:r>
            <w:r>
              <w:rPr>
                <w:rFonts w:hint="eastAsia"/>
                <w:color w:val="000000" w:themeColor="text1"/>
                <w:sz w:val="24"/>
                <w:highlight w:val="none"/>
              </w:rPr>
              <w:t>下表。</w:t>
            </w:r>
          </w:p>
          <w:p w14:paraId="036729FB">
            <w:pPr>
              <w:spacing w:line="240" w:lineRule="auto"/>
              <w:ind w:firstLine="482"/>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z w:val="21"/>
                <w:szCs w:val="21"/>
              </w:rPr>
              <w:t>表3-7 环境影响评价保护目标一览表</w:t>
            </w:r>
          </w:p>
          <w:tbl>
            <w:tblPr>
              <w:tblStyle w:val="33"/>
              <w:tblW w:w="819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8"/>
              <w:gridCol w:w="765"/>
              <w:gridCol w:w="593"/>
              <w:gridCol w:w="608"/>
              <w:gridCol w:w="80"/>
              <w:gridCol w:w="568"/>
              <w:gridCol w:w="1766"/>
              <w:gridCol w:w="1065"/>
              <w:gridCol w:w="945"/>
              <w:gridCol w:w="878"/>
            </w:tblGrid>
            <w:tr w14:paraId="29FECD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928" w:type="dxa"/>
                  <w:vMerge w:val="restart"/>
                  <w:vAlign w:val="center"/>
                </w:tcPr>
                <w:p w14:paraId="5C407A2A">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环境要素</w:t>
                  </w:r>
                </w:p>
              </w:tc>
              <w:tc>
                <w:tcPr>
                  <w:tcW w:w="765" w:type="dxa"/>
                  <w:vMerge w:val="restart"/>
                  <w:vAlign w:val="center"/>
                </w:tcPr>
                <w:p w14:paraId="45BA6EC5">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名称</w:t>
                  </w:r>
                </w:p>
              </w:tc>
              <w:tc>
                <w:tcPr>
                  <w:tcW w:w="1201" w:type="dxa"/>
                  <w:gridSpan w:val="2"/>
                  <w:vAlign w:val="center"/>
                </w:tcPr>
                <w:p w14:paraId="4965D988">
                  <w:pPr>
                    <w:pStyle w:val="55"/>
                    <w:ind w:left="0"/>
                    <w:rPr>
                      <w:rFonts w:hint="default"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val="en-US" w:eastAsia="zh-CN"/>
                    </w:rPr>
                    <w:t>相对</w:t>
                  </w:r>
                  <w:r>
                    <w:rPr>
                      <w:rFonts w:hint="default" w:ascii="Times New Roman" w:hAnsi="Times New Roman" w:eastAsia="宋体" w:cs="Times New Roman"/>
                      <w:b/>
                      <w:bCs/>
                      <w:color w:val="000000" w:themeColor="text1"/>
                      <w:sz w:val="21"/>
                      <w:szCs w:val="21"/>
                    </w:rPr>
                    <w:t>坐标</w:t>
                  </w:r>
                </w:p>
              </w:tc>
              <w:tc>
                <w:tcPr>
                  <w:tcW w:w="648" w:type="dxa"/>
                  <w:gridSpan w:val="2"/>
                  <w:vMerge w:val="restart"/>
                  <w:vAlign w:val="center"/>
                </w:tcPr>
                <w:p w14:paraId="5D1DACAA">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保护对象</w:t>
                  </w:r>
                </w:p>
              </w:tc>
              <w:tc>
                <w:tcPr>
                  <w:tcW w:w="1766" w:type="dxa"/>
                  <w:vMerge w:val="restart"/>
                  <w:vAlign w:val="center"/>
                </w:tcPr>
                <w:p w14:paraId="7CD10717">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保护内容</w:t>
                  </w:r>
                </w:p>
              </w:tc>
              <w:tc>
                <w:tcPr>
                  <w:tcW w:w="1065" w:type="dxa"/>
                  <w:vMerge w:val="restart"/>
                  <w:vAlign w:val="center"/>
                </w:tcPr>
                <w:p w14:paraId="5FB6CE7F">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环境功能区</w:t>
                  </w:r>
                </w:p>
              </w:tc>
              <w:tc>
                <w:tcPr>
                  <w:tcW w:w="945" w:type="dxa"/>
                  <w:vMerge w:val="restart"/>
                  <w:vAlign w:val="center"/>
                </w:tcPr>
                <w:p w14:paraId="6AC5F0CC">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相对厂址方位</w:t>
                  </w:r>
                </w:p>
              </w:tc>
              <w:tc>
                <w:tcPr>
                  <w:tcW w:w="878" w:type="dxa"/>
                  <w:vMerge w:val="restart"/>
                  <w:vAlign w:val="center"/>
                </w:tcPr>
                <w:p w14:paraId="410228FB">
                  <w:pPr>
                    <w:pStyle w:val="55"/>
                    <w:ind w:left="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相对厂界距离/m</w:t>
                  </w:r>
                </w:p>
              </w:tc>
            </w:tr>
            <w:tr w14:paraId="1C49B6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28" w:type="dxa"/>
                  <w:vMerge w:val="continue"/>
                  <w:vAlign w:val="center"/>
                </w:tcPr>
                <w:p w14:paraId="6560EDEE">
                  <w:pPr>
                    <w:pStyle w:val="55"/>
                    <w:ind w:left="0"/>
                    <w:rPr>
                      <w:rFonts w:hint="default" w:ascii="Times New Roman" w:hAnsi="Times New Roman" w:eastAsia="宋体" w:cs="Times New Roman"/>
                      <w:color w:val="000000" w:themeColor="text1"/>
                      <w:sz w:val="21"/>
                      <w:szCs w:val="21"/>
                    </w:rPr>
                  </w:pPr>
                </w:p>
              </w:tc>
              <w:tc>
                <w:tcPr>
                  <w:tcW w:w="765" w:type="dxa"/>
                  <w:vMerge w:val="continue"/>
                  <w:vAlign w:val="center"/>
                </w:tcPr>
                <w:p w14:paraId="3D55F8BC">
                  <w:pPr>
                    <w:pStyle w:val="55"/>
                    <w:ind w:left="0"/>
                    <w:rPr>
                      <w:rFonts w:hint="default" w:ascii="Times New Roman" w:hAnsi="Times New Roman" w:eastAsia="宋体" w:cs="Times New Roman"/>
                      <w:color w:val="000000" w:themeColor="text1"/>
                      <w:sz w:val="21"/>
                      <w:szCs w:val="21"/>
                    </w:rPr>
                  </w:pPr>
                </w:p>
              </w:tc>
              <w:tc>
                <w:tcPr>
                  <w:tcW w:w="593" w:type="dxa"/>
                  <w:vAlign w:val="center"/>
                </w:tcPr>
                <w:p w14:paraId="565A6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color w:val="000000" w:themeColor="text1"/>
                      <w:sz w:val="21"/>
                      <w:szCs w:val="21"/>
                      <w:highlight w:val="none"/>
                    </w:rPr>
                    <w:t>X</w:t>
                  </w:r>
                </w:p>
              </w:tc>
              <w:tc>
                <w:tcPr>
                  <w:tcW w:w="608" w:type="dxa"/>
                  <w:vAlign w:val="center"/>
                </w:tcPr>
                <w:p w14:paraId="62E94D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color w:val="000000" w:themeColor="text1"/>
                      <w:sz w:val="21"/>
                      <w:szCs w:val="21"/>
                      <w:highlight w:val="none"/>
                    </w:rPr>
                    <w:t>Y</w:t>
                  </w:r>
                </w:p>
              </w:tc>
              <w:tc>
                <w:tcPr>
                  <w:tcW w:w="648" w:type="dxa"/>
                  <w:gridSpan w:val="2"/>
                  <w:vMerge w:val="continue"/>
                  <w:vAlign w:val="center"/>
                </w:tcPr>
                <w:p w14:paraId="2B8981C3">
                  <w:pPr>
                    <w:pStyle w:val="55"/>
                    <w:ind w:left="0"/>
                    <w:rPr>
                      <w:rFonts w:hint="default" w:ascii="Times New Roman" w:hAnsi="Times New Roman" w:eastAsia="宋体" w:cs="Times New Roman"/>
                      <w:color w:val="000000" w:themeColor="text1"/>
                      <w:sz w:val="21"/>
                      <w:szCs w:val="21"/>
                    </w:rPr>
                  </w:pPr>
                </w:p>
              </w:tc>
              <w:tc>
                <w:tcPr>
                  <w:tcW w:w="1766" w:type="dxa"/>
                  <w:vMerge w:val="continue"/>
                  <w:vAlign w:val="center"/>
                </w:tcPr>
                <w:p w14:paraId="79266BFE">
                  <w:pPr>
                    <w:pStyle w:val="55"/>
                    <w:ind w:left="0"/>
                    <w:rPr>
                      <w:rFonts w:hint="default" w:ascii="Times New Roman" w:hAnsi="Times New Roman" w:eastAsia="宋体" w:cs="Times New Roman"/>
                      <w:color w:val="000000" w:themeColor="text1"/>
                      <w:sz w:val="21"/>
                      <w:szCs w:val="21"/>
                    </w:rPr>
                  </w:pPr>
                </w:p>
              </w:tc>
              <w:tc>
                <w:tcPr>
                  <w:tcW w:w="1065" w:type="dxa"/>
                  <w:vMerge w:val="continue"/>
                  <w:vAlign w:val="center"/>
                </w:tcPr>
                <w:p w14:paraId="0F4E4D51">
                  <w:pPr>
                    <w:pStyle w:val="55"/>
                    <w:ind w:left="0"/>
                    <w:rPr>
                      <w:rFonts w:hint="default" w:ascii="Times New Roman" w:hAnsi="Times New Roman" w:eastAsia="宋体" w:cs="Times New Roman"/>
                      <w:color w:val="000000" w:themeColor="text1"/>
                      <w:sz w:val="21"/>
                      <w:szCs w:val="21"/>
                    </w:rPr>
                  </w:pPr>
                </w:p>
              </w:tc>
              <w:tc>
                <w:tcPr>
                  <w:tcW w:w="945" w:type="dxa"/>
                  <w:vMerge w:val="continue"/>
                  <w:vAlign w:val="center"/>
                </w:tcPr>
                <w:p w14:paraId="2C5CE61A">
                  <w:pPr>
                    <w:pStyle w:val="55"/>
                    <w:ind w:left="0"/>
                    <w:rPr>
                      <w:rFonts w:hint="default" w:ascii="Times New Roman" w:hAnsi="Times New Roman" w:eastAsia="宋体" w:cs="Times New Roman"/>
                      <w:color w:val="000000" w:themeColor="text1"/>
                      <w:sz w:val="21"/>
                      <w:szCs w:val="21"/>
                    </w:rPr>
                  </w:pPr>
                </w:p>
              </w:tc>
              <w:tc>
                <w:tcPr>
                  <w:tcW w:w="878" w:type="dxa"/>
                  <w:vMerge w:val="continue"/>
                  <w:vAlign w:val="center"/>
                </w:tcPr>
                <w:p w14:paraId="27EE111D">
                  <w:pPr>
                    <w:pStyle w:val="55"/>
                    <w:ind w:left="0"/>
                    <w:rPr>
                      <w:rFonts w:hint="default" w:ascii="Times New Roman" w:hAnsi="Times New Roman" w:eastAsia="宋体" w:cs="Times New Roman"/>
                      <w:color w:val="000000" w:themeColor="text1"/>
                      <w:sz w:val="21"/>
                      <w:szCs w:val="21"/>
                    </w:rPr>
                  </w:pPr>
                </w:p>
              </w:tc>
            </w:tr>
            <w:tr w14:paraId="38325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28" w:type="dxa"/>
                  <w:vAlign w:val="center"/>
                </w:tcPr>
                <w:p w14:paraId="36A36CF7">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大气环境</w:t>
                  </w:r>
                </w:p>
              </w:tc>
              <w:tc>
                <w:tcPr>
                  <w:tcW w:w="7268" w:type="dxa"/>
                  <w:gridSpan w:val="9"/>
                  <w:vAlign w:val="center"/>
                </w:tcPr>
                <w:p w14:paraId="6AD227E3">
                  <w:pPr>
                    <w:pStyle w:val="55"/>
                    <w:ind w:left="0"/>
                    <w:jc w:val="center"/>
                    <w:rPr>
                      <w:rFonts w:hint="default" w:cs="Times New Roman"/>
                      <w:color w:val="000000" w:themeColor="text1"/>
                      <w:sz w:val="21"/>
                      <w:szCs w:val="21"/>
                      <w:lang w:val="en-US" w:eastAsia="zh-CN"/>
                    </w:rPr>
                  </w:pPr>
                  <w:r>
                    <w:rPr>
                      <w:rFonts w:ascii="Times New Roman" w:hAnsi="Times New Roman" w:eastAsia="宋体" w:cs="Times New Roman"/>
                      <w:strike w:val="0"/>
                      <w:dstrike w:val="0"/>
                      <w:color w:val="000000" w:themeColor="text1"/>
                      <w:highlight w:val="none"/>
                    </w:rPr>
                    <w:t>厂界500m范围内无大气环境保护目标</w:t>
                  </w:r>
                </w:p>
              </w:tc>
            </w:tr>
            <w:tr w14:paraId="24CB84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28" w:type="dxa"/>
                  <w:vMerge w:val="restart"/>
                  <w:vAlign w:val="center"/>
                </w:tcPr>
                <w:p w14:paraId="329CFAC6">
                  <w:pPr>
                    <w:pStyle w:val="55"/>
                    <w:ind w:left="0"/>
                    <w:jc w:val="center"/>
                    <w:rPr>
                      <w:rFonts w:hint="default" w:ascii="Times New Roman" w:hAnsi="Times New Roman" w:eastAsia="宋体" w:cs="Times New Roman"/>
                      <w:strike w:val="0"/>
                      <w:dstrike w:val="0"/>
                      <w:color w:val="000000" w:themeColor="text1"/>
                      <w:highlight w:val="none"/>
                    </w:rPr>
                  </w:pPr>
                  <w:r>
                    <w:rPr>
                      <w:rFonts w:hint="default" w:ascii="Times New Roman" w:hAnsi="Times New Roman" w:eastAsia="宋体" w:cs="Times New Roman"/>
                      <w:strike w:val="0"/>
                      <w:dstrike w:val="0"/>
                      <w:color w:val="000000" w:themeColor="text1"/>
                      <w:highlight w:val="none"/>
                    </w:rPr>
                    <w:t>水环境</w:t>
                  </w:r>
                </w:p>
              </w:tc>
              <w:tc>
                <w:tcPr>
                  <w:tcW w:w="2046" w:type="dxa"/>
                  <w:gridSpan w:val="4"/>
                  <w:vAlign w:val="center"/>
                </w:tcPr>
                <w:p w14:paraId="364D2C13">
                  <w:pPr>
                    <w:pStyle w:val="55"/>
                    <w:ind w:left="0"/>
                    <w:jc w:val="center"/>
                    <w:rPr>
                      <w:rFonts w:hint="eastAsia"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长江</w:t>
                  </w:r>
                </w:p>
              </w:tc>
              <w:tc>
                <w:tcPr>
                  <w:tcW w:w="2334" w:type="dxa"/>
                  <w:gridSpan w:val="2"/>
                  <w:vAlign w:val="center"/>
                </w:tcPr>
                <w:p w14:paraId="69277E72">
                  <w:pPr>
                    <w:pStyle w:val="55"/>
                    <w:ind w:left="0"/>
                    <w:jc w:val="center"/>
                    <w:rPr>
                      <w:rFonts w:hint="eastAsia"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大河</w:t>
                  </w:r>
                </w:p>
              </w:tc>
              <w:tc>
                <w:tcPr>
                  <w:tcW w:w="1065" w:type="dxa"/>
                  <w:vMerge w:val="restart"/>
                  <w:vAlign w:val="center"/>
                </w:tcPr>
                <w:p w14:paraId="6659429A">
                  <w:pPr>
                    <w:pStyle w:val="55"/>
                    <w:ind w:left="0"/>
                    <w:jc w:val="center"/>
                    <w:rPr>
                      <w:rFonts w:hint="default" w:ascii="Times New Roman" w:hAnsi="Times New Roman" w:eastAsia="宋体" w:cs="Times New Roman"/>
                      <w:strike w:val="0"/>
                      <w:dstrike w:val="0"/>
                      <w:color w:val="000000" w:themeColor="text1"/>
                      <w:highlight w:val="none"/>
                    </w:rPr>
                  </w:pPr>
                  <w:r>
                    <w:rPr>
                      <w:rFonts w:hint="default" w:ascii="Times New Roman" w:hAnsi="Times New Roman" w:eastAsia="宋体" w:cs="Times New Roman"/>
                      <w:strike w:val="0"/>
                      <w:dstrike w:val="0"/>
                      <w:color w:val="000000" w:themeColor="text1"/>
                      <w:highlight w:val="none"/>
                    </w:rPr>
                    <w:t>（GB3838-2002）Ⅲ类标准</w:t>
                  </w:r>
                </w:p>
              </w:tc>
              <w:tc>
                <w:tcPr>
                  <w:tcW w:w="945" w:type="dxa"/>
                  <w:vAlign w:val="center"/>
                </w:tcPr>
                <w:p w14:paraId="6E4A4FF9">
                  <w:pPr>
                    <w:pStyle w:val="55"/>
                    <w:ind w:left="0"/>
                    <w:jc w:val="center"/>
                    <w:rPr>
                      <w:rFonts w:hint="eastAsia" w:ascii="Times New Roman" w:hAnsi="Times New Roman" w:eastAsia="宋体" w:cs="Times New Roman"/>
                      <w:strike w:val="0"/>
                      <w:dstrike w:val="0"/>
                      <w:color w:val="000000" w:themeColor="text1"/>
                      <w:highlight w:val="none"/>
                      <w:lang w:eastAsia="zh-CN"/>
                    </w:rPr>
                  </w:pPr>
                  <w:r>
                    <w:rPr>
                      <w:rFonts w:hint="eastAsia" w:ascii="Times New Roman" w:hAnsi="Times New Roman" w:eastAsia="宋体" w:cs="Times New Roman"/>
                      <w:strike w:val="0"/>
                      <w:dstrike w:val="0"/>
                      <w:color w:val="000000" w:themeColor="text1"/>
                      <w:highlight w:val="none"/>
                      <w:lang w:val="en-US" w:eastAsia="zh-CN"/>
                    </w:rPr>
                    <w:t>北</w:t>
                  </w:r>
                </w:p>
              </w:tc>
              <w:tc>
                <w:tcPr>
                  <w:tcW w:w="878" w:type="dxa"/>
                  <w:vAlign w:val="center"/>
                </w:tcPr>
                <w:p w14:paraId="33FC3E7F">
                  <w:pPr>
                    <w:pStyle w:val="55"/>
                    <w:ind w:left="0"/>
                    <w:jc w:val="center"/>
                    <w:rPr>
                      <w:rFonts w:hint="default"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1011</w:t>
                  </w:r>
                </w:p>
              </w:tc>
            </w:tr>
            <w:tr w14:paraId="59F39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28" w:type="dxa"/>
                  <w:vMerge w:val="continue"/>
                  <w:vAlign w:val="center"/>
                </w:tcPr>
                <w:p w14:paraId="40318252">
                  <w:pPr>
                    <w:pStyle w:val="55"/>
                    <w:ind w:left="0"/>
                    <w:jc w:val="center"/>
                    <w:rPr>
                      <w:rFonts w:hint="default" w:ascii="Times New Roman" w:hAnsi="Times New Roman" w:eastAsia="宋体" w:cs="Times New Roman"/>
                      <w:strike w:val="0"/>
                      <w:dstrike w:val="0"/>
                      <w:color w:val="000000" w:themeColor="text1"/>
                      <w:highlight w:val="none"/>
                    </w:rPr>
                  </w:pPr>
                </w:p>
              </w:tc>
              <w:tc>
                <w:tcPr>
                  <w:tcW w:w="2046" w:type="dxa"/>
                  <w:gridSpan w:val="4"/>
                  <w:vAlign w:val="center"/>
                </w:tcPr>
                <w:p w14:paraId="42C7EA2B">
                  <w:pPr>
                    <w:pStyle w:val="55"/>
                    <w:ind w:left="0"/>
                    <w:jc w:val="center"/>
                    <w:rPr>
                      <w:rFonts w:hint="default"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赤湖</w:t>
                  </w:r>
                </w:p>
              </w:tc>
              <w:tc>
                <w:tcPr>
                  <w:tcW w:w="2334" w:type="dxa"/>
                  <w:gridSpan w:val="2"/>
                  <w:vAlign w:val="center"/>
                </w:tcPr>
                <w:p w14:paraId="10D8A211">
                  <w:pPr>
                    <w:pStyle w:val="55"/>
                    <w:ind w:left="0"/>
                    <w:jc w:val="center"/>
                    <w:rPr>
                      <w:rFonts w:hint="eastAsia"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小湖</w:t>
                  </w:r>
                </w:p>
              </w:tc>
              <w:tc>
                <w:tcPr>
                  <w:tcW w:w="1065" w:type="dxa"/>
                  <w:vMerge w:val="continue"/>
                  <w:vAlign w:val="center"/>
                </w:tcPr>
                <w:p w14:paraId="0E966495">
                  <w:pPr>
                    <w:pStyle w:val="55"/>
                    <w:ind w:left="0"/>
                    <w:jc w:val="center"/>
                    <w:rPr>
                      <w:rFonts w:hint="default" w:ascii="Times New Roman" w:hAnsi="Times New Roman" w:eastAsia="宋体" w:cs="Times New Roman"/>
                      <w:strike w:val="0"/>
                      <w:dstrike w:val="0"/>
                      <w:color w:val="000000" w:themeColor="text1"/>
                      <w:highlight w:val="none"/>
                    </w:rPr>
                  </w:pPr>
                </w:p>
              </w:tc>
              <w:tc>
                <w:tcPr>
                  <w:tcW w:w="945" w:type="dxa"/>
                  <w:vAlign w:val="center"/>
                </w:tcPr>
                <w:p w14:paraId="0396C591">
                  <w:pPr>
                    <w:pStyle w:val="55"/>
                    <w:ind w:left="0"/>
                    <w:jc w:val="center"/>
                    <w:rPr>
                      <w:rFonts w:hint="default"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西南</w:t>
                  </w:r>
                </w:p>
              </w:tc>
              <w:tc>
                <w:tcPr>
                  <w:tcW w:w="878" w:type="dxa"/>
                  <w:vAlign w:val="center"/>
                </w:tcPr>
                <w:p w14:paraId="655D22A8">
                  <w:pPr>
                    <w:pStyle w:val="55"/>
                    <w:ind w:left="0"/>
                    <w:jc w:val="center"/>
                    <w:rPr>
                      <w:rFonts w:hint="default"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1805</w:t>
                  </w:r>
                </w:p>
              </w:tc>
            </w:tr>
            <w:tr w14:paraId="6A757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928" w:type="dxa"/>
                  <w:vMerge w:val="continue"/>
                  <w:vAlign w:val="center"/>
                </w:tcPr>
                <w:p w14:paraId="41358EBD">
                  <w:pPr>
                    <w:pStyle w:val="55"/>
                    <w:ind w:left="0"/>
                    <w:rPr>
                      <w:rFonts w:hint="default" w:ascii="Times New Roman" w:hAnsi="Times New Roman" w:eastAsia="宋体" w:cs="Times New Roman"/>
                      <w:color w:val="000000" w:themeColor="text1"/>
                      <w:sz w:val="21"/>
                      <w:szCs w:val="21"/>
                    </w:rPr>
                  </w:pPr>
                </w:p>
              </w:tc>
              <w:tc>
                <w:tcPr>
                  <w:tcW w:w="2046" w:type="dxa"/>
                  <w:gridSpan w:val="4"/>
                  <w:vAlign w:val="center"/>
                </w:tcPr>
                <w:p w14:paraId="44EF1B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eastAsia" w:cs="Times New Roman"/>
                      <w:color w:val="000000" w:themeColor="text1"/>
                      <w:sz w:val="21"/>
                      <w:szCs w:val="21"/>
                      <w:lang w:val="en-US" w:eastAsia="zh-CN"/>
                    </w:rPr>
                  </w:pPr>
                  <w:r>
                    <w:rPr>
                      <w:rFonts w:hint="default" w:ascii="Times New Roman" w:hAnsi="Times New Roman" w:cs="Times New Roman"/>
                      <w:color w:val="000000" w:themeColor="text1"/>
                      <w:sz w:val="21"/>
                      <w:szCs w:val="21"/>
                      <w:highlight w:val="none"/>
                    </w:rPr>
                    <w:t>九江第四水厂取水口</w:t>
                  </w:r>
                </w:p>
              </w:tc>
              <w:tc>
                <w:tcPr>
                  <w:tcW w:w="2334" w:type="dxa"/>
                  <w:gridSpan w:val="2"/>
                  <w:vAlign w:val="center"/>
                </w:tcPr>
                <w:p w14:paraId="2833B486">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eastAsia" w:cs="Times New Roman"/>
                      <w:color w:val="000000" w:themeColor="text1"/>
                      <w:sz w:val="21"/>
                      <w:szCs w:val="21"/>
                      <w:lang w:val="en-US" w:eastAsia="zh-CN"/>
                    </w:rPr>
                  </w:pPr>
                  <w:r>
                    <w:rPr>
                      <w:rFonts w:hint="eastAsia" w:ascii="Times New Roman" w:hAnsi="Times New Roman" w:cs="Times New Roman"/>
                      <w:color w:val="000000" w:themeColor="text1"/>
                      <w:sz w:val="21"/>
                      <w:szCs w:val="21"/>
                      <w:highlight w:val="none"/>
                      <w:lang w:val="en-US" w:eastAsia="zh-CN"/>
                    </w:rPr>
                    <w:t>赤湖工业园污水处理厂</w:t>
                  </w:r>
                  <w:r>
                    <w:rPr>
                      <w:rFonts w:hint="default" w:ascii="Times New Roman" w:hAnsi="Times New Roman" w:cs="Times New Roman"/>
                      <w:color w:val="000000" w:themeColor="text1"/>
                      <w:sz w:val="21"/>
                      <w:szCs w:val="21"/>
                      <w:highlight w:val="none"/>
                    </w:rPr>
                    <w:t>排污口上游520m，取水规模</w:t>
                  </w:r>
                  <w:r>
                    <w:rPr>
                      <w:rFonts w:hint="eastAsia" w:ascii="Times New Roman" w:hAnsi="Times New Roman" w:cs="Times New Roman"/>
                      <w:color w:val="000000" w:themeColor="text1"/>
                      <w:sz w:val="21"/>
                      <w:szCs w:val="21"/>
                      <w:highlight w:val="none"/>
                      <w:lang w:val="en-US" w:eastAsia="zh-CN"/>
                    </w:rPr>
                    <w:t>为</w:t>
                  </w:r>
                  <w:r>
                    <w:rPr>
                      <w:rFonts w:hint="default" w:ascii="Times New Roman" w:hAnsi="Times New Roman" w:cs="Times New Roman"/>
                      <w:color w:val="000000" w:themeColor="text1"/>
                      <w:sz w:val="21"/>
                      <w:szCs w:val="21"/>
                      <w:highlight w:val="none"/>
                    </w:rPr>
                    <w:t>100000m</w:t>
                  </w:r>
                  <w:r>
                    <w:rPr>
                      <w:rFonts w:hint="default" w:ascii="Times New Roman" w:hAnsi="Times New Roman" w:cs="Times New Roman"/>
                      <w:color w:val="000000" w:themeColor="text1"/>
                      <w:sz w:val="21"/>
                      <w:szCs w:val="21"/>
                      <w:highlight w:val="none"/>
                      <w:vertAlign w:val="superscript"/>
                    </w:rPr>
                    <w:t>3</w:t>
                  </w:r>
                  <w:r>
                    <w:rPr>
                      <w:rFonts w:hint="default" w:ascii="Times New Roman" w:hAnsi="Times New Roman" w:cs="Times New Roman"/>
                      <w:color w:val="000000" w:themeColor="text1"/>
                      <w:sz w:val="21"/>
                      <w:szCs w:val="21"/>
                      <w:highlight w:val="none"/>
                    </w:rPr>
                    <w:t>/d</w:t>
                  </w:r>
                </w:p>
              </w:tc>
              <w:tc>
                <w:tcPr>
                  <w:tcW w:w="1065" w:type="dxa"/>
                  <w:vAlign w:val="center"/>
                </w:tcPr>
                <w:p w14:paraId="7CC390B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color w:val="000000" w:themeColor="text1"/>
                      <w:sz w:val="21"/>
                      <w:szCs w:val="21"/>
                    </w:rPr>
                  </w:pPr>
                  <w:r>
                    <w:rPr>
                      <w:rFonts w:hint="default" w:ascii="Times New Roman" w:hAnsi="Times New Roman" w:cs="Times New Roman"/>
                      <w:color w:val="000000" w:themeColor="text1"/>
                      <w:sz w:val="21"/>
                      <w:szCs w:val="21"/>
                      <w:highlight w:val="none"/>
                    </w:rPr>
                    <w:t>饮用水源</w:t>
                  </w:r>
                  <w:r>
                    <w:rPr>
                      <w:rFonts w:hint="default" w:ascii="Times New Roman" w:hAnsi="Times New Roman" w:cs="Times New Roman"/>
                      <w:color w:val="000000" w:themeColor="text1"/>
                      <w:sz w:val="21"/>
                      <w:szCs w:val="21"/>
                      <w:highlight w:val="none"/>
                      <w:lang w:val="en-US" w:eastAsia="zh-CN"/>
                    </w:rPr>
                    <w:t>（长江）</w:t>
                  </w:r>
                  <w:r>
                    <w:rPr>
                      <w:rFonts w:hint="default" w:ascii="Times New Roman" w:hAnsi="Times New Roman" w:cs="Times New Roman"/>
                      <w:color w:val="000000" w:themeColor="text1"/>
                      <w:sz w:val="21"/>
                      <w:szCs w:val="21"/>
                      <w:highlight w:val="none"/>
                    </w:rPr>
                    <w:t>，Ⅱ类</w:t>
                  </w:r>
                </w:p>
              </w:tc>
              <w:tc>
                <w:tcPr>
                  <w:tcW w:w="945" w:type="dxa"/>
                  <w:vAlign w:val="center"/>
                </w:tcPr>
                <w:p w14:paraId="34C3A01F">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西北</w:t>
                  </w:r>
                </w:p>
              </w:tc>
              <w:tc>
                <w:tcPr>
                  <w:tcW w:w="878" w:type="dxa"/>
                  <w:vAlign w:val="center"/>
                </w:tcPr>
                <w:p w14:paraId="472F94B7">
                  <w:pPr>
                    <w:pStyle w:val="55"/>
                    <w:ind w:left="0"/>
                    <w:jc w:val="center"/>
                    <w:rPr>
                      <w:rFonts w:hint="eastAsia" w:ascii="Times New Roman" w:hAnsi="Times New Roman" w:eastAsia="宋体" w:cs="Times New Roman"/>
                      <w:strike w:val="0"/>
                      <w:dstrike w:val="0"/>
                      <w:color w:val="000000" w:themeColor="text1"/>
                      <w:highlight w:val="none"/>
                      <w:lang w:val="en-US" w:eastAsia="zh-CN"/>
                    </w:rPr>
                  </w:pPr>
                  <w:r>
                    <w:rPr>
                      <w:rFonts w:hint="eastAsia" w:ascii="Times New Roman" w:hAnsi="Times New Roman" w:eastAsia="宋体" w:cs="Times New Roman"/>
                      <w:strike w:val="0"/>
                      <w:dstrike w:val="0"/>
                      <w:color w:val="000000" w:themeColor="text1"/>
                      <w:highlight w:val="none"/>
                      <w:lang w:val="en-US" w:eastAsia="zh-CN"/>
                    </w:rPr>
                    <w:t>1250</w:t>
                  </w:r>
                </w:p>
              </w:tc>
            </w:tr>
            <w:tr w14:paraId="06473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928" w:type="dxa"/>
                  <w:vAlign w:val="center"/>
                </w:tcPr>
                <w:p w14:paraId="59E824ED">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声环境</w:t>
                  </w:r>
                </w:p>
              </w:tc>
              <w:tc>
                <w:tcPr>
                  <w:tcW w:w="7268" w:type="dxa"/>
                  <w:gridSpan w:val="9"/>
                  <w:vAlign w:val="center"/>
                </w:tcPr>
                <w:p w14:paraId="338BF2C5">
                  <w:pPr>
                    <w:pStyle w:val="55"/>
                    <w:ind w:left="0" w:leftChars="0" w:firstLine="0" w:firstLineChars="0"/>
                    <w:rPr>
                      <w:rFonts w:hint="default" w:eastAsia="宋体"/>
                      <w:color w:val="000000" w:themeColor="text1"/>
                      <w:sz w:val="21"/>
                      <w:szCs w:val="21"/>
                      <w:lang w:val="en-US" w:eastAsia="zh-CN"/>
                    </w:rPr>
                  </w:pPr>
                  <w:r>
                    <w:rPr>
                      <w:rFonts w:ascii="Times New Roman" w:hAnsi="Times New Roman" w:eastAsia="宋体" w:cs="Times New Roman"/>
                      <w:strike w:val="0"/>
                      <w:dstrike w:val="0"/>
                      <w:color w:val="000000" w:themeColor="text1"/>
                      <w:szCs w:val="21"/>
                      <w:highlight w:val="none"/>
                    </w:rPr>
                    <w:t>厂界外周边50米范围内无声环境保护目标</w:t>
                  </w:r>
                </w:p>
              </w:tc>
            </w:tr>
            <w:tr w14:paraId="2B910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928" w:type="dxa"/>
                  <w:vAlign w:val="center"/>
                </w:tcPr>
                <w:p w14:paraId="725DA6DD">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地下水</w:t>
                  </w:r>
                </w:p>
              </w:tc>
              <w:tc>
                <w:tcPr>
                  <w:tcW w:w="7268" w:type="dxa"/>
                  <w:gridSpan w:val="9"/>
                  <w:vAlign w:val="center"/>
                </w:tcPr>
                <w:p w14:paraId="047786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highlight w:val="none"/>
                    </w:rPr>
                  </w:pPr>
                  <w:r>
                    <w:rPr>
                      <w:color w:val="000000" w:themeColor="text1"/>
                      <w:sz w:val="21"/>
                      <w:szCs w:val="21"/>
                      <w:highlight w:val="none"/>
                    </w:rPr>
                    <w:t>项目厂界500米范围内无地下水集中式饮用水水源和热水、矿泉水、温泉等特殊地下水资源</w:t>
                  </w:r>
                </w:p>
              </w:tc>
            </w:tr>
          </w:tbl>
          <w:p w14:paraId="2A4EA565">
            <w:pPr>
              <w:pStyle w:val="170"/>
              <w:spacing w:before="30" w:line="240" w:lineRule="auto"/>
              <w:ind w:left="113" w:right="106" w:hanging="3"/>
              <w:rPr>
                <w:rFonts w:hint="default" w:ascii="Times New Roman" w:hAnsi="Times New Roman" w:eastAsia="宋体" w:cs="Times New Roman"/>
                <w:b/>
                <w:bCs/>
                <w:color w:val="000000" w:themeColor="text1"/>
                <w:sz w:val="18"/>
                <w:szCs w:val="18"/>
              </w:rPr>
            </w:pPr>
            <w:r>
              <w:rPr>
                <w:rFonts w:hint="default" w:ascii="Times New Roman" w:hAnsi="Times New Roman" w:eastAsia="宋体" w:cs="Times New Roman"/>
                <w:b/>
                <w:bCs/>
                <w:color w:val="000000" w:themeColor="text1"/>
                <w:spacing w:val="-1"/>
                <w:sz w:val="18"/>
                <w:szCs w:val="18"/>
              </w:rPr>
              <w:t>注：本次评价以厂区中心为原点坐标（0</w:t>
            </w:r>
            <w:r>
              <w:rPr>
                <w:rFonts w:hint="default" w:ascii="Times New Roman" w:hAnsi="Times New Roman" w:eastAsia="宋体" w:cs="Times New Roman"/>
                <w:b/>
                <w:bCs/>
                <w:color w:val="000000" w:themeColor="text1"/>
                <w:spacing w:val="-22"/>
                <w:sz w:val="18"/>
                <w:szCs w:val="18"/>
              </w:rPr>
              <w:t xml:space="preserve"> </w:t>
            </w:r>
            <w:r>
              <w:rPr>
                <w:rFonts w:hint="default" w:ascii="Times New Roman" w:hAnsi="Times New Roman" w:eastAsia="宋体" w:cs="Times New Roman"/>
                <w:b/>
                <w:bCs/>
                <w:color w:val="000000" w:themeColor="text1"/>
                <w:spacing w:val="-1"/>
                <w:sz w:val="18"/>
                <w:szCs w:val="18"/>
              </w:rPr>
              <w:t>，0</w:t>
            </w:r>
            <w:r>
              <w:rPr>
                <w:rFonts w:hint="default" w:ascii="Times New Roman" w:hAnsi="Times New Roman" w:eastAsia="宋体" w:cs="Times New Roman"/>
                <w:b/>
                <w:bCs/>
                <w:color w:val="000000" w:themeColor="text1"/>
                <w:spacing w:val="-18"/>
                <w:sz w:val="18"/>
                <w:szCs w:val="18"/>
              </w:rPr>
              <w:t>），（</w:t>
            </w:r>
            <w:r>
              <w:rPr>
                <w:rFonts w:hint="default" w:ascii="Times New Roman" w:hAnsi="Times New Roman" w:eastAsia="宋体" w:cs="Times New Roman"/>
                <w:b/>
                <w:bCs/>
                <w:color w:val="000000" w:themeColor="text1"/>
                <w:spacing w:val="-1"/>
                <w:sz w:val="18"/>
                <w:szCs w:val="18"/>
              </w:rPr>
              <w:t>0,0）点对应为</w:t>
            </w:r>
            <w:r>
              <w:rPr>
                <w:rFonts w:hint="default" w:ascii="Times New Roman" w:hAnsi="Times New Roman" w:eastAsia="宋体" w:cs="Times New Roman"/>
                <w:b/>
                <w:bCs/>
                <w:color w:val="000000" w:themeColor="text1"/>
                <w:spacing w:val="-43"/>
                <w:sz w:val="18"/>
                <w:szCs w:val="18"/>
              </w:rPr>
              <w:t xml:space="preserve"> </w:t>
            </w:r>
            <w:r>
              <w:rPr>
                <w:rFonts w:hint="default" w:ascii="Times New Roman" w:hAnsi="Times New Roman" w:eastAsia="宋体" w:cs="Times New Roman"/>
                <w:b/>
                <w:bCs/>
                <w:color w:val="000000" w:themeColor="text1"/>
                <w:spacing w:val="-1"/>
                <w:sz w:val="18"/>
                <w:szCs w:val="18"/>
              </w:rPr>
              <w:t>E</w:t>
            </w:r>
            <w:r>
              <w:rPr>
                <w:rFonts w:hint="default" w:ascii="Times New Roman" w:hAnsi="Times New Roman" w:eastAsia="宋体" w:cs="Times New Roman"/>
                <w:b/>
                <w:bCs/>
                <w:color w:val="000000" w:themeColor="text1"/>
                <w:spacing w:val="22"/>
                <w:w w:val="101"/>
                <w:sz w:val="18"/>
                <w:szCs w:val="18"/>
              </w:rPr>
              <w:t xml:space="preserve"> </w:t>
            </w:r>
            <w:r>
              <w:rPr>
                <w:rFonts w:hint="default" w:ascii="Times New Roman" w:hAnsi="Times New Roman" w:eastAsia="宋体" w:cs="Times New Roman"/>
                <w:b/>
                <w:bCs/>
                <w:color w:val="000000" w:themeColor="text1"/>
                <w:spacing w:val="-1"/>
                <w:sz w:val="18"/>
                <w:szCs w:val="18"/>
              </w:rPr>
              <w:t>115°</w:t>
            </w:r>
            <w:r>
              <w:rPr>
                <w:rFonts w:hint="default" w:ascii="Times New Roman" w:hAnsi="Times New Roman" w:eastAsia="宋体" w:cs="Times New Roman"/>
                <w:b/>
                <w:bCs/>
                <w:color w:val="000000" w:themeColor="text1"/>
                <w:spacing w:val="-1"/>
                <w:sz w:val="18"/>
                <w:szCs w:val="18"/>
                <w:lang w:val="en-US" w:eastAsia="zh-CN"/>
              </w:rPr>
              <w:t>44</w:t>
            </w:r>
            <w:r>
              <w:rPr>
                <w:rFonts w:hint="default" w:ascii="Times New Roman" w:hAnsi="Times New Roman" w:eastAsia="宋体" w:cs="Times New Roman"/>
                <w:b/>
                <w:bCs/>
                <w:color w:val="000000" w:themeColor="text1"/>
                <w:spacing w:val="-1"/>
                <w:sz w:val="18"/>
                <w:szCs w:val="18"/>
              </w:rPr>
              <w:t>′</w:t>
            </w:r>
            <w:r>
              <w:rPr>
                <w:rFonts w:hint="default" w:ascii="Times New Roman" w:hAnsi="Times New Roman" w:eastAsia="宋体" w:cs="Times New Roman"/>
                <w:b/>
                <w:bCs/>
                <w:color w:val="000000" w:themeColor="text1"/>
                <w:spacing w:val="-1"/>
                <w:sz w:val="18"/>
                <w:szCs w:val="18"/>
                <w:lang w:val="en-US" w:eastAsia="zh-CN"/>
              </w:rPr>
              <w:t>55.135</w:t>
            </w:r>
            <w:r>
              <w:rPr>
                <w:rFonts w:hint="default" w:ascii="Times New Roman" w:hAnsi="Times New Roman" w:eastAsia="宋体" w:cs="Times New Roman"/>
                <w:b/>
                <w:bCs/>
                <w:color w:val="000000" w:themeColor="text1"/>
                <w:spacing w:val="-1"/>
                <w:sz w:val="18"/>
                <w:szCs w:val="18"/>
              </w:rPr>
              <w:t>″，N 2</w:t>
            </w:r>
            <w:r>
              <w:rPr>
                <w:rFonts w:hint="default" w:ascii="Times New Roman" w:hAnsi="Times New Roman" w:eastAsia="宋体" w:cs="Times New Roman"/>
                <w:b/>
                <w:bCs/>
                <w:color w:val="000000" w:themeColor="text1"/>
                <w:spacing w:val="-1"/>
                <w:sz w:val="18"/>
                <w:szCs w:val="18"/>
                <w:lang w:val="en-US" w:eastAsia="zh-CN"/>
              </w:rPr>
              <w:t>9</w:t>
            </w:r>
            <w:r>
              <w:rPr>
                <w:rFonts w:hint="default" w:ascii="Times New Roman" w:hAnsi="Times New Roman" w:eastAsia="宋体" w:cs="Times New Roman"/>
                <w:b/>
                <w:bCs/>
                <w:color w:val="000000" w:themeColor="text1"/>
                <w:spacing w:val="-1"/>
                <w:sz w:val="18"/>
                <w:szCs w:val="18"/>
              </w:rPr>
              <w:t>°</w:t>
            </w:r>
            <w:r>
              <w:rPr>
                <w:rFonts w:hint="default" w:ascii="Times New Roman" w:hAnsi="Times New Roman" w:eastAsia="宋体" w:cs="Times New Roman"/>
                <w:b/>
                <w:bCs/>
                <w:color w:val="000000" w:themeColor="text1"/>
                <w:spacing w:val="-1"/>
                <w:sz w:val="18"/>
                <w:szCs w:val="18"/>
                <w:lang w:val="en-US" w:eastAsia="zh-CN"/>
              </w:rPr>
              <w:t>46</w:t>
            </w:r>
            <w:r>
              <w:rPr>
                <w:rFonts w:hint="default" w:ascii="Times New Roman" w:hAnsi="Times New Roman" w:eastAsia="宋体" w:cs="Times New Roman"/>
                <w:b/>
                <w:bCs/>
                <w:color w:val="000000" w:themeColor="text1"/>
                <w:spacing w:val="-2"/>
                <w:sz w:val="18"/>
                <w:szCs w:val="18"/>
              </w:rPr>
              <w:t>′</w:t>
            </w:r>
            <w:r>
              <w:rPr>
                <w:rFonts w:hint="default" w:ascii="Times New Roman" w:hAnsi="Times New Roman" w:eastAsia="宋体" w:cs="Times New Roman"/>
                <w:b/>
                <w:bCs/>
                <w:color w:val="000000" w:themeColor="text1"/>
                <w:spacing w:val="-2"/>
                <w:sz w:val="18"/>
                <w:szCs w:val="18"/>
                <w:lang w:val="en-US" w:eastAsia="zh-CN"/>
              </w:rPr>
              <w:t>36.516</w:t>
            </w:r>
            <w:r>
              <w:rPr>
                <w:rFonts w:hint="default" w:ascii="Times New Roman" w:hAnsi="Times New Roman" w:eastAsia="宋体" w:cs="Times New Roman"/>
                <w:b/>
                <w:bCs/>
                <w:color w:val="000000" w:themeColor="text1"/>
                <w:spacing w:val="-2"/>
                <w:sz w:val="18"/>
                <w:szCs w:val="18"/>
              </w:rPr>
              <w:t>″</w:t>
            </w:r>
            <w:r>
              <w:rPr>
                <w:rFonts w:hint="default" w:ascii="Times New Roman" w:hAnsi="Times New Roman" w:eastAsia="宋体" w:cs="Times New Roman"/>
                <w:b/>
                <w:bCs/>
                <w:color w:val="000000" w:themeColor="text1"/>
                <w:spacing w:val="-24"/>
                <w:sz w:val="18"/>
                <w:szCs w:val="18"/>
              </w:rPr>
              <w:t xml:space="preserve"> </w:t>
            </w:r>
            <w:r>
              <w:rPr>
                <w:rFonts w:hint="default" w:ascii="Times New Roman" w:hAnsi="Times New Roman" w:eastAsia="宋体" w:cs="Times New Roman"/>
                <w:b/>
                <w:bCs/>
                <w:color w:val="000000" w:themeColor="text1"/>
                <w:spacing w:val="-2"/>
                <w:sz w:val="18"/>
                <w:szCs w:val="18"/>
              </w:rPr>
              <w:t>，正东</w:t>
            </w:r>
            <w:r>
              <w:rPr>
                <w:rFonts w:hint="default" w:ascii="Times New Roman" w:hAnsi="Times New Roman" w:eastAsia="宋体" w:cs="Times New Roman"/>
                <w:b/>
                <w:bCs/>
                <w:color w:val="000000" w:themeColor="text1"/>
                <w:spacing w:val="-43"/>
                <w:sz w:val="18"/>
                <w:szCs w:val="18"/>
              </w:rPr>
              <w:t xml:space="preserve"> </w:t>
            </w:r>
            <w:r>
              <w:rPr>
                <w:rFonts w:hint="default" w:ascii="Times New Roman" w:hAnsi="Times New Roman" w:eastAsia="宋体" w:cs="Times New Roman"/>
                <w:b/>
                <w:bCs/>
                <w:color w:val="000000" w:themeColor="text1"/>
                <w:spacing w:val="-2"/>
                <w:sz w:val="18"/>
                <w:szCs w:val="18"/>
              </w:rPr>
              <w:t>X 轴为正方向，正北</w:t>
            </w:r>
            <w:r>
              <w:rPr>
                <w:rFonts w:hint="default" w:ascii="Times New Roman" w:hAnsi="Times New Roman" w:eastAsia="宋体" w:cs="Times New Roman"/>
                <w:b/>
                <w:bCs/>
                <w:color w:val="000000" w:themeColor="text1"/>
                <w:spacing w:val="-43"/>
                <w:sz w:val="18"/>
                <w:szCs w:val="18"/>
              </w:rPr>
              <w:t xml:space="preserve"> </w:t>
            </w:r>
            <w:r>
              <w:rPr>
                <w:rFonts w:hint="default" w:ascii="Times New Roman" w:hAnsi="Times New Roman" w:eastAsia="宋体" w:cs="Times New Roman"/>
                <w:b/>
                <w:bCs/>
                <w:color w:val="000000" w:themeColor="text1"/>
                <w:spacing w:val="-2"/>
                <w:sz w:val="18"/>
                <w:szCs w:val="18"/>
              </w:rPr>
              <w:t>Y 轴为正方向建立直角坐标</w:t>
            </w:r>
            <w:r>
              <w:rPr>
                <w:rFonts w:hint="default" w:ascii="Times New Roman" w:hAnsi="Times New Roman" w:eastAsia="宋体" w:cs="Times New Roman"/>
                <w:b/>
                <w:bCs/>
                <w:color w:val="000000" w:themeColor="text1"/>
                <w:spacing w:val="-6"/>
                <w:sz w:val="18"/>
                <w:szCs w:val="18"/>
              </w:rPr>
              <w:t>系</w:t>
            </w:r>
            <w:r>
              <w:rPr>
                <w:rFonts w:hint="default" w:ascii="Times New Roman" w:hAnsi="Times New Roman" w:eastAsia="宋体" w:cs="Times New Roman"/>
                <w:b/>
                <w:bCs/>
                <w:color w:val="000000" w:themeColor="text1"/>
                <w:spacing w:val="-6"/>
                <w:sz w:val="18"/>
                <w:szCs w:val="18"/>
                <w:lang w:eastAsia="zh-CN"/>
              </w:rPr>
              <w:t>（</w:t>
            </w:r>
            <w:r>
              <w:rPr>
                <w:rFonts w:hint="default" w:ascii="Times New Roman" w:hAnsi="Times New Roman" w:eastAsia="宋体" w:cs="Times New Roman"/>
                <w:b/>
                <w:bCs/>
                <w:color w:val="000000" w:themeColor="text1"/>
                <w:spacing w:val="-6"/>
                <w:sz w:val="18"/>
                <w:szCs w:val="18"/>
                <w:lang w:val="en-US" w:eastAsia="zh-CN"/>
              </w:rPr>
              <w:t>下文同</w:t>
            </w:r>
            <w:r>
              <w:rPr>
                <w:rFonts w:hint="default" w:ascii="Times New Roman" w:hAnsi="Times New Roman" w:eastAsia="宋体" w:cs="Times New Roman"/>
                <w:b/>
                <w:bCs/>
                <w:color w:val="000000" w:themeColor="text1"/>
                <w:spacing w:val="-6"/>
                <w:sz w:val="18"/>
                <w:szCs w:val="18"/>
                <w:lang w:eastAsia="zh-CN"/>
              </w:rPr>
              <w:t>）</w:t>
            </w:r>
            <w:r>
              <w:rPr>
                <w:rFonts w:hint="default" w:ascii="Times New Roman" w:hAnsi="Times New Roman" w:eastAsia="宋体" w:cs="Times New Roman"/>
                <w:b/>
                <w:bCs/>
                <w:color w:val="000000" w:themeColor="text1"/>
                <w:spacing w:val="-6"/>
                <w:sz w:val="18"/>
                <w:szCs w:val="18"/>
              </w:rPr>
              <w:t>。</w:t>
            </w:r>
          </w:p>
          <w:p w14:paraId="010FE351">
            <w:pPr>
              <w:ind w:firstLine="480"/>
              <w:rPr>
                <w:rFonts w:hint="default" w:ascii="Times New Roman" w:hAnsi="Times New Roman" w:eastAsia="宋体" w:cs="Times New Roman"/>
                <w:color w:val="000000" w:themeColor="text1"/>
                <w:kern w:val="0"/>
                <w:szCs w:val="21"/>
              </w:rPr>
            </w:pPr>
          </w:p>
        </w:tc>
      </w:tr>
      <w:tr w14:paraId="304C1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6" w:hRule="atLeast"/>
          <w:jc w:val="center"/>
        </w:trPr>
        <w:tc>
          <w:tcPr>
            <w:tcW w:w="488" w:type="dxa"/>
            <w:tcBorders>
              <w:bottom w:val="single" w:color="auto" w:sz="4" w:space="0"/>
            </w:tcBorders>
            <w:tcMar>
              <w:left w:w="28" w:type="dxa"/>
              <w:right w:w="28" w:type="dxa"/>
            </w:tcMar>
            <w:vAlign w:val="center"/>
          </w:tcPr>
          <w:p w14:paraId="17FD340D">
            <w:pPr>
              <w:pStyle w:val="55"/>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污染</w:t>
            </w:r>
          </w:p>
          <w:p w14:paraId="2EEDDBF6">
            <w:pPr>
              <w:pStyle w:val="55"/>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物排</w:t>
            </w:r>
          </w:p>
          <w:p w14:paraId="002BB669">
            <w:pPr>
              <w:pStyle w:val="55"/>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放控</w:t>
            </w:r>
          </w:p>
          <w:p w14:paraId="356D8404">
            <w:pPr>
              <w:pStyle w:val="55"/>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制标</w:t>
            </w:r>
          </w:p>
          <w:p w14:paraId="30EC7922">
            <w:pPr>
              <w:adjustRightInd w:val="0"/>
              <w:snapToGrid w:val="0"/>
              <w:ind w:firstLine="301" w:firstLineChars="100"/>
              <w:rPr>
                <w:rFonts w:hint="default" w:ascii="Times New Roman" w:hAnsi="Times New Roman" w:eastAsia="宋体" w:cs="Times New Roman"/>
                <w:color w:val="000000" w:themeColor="text1"/>
                <w:kern w:val="0"/>
                <w:szCs w:val="21"/>
              </w:rPr>
            </w:pPr>
            <w:r>
              <w:rPr>
                <w:rFonts w:hint="default" w:ascii="Times New Roman" w:hAnsi="Times New Roman" w:eastAsia="宋体" w:cs="Times New Roman"/>
                <w:b/>
                <w:bCs/>
                <w:color w:val="000000" w:themeColor="text1"/>
                <w:kern w:val="0"/>
                <w:sz w:val="30"/>
                <w:szCs w:val="30"/>
              </w:rPr>
              <w:t>准</w:t>
            </w:r>
          </w:p>
        </w:tc>
        <w:tc>
          <w:tcPr>
            <w:tcW w:w="8573" w:type="dxa"/>
            <w:tcBorders>
              <w:bottom w:val="single" w:color="auto" w:sz="4" w:space="0"/>
            </w:tcBorders>
            <w:vAlign w:val="center"/>
          </w:tcPr>
          <w:p w14:paraId="71153436">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一、环境质量标准</w:t>
            </w:r>
          </w:p>
          <w:p w14:paraId="758A88FE">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1、环境空气质量标准</w:t>
            </w:r>
          </w:p>
          <w:p w14:paraId="6831B2D0">
            <w:pPr>
              <w:ind w:firstLine="48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rPr>
              <w:t>根据</w:t>
            </w:r>
            <w:r>
              <w:rPr>
                <w:rFonts w:hint="eastAsia" w:cs="Times New Roman"/>
                <w:color w:val="000000" w:themeColor="text1"/>
                <w:lang w:val="en-US" w:eastAsia="zh-CN"/>
              </w:rPr>
              <w:t>柴桑区</w:t>
            </w:r>
            <w:r>
              <w:rPr>
                <w:rFonts w:hint="default" w:ascii="Times New Roman" w:hAnsi="Times New Roman" w:eastAsia="宋体" w:cs="Times New Roman"/>
                <w:color w:val="000000" w:themeColor="text1"/>
              </w:rPr>
              <w:t>环境空气质量功能区划，该地块位于二类区，项目所在地环境空气执行《环境空气质量标准》</w:t>
            </w:r>
            <w:r>
              <w:rPr>
                <w:rFonts w:hint="eastAsia" w:cs="Times New Roman"/>
                <w:color w:val="000000" w:themeColor="text1"/>
                <w:lang w:eastAsia="zh-CN"/>
              </w:rPr>
              <w:t>（</w:t>
            </w:r>
            <w:r>
              <w:rPr>
                <w:rFonts w:hint="default" w:ascii="Times New Roman" w:hAnsi="Times New Roman" w:eastAsia="宋体" w:cs="Times New Roman"/>
                <w:color w:val="000000" w:themeColor="text1"/>
              </w:rPr>
              <w:t>GB3095-2012</w:t>
            </w:r>
            <w:r>
              <w:rPr>
                <w:rFonts w:hint="eastAsia" w:cs="Times New Roman"/>
                <w:color w:val="000000" w:themeColor="text1"/>
                <w:lang w:eastAsia="zh-CN"/>
              </w:rPr>
              <w:t>）</w:t>
            </w:r>
            <w:r>
              <w:rPr>
                <w:rFonts w:hint="default" w:ascii="Times New Roman" w:hAnsi="Times New Roman" w:eastAsia="宋体" w:cs="Times New Roman"/>
                <w:color w:val="000000" w:themeColor="text1"/>
              </w:rPr>
              <w:t>中的二级标准</w:t>
            </w:r>
            <w:r>
              <w:rPr>
                <w:rFonts w:hint="eastAsia" w:cs="Times New Roman"/>
                <w:color w:val="000000" w:themeColor="text1"/>
                <w:lang w:eastAsia="zh-CN"/>
              </w:rPr>
              <w:t>，</w:t>
            </w:r>
            <w:r>
              <w:rPr>
                <w:rFonts w:hint="eastAsia" w:cs="Times New Roman"/>
                <w:color w:val="000000" w:themeColor="text1"/>
                <w:lang w:val="en-US" w:eastAsia="zh-CN"/>
              </w:rPr>
              <w:t>TVOC</w:t>
            </w:r>
            <w:r>
              <w:rPr>
                <w:rFonts w:hint="eastAsia" w:cs="Times New Roman"/>
                <w:color w:val="000000" w:themeColor="text1"/>
                <w:sz w:val="24"/>
                <w:highlight w:val="none"/>
                <w:lang w:val="en-US" w:eastAsia="zh-CN"/>
              </w:rPr>
              <w:t>参照</w:t>
            </w:r>
            <w:r>
              <w:rPr>
                <w:rFonts w:ascii="Times New Roman" w:hAnsi="Times New Roman" w:eastAsiaTheme="minorEastAsia"/>
                <w:color w:val="000000" w:themeColor="text1"/>
                <w:kern w:val="2"/>
              </w:rPr>
              <w:t>《环境影响评价技术导则大气环境》（HJ2.2-2018）附录D表D.1标准中浓度限值</w:t>
            </w:r>
            <w:r>
              <w:rPr>
                <w:rFonts w:hint="default" w:ascii="Times New Roman" w:hAnsi="Times New Roman" w:eastAsia="宋体" w:cs="Times New Roman"/>
                <w:color w:val="000000" w:themeColor="text1"/>
              </w:rPr>
              <w:t>。</w:t>
            </w:r>
          </w:p>
          <w:p w14:paraId="3D35E9A2">
            <w:pPr>
              <w:spacing w:line="240" w:lineRule="auto"/>
              <w:ind w:left="720" w:firstLine="0" w:firstLineChars="0"/>
              <w:jc w:val="center"/>
              <w:rPr>
                <w:rFonts w:hint="default" w:ascii="Times New Roman" w:hAnsi="Times New Roman" w:eastAsia="宋体" w:cs="Times New Roman"/>
                <w:b/>
                <w:color w:val="000000" w:themeColor="text1"/>
                <w:kern w:val="0"/>
                <w:sz w:val="21"/>
                <w:szCs w:val="21"/>
              </w:rPr>
            </w:pPr>
            <w:r>
              <w:rPr>
                <w:rFonts w:hint="default" w:ascii="Times New Roman" w:hAnsi="Times New Roman" w:eastAsia="宋体" w:cs="Times New Roman"/>
                <w:b/>
                <w:color w:val="000000" w:themeColor="text1"/>
                <w:kern w:val="0"/>
                <w:sz w:val="21"/>
                <w:szCs w:val="21"/>
              </w:rPr>
              <w:t>表3-8</w:t>
            </w:r>
            <w:r>
              <w:rPr>
                <w:rFonts w:hint="eastAsia" w:cs="Times New Roman"/>
                <w:b/>
                <w:color w:val="000000" w:themeColor="text1"/>
                <w:kern w:val="0"/>
                <w:sz w:val="21"/>
                <w:szCs w:val="21"/>
                <w:lang w:val="en-US" w:eastAsia="zh-CN"/>
              </w:rPr>
              <w:t xml:space="preserve">   </w:t>
            </w:r>
            <w:r>
              <w:rPr>
                <w:rFonts w:hint="default" w:ascii="Times New Roman" w:hAnsi="Times New Roman" w:eastAsia="宋体" w:cs="Times New Roman"/>
                <w:b/>
                <w:color w:val="000000" w:themeColor="text1"/>
                <w:kern w:val="0"/>
                <w:sz w:val="21"/>
                <w:szCs w:val="21"/>
              </w:rPr>
              <w:t xml:space="preserve"> 环境空气质量标准</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2"/>
              <w:gridCol w:w="1352"/>
              <w:gridCol w:w="1464"/>
              <w:gridCol w:w="1877"/>
              <w:gridCol w:w="841"/>
              <w:gridCol w:w="2379"/>
            </w:tblGrid>
            <w:tr w14:paraId="5B8DB4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264" w:type="pct"/>
                  <w:tcBorders>
                    <w:tl2br w:val="nil"/>
                    <w:tr2bl w:val="nil"/>
                  </w:tcBorders>
                  <w:vAlign w:val="center"/>
                </w:tcPr>
                <w:p w14:paraId="31844AAD">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序号</w:t>
                  </w:r>
                </w:p>
              </w:tc>
              <w:tc>
                <w:tcPr>
                  <w:tcW w:w="809" w:type="pct"/>
                  <w:tcBorders>
                    <w:tl2br w:val="nil"/>
                    <w:tr2bl w:val="nil"/>
                  </w:tcBorders>
                  <w:vAlign w:val="center"/>
                </w:tcPr>
                <w:p w14:paraId="3A6CA8E3">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污染物项目</w:t>
                  </w:r>
                </w:p>
              </w:tc>
              <w:tc>
                <w:tcPr>
                  <w:tcW w:w="876" w:type="pct"/>
                  <w:tcBorders>
                    <w:tl2br w:val="nil"/>
                    <w:tr2bl w:val="nil"/>
                  </w:tcBorders>
                  <w:vAlign w:val="center"/>
                </w:tcPr>
                <w:p w14:paraId="590F672E">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平均时间</w:t>
                  </w:r>
                </w:p>
              </w:tc>
              <w:tc>
                <w:tcPr>
                  <w:tcW w:w="1123" w:type="pct"/>
                  <w:tcBorders>
                    <w:tl2br w:val="nil"/>
                    <w:tr2bl w:val="nil"/>
                  </w:tcBorders>
                  <w:vAlign w:val="center"/>
                </w:tcPr>
                <w:p w14:paraId="5A966D75">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二级标准</w:t>
                  </w:r>
                </w:p>
              </w:tc>
              <w:tc>
                <w:tcPr>
                  <w:tcW w:w="503" w:type="pct"/>
                  <w:tcBorders>
                    <w:tl2br w:val="nil"/>
                    <w:tr2bl w:val="nil"/>
                  </w:tcBorders>
                  <w:vAlign w:val="center"/>
                </w:tcPr>
                <w:p w14:paraId="29A2DBC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单位</w:t>
                  </w:r>
                </w:p>
              </w:tc>
              <w:tc>
                <w:tcPr>
                  <w:tcW w:w="1423" w:type="pct"/>
                  <w:tcBorders>
                    <w:tl2br w:val="nil"/>
                    <w:tr2bl w:val="nil"/>
                  </w:tcBorders>
                  <w:vAlign w:val="center"/>
                </w:tcPr>
                <w:p w14:paraId="7EA2739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选用标准</w:t>
                  </w:r>
                </w:p>
              </w:tc>
            </w:tr>
            <w:tr w14:paraId="15F3B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204377D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809" w:type="pct"/>
                  <w:vMerge w:val="restart"/>
                  <w:tcBorders>
                    <w:tl2br w:val="nil"/>
                    <w:tr2bl w:val="nil"/>
                  </w:tcBorders>
                  <w:vAlign w:val="center"/>
                </w:tcPr>
                <w:p w14:paraId="5FAD51BC">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二氧化硫</w:t>
                  </w:r>
                </w:p>
                <w:p w14:paraId="03874DB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SO</w:t>
                  </w:r>
                  <w:r>
                    <w:rPr>
                      <w:rFonts w:hint="default" w:ascii="Times New Roman" w:hAnsi="Times New Roman" w:eastAsia="宋体" w:cs="Times New Roman"/>
                      <w:color w:val="000000" w:themeColor="text1"/>
                      <w:sz w:val="21"/>
                      <w:szCs w:val="21"/>
                      <w:vertAlign w:val="subscript"/>
                    </w:rPr>
                    <w:t>2</w:t>
                  </w:r>
                </w:p>
              </w:tc>
              <w:tc>
                <w:tcPr>
                  <w:tcW w:w="876" w:type="pct"/>
                  <w:tcBorders>
                    <w:tl2br w:val="nil"/>
                    <w:tr2bl w:val="nil"/>
                  </w:tcBorders>
                  <w:vAlign w:val="center"/>
                </w:tcPr>
                <w:p w14:paraId="53239D2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w:t>
                  </w:r>
                </w:p>
              </w:tc>
              <w:tc>
                <w:tcPr>
                  <w:tcW w:w="1123" w:type="pct"/>
                  <w:tcBorders>
                    <w:tl2br w:val="nil"/>
                    <w:tr2bl w:val="nil"/>
                  </w:tcBorders>
                  <w:vAlign w:val="center"/>
                </w:tcPr>
                <w:p w14:paraId="60838A4B">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60</w:t>
                  </w:r>
                </w:p>
              </w:tc>
              <w:tc>
                <w:tcPr>
                  <w:tcW w:w="503" w:type="pct"/>
                  <w:vMerge w:val="restart"/>
                  <w:tcBorders>
                    <w:tl2br w:val="nil"/>
                    <w:tr2bl w:val="nil"/>
                  </w:tcBorders>
                  <w:vAlign w:val="center"/>
                </w:tcPr>
                <w:p w14:paraId="61331671">
                  <w:pPr>
                    <w:pStyle w:val="84"/>
                    <w:tabs>
                      <w:tab w:val="left" w:pos="3345"/>
                    </w:tabs>
                    <w:spacing w:line="240" w:lineRule="auto"/>
                    <w:ind w:firstLine="0" w:firstLineChars="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μg/m</w:t>
                  </w:r>
                  <w:r>
                    <w:rPr>
                      <w:rFonts w:hint="default" w:ascii="Times New Roman" w:hAnsi="Times New Roman" w:eastAsia="宋体" w:cs="Times New Roman"/>
                      <w:color w:val="000000" w:themeColor="text1"/>
                      <w:vertAlign w:val="superscript"/>
                    </w:rPr>
                    <w:t>3</w:t>
                  </w:r>
                </w:p>
              </w:tc>
              <w:tc>
                <w:tcPr>
                  <w:tcW w:w="1423" w:type="pct"/>
                  <w:vMerge w:val="restart"/>
                  <w:tcBorders>
                    <w:tl2br w:val="nil"/>
                    <w:tr2bl w:val="nil"/>
                  </w:tcBorders>
                  <w:vAlign w:val="center"/>
                </w:tcPr>
                <w:p w14:paraId="1B9A0DB9">
                  <w:pPr>
                    <w:pStyle w:val="84"/>
                    <w:tabs>
                      <w:tab w:val="left" w:pos="3345"/>
                    </w:tabs>
                    <w:spacing w:line="240" w:lineRule="auto"/>
                    <w:ind w:firstLine="0" w:firstLineChars="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 w:val="21"/>
                      <w:szCs w:val="21"/>
                    </w:rPr>
                    <w:t>《环境空气质量标准》（GB3095-2012）二级标准</w:t>
                  </w:r>
                </w:p>
              </w:tc>
            </w:tr>
            <w:tr w14:paraId="2BC25C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586AF501">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305756C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0DB745D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66E66F4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503" w:type="pct"/>
                  <w:vMerge w:val="continue"/>
                  <w:tcBorders>
                    <w:tl2br w:val="nil"/>
                    <w:tr2bl w:val="nil"/>
                  </w:tcBorders>
                  <w:vAlign w:val="center"/>
                </w:tcPr>
                <w:p w14:paraId="6BFFE3BF">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2BDF7EDC">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7D67B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02CE5E6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5A312AA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32D619D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小时平均</w:t>
                  </w:r>
                </w:p>
              </w:tc>
              <w:tc>
                <w:tcPr>
                  <w:tcW w:w="1123" w:type="pct"/>
                  <w:tcBorders>
                    <w:tl2br w:val="nil"/>
                    <w:tr2bl w:val="nil"/>
                  </w:tcBorders>
                  <w:vAlign w:val="center"/>
                </w:tcPr>
                <w:p w14:paraId="6E782699">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500</w:t>
                  </w:r>
                </w:p>
              </w:tc>
              <w:tc>
                <w:tcPr>
                  <w:tcW w:w="503" w:type="pct"/>
                  <w:vMerge w:val="continue"/>
                  <w:tcBorders>
                    <w:tl2br w:val="nil"/>
                    <w:tr2bl w:val="nil"/>
                  </w:tcBorders>
                  <w:vAlign w:val="center"/>
                </w:tcPr>
                <w:p w14:paraId="5F58FCA8">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382F750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4AD8C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218A910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809" w:type="pct"/>
                  <w:vMerge w:val="restart"/>
                  <w:tcBorders>
                    <w:tl2br w:val="nil"/>
                    <w:tr2bl w:val="nil"/>
                  </w:tcBorders>
                  <w:vAlign w:val="center"/>
                </w:tcPr>
                <w:p w14:paraId="7191A63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二氧化氮</w:t>
                  </w:r>
                </w:p>
                <w:p w14:paraId="3710C6A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NO</w:t>
                  </w:r>
                  <w:r>
                    <w:rPr>
                      <w:rFonts w:hint="default" w:ascii="Times New Roman" w:hAnsi="Times New Roman" w:eastAsia="宋体" w:cs="Times New Roman"/>
                      <w:color w:val="000000" w:themeColor="text1"/>
                      <w:sz w:val="21"/>
                      <w:szCs w:val="21"/>
                      <w:vertAlign w:val="subscript"/>
                    </w:rPr>
                    <w:t>2</w:t>
                  </w:r>
                </w:p>
              </w:tc>
              <w:tc>
                <w:tcPr>
                  <w:tcW w:w="876" w:type="pct"/>
                  <w:tcBorders>
                    <w:tl2br w:val="nil"/>
                    <w:tr2bl w:val="nil"/>
                  </w:tcBorders>
                  <w:vAlign w:val="center"/>
                </w:tcPr>
                <w:p w14:paraId="177990E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w:t>
                  </w:r>
                </w:p>
              </w:tc>
              <w:tc>
                <w:tcPr>
                  <w:tcW w:w="1123" w:type="pct"/>
                  <w:tcBorders>
                    <w:tl2br w:val="nil"/>
                    <w:tr2bl w:val="nil"/>
                  </w:tcBorders>
                  <w:vAlign w:val="center"/>
                </w:tcPr>
                <w:p w14:paraId="47D2685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w:t>
                  </w:r>
                </w:p>
              </w:tc>
              <w:tc>
                <w:tcPr>
                  <w:tcW w:w="503" w:type="pct"/>
                  <w:vMerge w:val="continue"/>
                  <w:tcBorders>
                    <w:tl2br w:val="nil"/>
                    <w:tr2bl w:val="nil"/>
                  </w:tcBorders>
                  <w:vAlign w:val="center"/>
                </w:tcPr>
                <w:p w14:paraId="5C25FECE">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40E53973">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2A6132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7096ED2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423B8DE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3841900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582FACB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w:t>
                  </w:r>
                </w:p>
              </w:tc>
              <w:tc>
                <w:tcPr>
                  <w:tcW w:w="503" w:type="pct"/>
                  <w:vMerge w:val="continue"/>
                  <w:tcBorders>
                    <w:tl2br w:val="nil"/>
                    <w:tr2bl w:val="nil"/>
                  </w:tcBorders>
                  <w:vAlign w:val="center"/>
                </w:tcPr>
                <w:p w14:paraId="78CD89E1">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1939DC55">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6F29C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58F8001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51450C2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5B2B087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w:t>
                  </w:r>
                  <w:r>
                    <w:rPr>
                      <w:rFonts w:hint="default" w:ascii="Times New Roman" w:hAnsi="Times New Roman" w:eastAsia="宋体" w:cs="Times New Roman"/>
                      <w:color w:val="000000" w:themeColor="text1"/>
                      <w:sz w:val="21"/>
                      <w:szCs w:val="21"/>
                    </w:rPr>
                    <w:t>小时平均</w:t>
                  </w:r>
                </w:p>
              </w:tc>
              <w:tc>
                <w:tcPr>
                  <w:tcW w:w="1123" w:type="pct"/>
                  <w:tcBorders>
                    <w:tl2br w:val="nil"/>
                    <w:tr2bl w:val="nil"/>
                  </w:tcBorders>
                  <w:vAlign w:val="center"/>
                </w:tcPr>
                <w:p w14:paraId="236883D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w:t>
                  </w:r>
                </w:p>
              </w:tc>
              <w:tc>
                <w:tcPr>
                  <w:tcW w:w="503" w:type="pct"/>
                  <w:vMerge w:val="continue"/>
                  <w:tcBorders>
                    <w:tl2br w:val="nil"/>
                    <w:tr2bl w:val="nil"/>
                  </w:tcBorders>
                  <w:vAlign w:val="center"/>
                </w:tcPr>
                <w:p w14:paraId="19304C1B">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6E3CD3DE">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4639BA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7011CB6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809" w:type="pct"/>
                  <w:vMerge w:val="restart"/>
                  <w:tcBorders>
                    <w:tl2br w:val="nil"/>
                    <w:tr2bl w:val="nil"/>
                  </w:tcBorders>
                  <w:vAlign w:val="center"/>
                </w:tcPr>
                <w:p w14:paraId="533F644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p w14:paraId="05BD9A81">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10</w:t>
                  </w:r>
                  <w:r>
                    <w:rPr>
                      <w:rFonts w:hint="eastAsia" w:cs="Times New Roman"/>
                      <w:color w:val="000000" w:themeColor="text1"/>
                      <w:sz w:val="21"/>
                      <w:szCs w:val="21"/>
                      <w:vertAlign w:val="subscript"/>
                      <w:lang w:eastAsia="zh-CN"/>
                    </w:rPr>
                    <w:t>)</w:t>
                  </w:r>
                </w:p>
              </w:tc>
              <w:tc>
                <w:tcPr>
                  <w:tcW w:w="876" w:type="pct"/>
                  <w:tcBorders>
                    <w:tl2br w:val="nil"/>
                    <w:tr2bl w:val="nil"/>
                  </w:tcBorders>
                  <w:vAlign w:val="center"/>
                </w:tcPr>
                <w:p w14:paraId="47E83907">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w:t>
                  </w:r>
                </w:p>
              </w:tc>
              <w:tc>
                <w:tcPr>
                  <w:tcW w:w="1123" w:type="pct"/>
                  <w:tcBorders>
                    <w:tl2br w:val="nil"/>
                    <w:tr2bl w:val="nil"/>
                  </w:tcBorders>
                  <w:vAlign w:val="center"/>
                </w:tcPr>
                <w:p w14:paraId="65618E3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w:t>
                  </w:r>
                </w:p>
              </w:tc>
              <w:tc>
                <w:tcPr>
                  <w:tcW w:w="503" w:type="pct"/>
                  <w:vMerge w:val="continue"/>
                  <w:tcBorders>
                    <w:tl2br w:val="nil"/>
                    <w:tr2bl w:val="nil"/>
                  </w:tcBorders>
                  <w:vAlign w:val="center"/>
                </w:tcPr>
                <w:p w14:paraId="62E5C48C">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75716BFD">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5EC1F6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566400A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2CE69F9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07417D9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31B11EF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150</w:t>
                  </w:r>
                </w:p>
              </w:tc>
              <w:tc>
                <w:tcPr>
                  <w:tcW w:w="503" w:type="pct"/>
                  <w:vMerge w:val="continue"/>
                  <w:tcBorders>
                    <w:tl2br w:val="nil"/>
                    <w:tr2bl w:val="nil"/>
                  </w:tcBorders>
                  <w:vAlign w:val="center"/>
                </w:tcPr>
                <w:p w14:paraId="566E30F1">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63CE6F2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7919C5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4D2459AC">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restart"/>
                  <w:tcBorders>
                    <w:tl2br w:val="nil"/>
                    <w:tr2bl w:val="nil"/>
                  </w:tcBorders>
                  <w:vAlign w:val="center"/>
                </w:tcPr>
                <w:p w14:paraId="6DDB76F1">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颗粒物</w:t>
                  </w:r>
                </w:p>
                <w:p w14:paraId="2AB33BB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PM</w:t>
                  </w:r>
                  <w:r>
                    <w:rPr>
                      <w:rFonts w:hint="default" w:ascii="Times New Roman" w:hAnsi="Times New Roman" w:eastAsia="宋体" w:cs="Times New Roman"/>
                      <w:color w:val="000000" w:themeColor="text1"/>
                      <w:sz w:val="21"/>
                      <w:szCs w:val="21"/>
                      <w:vertAlign w:val="subscript"/>
                    </w:rPr>
                    <w:t>2.5</w:t>
                  </w:r>
                  <w:r>
                    <w:rPr>
                      <w:rFonts w:hint="eastAsia" w:cs="Times New Roman"/>
                      <w:color w:val="000000" w:themeColor="text1"/>
                      <w:sz w:val="21"/>
                      <w:szCs w:val="21"/>
                      <w:vertAlign w:val="subscript"/>
                      <w:lang w:eastAsia="zh-CN"/>
                    </w:rPr>
                    <w:t>)</w:t>
                  </w:r>
                </w:p>
              </w:tc>
              <w:tc>
                <w:tcPr>
                  <w:tcW w:w="876" w:type="pct"/>
                  <w:tcBorders>
                    <w:tl2br w:val="nil"/>
                    <w:tr2bl w:val="nil"/>
                  </w:tcBorders>
                  <w:vAlign w:val="center"/>
                </w:tcPr>
                <w:p w14:paraId="13B0321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w:t>
                  </w:r>
                </w:p>
              </w:tc>
              <w:tc>
                <w:tcPr>
                  <w:tcW w:w="1123" w:type="pct"/>
                  <w:tcBorders>
                    <w:tl2br w:val="nil"/>
                    <w:tr2bl w:val="nil"/>
                  </w:tcBorders>
                  <w:vAlign w:val="center"/>
                </w:tcPr>
                <w:p w14:paraId="4736E6DE">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w:t>
                  </w:r>
                </w:p>
              </w:tc>
              <w:tc>
                <w:tcPr>
                  <w:tcW w:w="503" w:type="pct"/>
                  <w:vMerge w:val="continue"/>
                  <w:tcBorders>
                    <w:tl2br w:val="nil"/>
                    <w:tr2bl w:val="nil"/>
                  </w:tcBorders>
                  <w:vAlign w:val="center"/>
                </w:tcPr>
                <w:p w14:paraId="1F503B6E">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305E3A7F">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1F050D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0B2A932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19B1C36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276CE20C">
                  <w:pPr>
                    <w:spacing w:line="240" w:lineRule="auto"/>
                    <w:ind w:firstLine="420" w:firstLineChars="20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130B1AB5">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75</w:t>
                  </w:r>
                </w:p>
              </w:tc>
              <w:tc>
                <w:tcPr>
                  <w:tcW w:w="503" w:type="pct"/>
                  <w:vMerge w:val="continue"/>
                  <w:tcBorders>
                    <w:tl2br w:val="nil"/>
                    <w:tr2bl w:val="nil"/>
                  </w:tcBorders>
                  <w:vAlign w:val="center"/>
                </w:tcPr>
                <w:p w14:paraId="4DDF4E06">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40F8E1F2">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6498D9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05054BD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w:t>
                  </w:r>
                </w:p>
              </w:tc>
              <w:tc>
                <w:tcPr>
                  <w:tcW w:w="809" w:type="pct"/>
                  <w:vMerge w:val="restart"/>
                  <w:tcBorders>
                    <w:tl2br w:val="nil"/>
                    <w:tr2bl w:val="nil"/>
                  </w:tcBorders>
                  <w:vAlign w:val="center"/>
                </w:tcPr>
                <w:p w14:paraId="657401F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一氧化碳</w:t>
                  </w:r>
                </w:p>
                <w:p w14:paraId="1E63B8B9">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CO</w:t>
                  </w:r>
                </w:p>
              </w:tc>
              <w:tc>
                <w:tcPr>
                  <w:tcW w:w="876" w:type="pct"/>
                  <w:tcBorders>
                    <w:tl2br w:val="nil"/>
                    <w:tr2bl w:val="nil"/>
                  </w:tcBorders>
                  <w:vAlign w:val="center"/>
                </w:tcPr>
                <w:p w14:paraId="621A0D4B">
                  <w:pPr>
                    <w:spacing w:line="240" w:lineRule="auto"/>
                    <w:ind w:firstLine="420" w:firstLineChars="20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0BDA5CA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503" w:type="pct"/>
                  <w:vMerge w:val="continue"/>
                  <w:tcBorders>
                    <w:tl2br w:val="nil"/>
                    <w:tr2bl w:val="nil"/>
                  </w:tcBorders>
                  <w:vAlign w:val="center"/>
                </w:tcPr>
                <w:p w14:paraId="49B3ABD7">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094DE28F">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0B7213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6BF77E5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0927DF45">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7DC73077">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1小时平均</w:t>
                  </w:r>
                </w:p>
              </w:tc>
              <w:tc>
                <w:tcPr>
                  <w:tcW w:w="1123" w:type="pct"/>
                  <w:tcBorders>
                    <w:tl2br w:val="nil"/>
                    <w:tr2bl w:val="nil"/>
                  </w:tcBorders>
                  <w:vAlign w:val="center"/>
                </w:tcPr>
                <w:p w14:paraId="1ACE1B5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503" w:type="pct"/>
                  <w:vMerge w:val="continue"/>
                  <w:tcBorders>
                    <w:tl2br w:val="nil"/>
                    <w:tr2bl w:val="nil"/>
                  </w:tcBorders>
                  <w:vAlign w:val="center"/>
                </w:tcPr>
                <w:p w14:paraId="3C43918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4536225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281620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2539B12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w:t>
                  </w:r>
                </w:p>
              </w:tc>
              <w:tc>
                <w:tcPr>
                  <w:tcW w:w="809" w:type="pct"/>
                  <w:vMerge w:val="restart"/>
                  <w:tcBorders>
                    <w:tl2br w:val="nil"/>
                    <w:tr2bl w:val="nil"/>
                  </w:tcBorders>
                  <w:vAlign w:val="center"/>
                </w:tcPr>
                <w:p w14:paraId="234C2AE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臭氧</w:t>
                  </w:r>
                </w:p>
                <w:p w14:paraId="513A8F1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O</w:t>
                  </w:r>
                  <w:r>
                    <w:rPr>
                      <w:rFonts w:hint="default" w:ascii="Times New Roman" w:hAnsi="Times New Roman" w:eastAsia="宋体" w:cs="Times New Roman"/>
                      <w:color w:val="000000" w:themeColor="text1"/>
                      <w:sz w:val="21"/>
                      <w:szCs w:val="21"/>
                      <w:vertAlign w:val="subscript"/>
                    </w:rPr>
                    <w:t>3</w:t>
                  </w:r>
                </w:p>
              </w:tc>
              <w:tc>
                <w:tcPr>
                  <w:tcW w:w="876" w:type="pct"/>
                  <w:tcBorders>
                    <w:tl2br w:val="nil"/>
                    <w:tr2bl w:val="nil"/>
                  </w:tcBorders>
                  <w:vAlign w:val="center"/>
                </w:tcPr>
                <w:p w14:paraId="206752A5">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日最大8小时平均</w:t>
                  </w:r>
                </w:p>
              </w:tc>
              <w:tc>
                <w:tcPr>
                  <w:tcW w:w="1123" w:type="pct"/>
                  <w:tcBorders>
                    <w:tl2br w:val="nil"/>
                    <w:tr2bl w:val="nil"/>
                  </w:tcBorders>
                  <w:vAlign w:val="center"/>
                </w:tcPr>
                <w:p w14:paraId="361C5FEA">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160</w:t>
                  </w:r>
                </w:p>
              </w:tc>
              <w:tc>
                <w:tcPr>
                  <w:tcW w:w="503" w:type="pct"/>
                  <w:vMerge w:val="continue"/>
                  <w:tcBorders>
                    <w:tl2br w:val="nil"/>
                    <w:tr2bl w:val="nil"/>
                  </w:tcBorders>
                  <w:vAlign w:val="center"/>
                </w:tcPr>
                <w:p w14:paraId="76D81668">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335A0DC1">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1F086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498A296E">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479F4DFF">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7615D39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1小时平均</w:t>
                  </w:r>
                </w:p>
              </w:tc>
              <w:tc>
                <w:tcPr>
                  <w:tcW w:w="1123" w:type="pct"/>
                  <w:tcBorders>
                    <w:tl2br w:val="nil"/>
                    <w:tr2bl w:val="nil"/>
                  </w:tcBorders>
                  <w:vAlign w:val="center"/>
                </w:tcPr>
                <w:p w14:paraId="08DF1FE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200</w:t>
                  </w:r>
                </w:p>
              </w:tc>
              <w:tc>
                <w:tcPr>
                  <w:tcW w:w="503" w:type="pct"/>
                  <w:vMerge w:val="continue"/>
                  <w:tcBorders>
                    <w:tl2br w:val="nil"/>
                    <w:tr2bl w:val="nil"/>
                  </w:tcBorders>
                  <w:vAlign w:val="center"/>
                </w:tcPr>
                <w:p w14:paraId="27770F4D">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62AD3964">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6161E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restart"/>
                  <w:tcBorders>
                    <w:tl2br w:val="nil"/>
                    <w:tr2bl w:val="nil"/>
                  </w:tcBorders>
                  <w:vAlign w:val="center"/>
                </w:tcPr>
                <w:p w14:paraId="4F3AB4DE">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w:t>
                  </w:r>
                </w:p>
              </w:tc>
              <w:tc>
                <w:tcPr>
                  <w:tcW w:w="809" w:type="pct"/>
                  <w:vMerge w:val="restart"/>
                  <w:tcBorders>
                    <w:tl2br w:val="nil"/>
                    <w:tr2bl w:val="nil"/>
                  </w:tcBorders>
                  <w:vAlign w:val="center"/>
                </w:tcPr>
                <w:p w14:paraId="4838AFDC">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TSP</w:t>
                  </w:r>
                </w:p>
              </w:tc>
              <w:tc>
                <w:tcPr>
                  <w:tcW w:w="876" w:type="pct"/>
                  <w:tcBorders>
                    <w:tl2br w:val="nil"/>
                    <w:tr2bl w:val="nil"/>
                  </w:tcBorders>
                  <w:vAlign w:val="center"/>
                </w:tcPr>
                <w:p w14:paraId="2BA062C4">
                  <w:pPr>
                    <w:pStyle w:val="84"/>
                    <w:tabs>
                      <w:tab w:val="left" w:pos="3345"/>
                    </w:tabs>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年平均</w:t>
                  </w:r>
                </w:p>
              </w:tc>
              <w:tc>
                <w:tcPr>
                  <w:tcW w:w="1123" w:type="pct"/>
                  <w:tcBorders>
                    <w:tl2br w:val="nil"/>
                    <w:tr2bl w:val="nil"/>
                  </w:tcBorders>
                  <w:vAlign w:val="center"/>
                </w:tcPr>
                <w:p w14:paraId="7536609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200</w:t>
                  </w:r>
                </w:p>
              </w:tc>
              <w:tc>
                <w:tcPr>
                  <w:tcW w:w="503" w:type="pct"/>
                  <w:vMerge w:val="continue"/>
                  <w:tcBorders>
                    <w:tl2br w:val="nil"/>
                    <w:tr2bl w:val="nil"/>
                  </w:tcBorders>
                  <w:vAlign w:val="center"/>
                </w:tcPr>
                <w:p w14:paraId="0E284A3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661FF7B0">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2F4C35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vMerge w:val="continue"/>
                  <w:tcBorders>
                    <w:tl2br w:val="nil"/>
                    <w:tr2bl w:val="nil"/>
                  </w:tcBorders>
                  <w:vAlign w:val="center"/>
                </w:tcPr>
                <w:p w14:paraId="3BFD588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p>
              </w:tc>
              <w:tc>
                <w:tcPr>
                  <w:tcW w:w="809" w:type="pct"/>
                  <w:vMerge w:val="continue"/>
                  <w:tcBorders>
                    <w:tl2br w:val="nil"/>
                    <w:tr2bl w:val="nil"/>
                  </w:tcBorders>
                  <w:vAlign w:val="center"/>
                </w:tcPr>
                <w:p w14:paraId="3F7F764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876" w:type="pct"/>
                  <w:tcBorders>
                    <w:tl2br w:val="nil"/>
                    <w:tr2bl w:val="nil"/>
                  </w:tcBorders>
                  <w:vAlign w:val="center"/>
                </w:tcPr>
                <w:p w14:paraId="53FB2033">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日平均</w:t>
                  </w:r>
                </w:p>
              </w:tc>
              <w:tc>
                <w:tcPr>
                  <w:tcW w:w="1123" w:type="pct"/>
                  <w:tcBorders>
                    <w:tl2br w:val="nil"/>
                    <w:tr2bl w:val="nil"/>
                  </w:tcBorders>
                  <w:vAlign w:val="center"/>
                </w:tcPr>
                <w:p w14:paraId="2E74DEA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300</w:t>
                  </w:r>
                </w:p>
              </w:tc>
              <w:tc>
                <w:tcPr>
                  <w:tcW w:w="503" w:type="pct"/>
                  <w:vMerge w:val="continue"/>
                  <w:tcBorders>
                    <w:tl2br w:val="nil"/>
                    <w:tr2bl w:val="nil"/>
                  </w:tcBorders>
                  <w:vAlign w:val="center"/>
                </w:tcPr>
                <w:p w14:paraId="5297AF84">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vMerge w:val="continue"/>
                  <w:tcBorders>
                    <w:tl2br w:val="nil"/>
                    <w:tr2bl w:val="nil"/>
                  </w:tcBorders>
                  <w:vAlign w:val="center"/>
                </w:tcPr>
                <w:p w14:paraId="6DC032AE">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r>
            <w:tr w14:paraId="7223F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64" w:type="pct"/>
                  <w:tcBorders>
                    <w:tl2br w:val="nil"/>
                    <w:tr2bl w:val="nil"/>
                  </w:tcBorders>
                  <w:vAlign w:val="center"/>
                </w:tcPr>
                <w:p w14:paraId="5F2BEE0B">
                  <w:pPr>
                    <w:pStyle w:val="84"/>
                    <w:tabs>
                      <w:tab w:val="left" w:pos="3345"/>
                    </w:tabs>
                    <w:spacing w:line="240" w:lineRule="auto"/>
                    <w:ind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8</w:t>
                  </w:r>
                </w:p>
              </w:tc>
              <w:tc>
                <w:tcPr>
                  <w:tcW w:w="809" w:type="pct"/>
                  <w:tcBorders>
                    <w:tl2br w:val="nil"/>
                    <w:tr2bl w:val="nil"/>
                  </w:tcBorders>
                  <w:vAlign w:val="center"/>
                </w:tcPr>
                <w:p w14:paraId="1D4135B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TVOC</w:t>
                  </w:r>
                </w:p>
              </w:tc>
              <w:tc>
                <w:tcPr>
                  <w:tcW w:w="876" w:type="pct"/>
                  <w:tcBorders>
                    <w:tl2br w:val="nil"/>
                    <w:tr2bl w:val="nil"/>
                  </w:tcBorders>
                  <w:vAlign w:val="center"/>
                </w:tcPr>
                <w:p w14:paraId="6301231C">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8</w:t>
                  </w:r>
                  <w:r>
                    <w:rPr>
                      <w:rFonts w:hint="default" w:ascii="Times New Roman" w:hAnsi="Times New Roman" w:eastAsia="宋体" w:cs="Times New Roman"/>
                      <w:color w:val="000000" w:themeColor="text1"/>
                      <w:sz w:val="21"/>
                      <w:szCs w:val="21"/>
                    </w:rPr>
                    <w:t>小时平均</w:t>
                  </w:r>
                </w:p>
              </w:tc>
              <w:tc>
                <w:tcPr>
                  <w:tcW w:w="1123" w:type="pct"/>
                  <w:tcBorders>
                    <w:tl2br w:val="nil"/>
                    <w:tr2bl w:val="nil"/>
                  </w:tcBorders>
                  <w:vAlign w:val="center"/>
                </w:tcPr>
                <w:p w14:paraId="5CA81FF9">
                  <w:pPr>
                    <w:pStyle w:val="84"/>
                    <w:tabs>
                      <w:tab w:val="left" w:pos="3345"/>
                    </w:tabs>
                    <w:spacing w:line="240" w:lineRule="auto"/>
                    <w:ind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600</w:t>
                  </w:r>
                </w:p>
              </w:tc>
              <w:tc>
                <w:tcPr>
                  <w:tcW w:w="503" w:type="pct"/>
                  <w:vMerge w:val="continue"/>
                  <w:tcBorders>
                    <w:tl2br w:val="nil"/>
                    <w:tr2bl w:val="nil"/>
                  </w:tcBorders>
                  <w:vAlign w:val="center"/>
                </w:tcPr>
                <w:p w14:paraId="35D363B6">
                  <w:pPr>
                    <w:pStyle w:val="84"/>
                    <w:tabs>
                      <w:tab w:val="left" w:pos="3345"/>
                    </w:tabs>
                    <w:spacing w:line="240" w:lineRule="auto"/>
                    <w:ind w:firstLine="0" w:firstLineChars="0"/>
                    <w:rPr>
                      <w:rFonts w:hint="default" w:ascii="Times New Roman" w:hAnsi="Times New Roman" w:eastAsia="宋体" w:cs="Times New Roman"/>
                      <w:color w:val="000000" w:themeColor="text1"/>
                    </w:rPr>
                  </w:pPr>
                </w:p>
              </w:tc>
              <w:tc>
                <w:tcPr>
                  <w:tcW w:w="1423" w:type="pct"/>
                  <w:tcBorders>
                    <w:tl2br w:val="nil"/>
                    <w:tr2bl w:val="nil"/>
                  </w:tcBorders>
                  <w:vAlign w:val="center"/>
                </w:tcPr>
                <w:p w14:paraId="70C8A9F4">
                  <w:pPr>
                    <w:pStyle w:val="84"/>
                    <w:tabs>
                      <w:tab w:val="left" w:pos="3345"/>
                    </w:tabs>
                    <w:spacing w:line="240" w:lineRule="auto"/>
                    <w:ind w:firstLine="0" w:firstLineChars="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 w:val="21"/>
                      <w:szCs w:val="21"/>
                    </w:rPr>
                    <w:t>《环境影响评价技术导则大气环境》（HJ2.2-2018）附录D表D.1标准中浓度限值</w:t>
                  </w:r>
                </w:p>
              </w:tc>
            </w:tr>
          </w:tbl>
          <w:p w14:paraId="28055DD7">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2、地表水环境质量标准</w:t>
            </w:r>
          </w:p>
          <w:p w14:paraId="57A4F287">
            <w:pPr>
              <w:spacing w:line="360" w:lineRule="auto"/>
              <w:ind w:firstLine="482"/>
              <w:rPr>
                <w:rFonts w:hint="default" w:ascii="Times New Roman" w:hAnsi="Times New Roman" w:eastAsia="宋体" w:cs="Times New Roman"/>
                <w:color w:val="000000" w:themeColor="text1"/>
              </w:rPr>
            </w:pPr>
            <w:r>
              <w:rPr>
                <w:color w:val="000000" w:themeColor="text1"/>
                <w:sz w:val="24"/>
                <w:highlight w:val="none"/>
              </w:rPr>
              <w:t>本项目</w:t>
            </w:r>
            <w:r>
              <w:rPr>
                <w:rFonts w:hint="eastAsia"/>
                <w:color w:val="000000" w:themeColor="text1"/>
                <w:sz w:val="24"/>
                <w:highlight w:val="none"/>
                <w:lang w:val="en-US" w:eastAsia="zh-CN"/>
              </w:rPr>
              <w:t>废水为地面清洗水，经厂内化粪池处理后通过园区管网汇入赤湖工业园污水处理厂深度处理，经赤湖工业园污水处理厂</w:t>
            </w:r>
            <w:r>
              <w:rPr>
                <w:rFonts w:hint="default"/>
                <w:color w:val="000000" w:themeColor="text1"/>
              </w:rPr>
              <w:t>处理</w:t>
            </w:r>
            <w:r>
              <w:rPr>
                <w:rFonts w:hint="eastAsia"/>
                <w:color w:val="000000" w:themeColor="text1"/>
                <w:lang w:eastAsia="zh-CN"/>
              </w:rPr>
              <w:t>达到</w:t>
            </w:r>
            <w:r>
              <w:rPr>
                <w:rFonts w:hint="default"/>
                <w:color w:val="000000" w:themeColor="text1"/>
              </w:rPr>
              <w:t>《城镇污水处理厂污染物排放标准》（GB18918-2002）中的</w:t>
            </w:r>
            <w:r>
              <w:rPr>
                <w:rFonts w:hint="eastAsia"/>
                <w:color w:val="000000" w:themeColor="text1"/>
                <w:lang w:eastAsia="zh-CN"/>
              </w:rPr>
              <w:t>一级A</w:t>
            </w:r>
            <w:r>
              <w:rPr>
                <w:rFonts w:hint="default"/>
                <w:color w:val="000000" w:themeColor="text1"/>
              </w:rPr>
              <w:t>标准后，最终排入</w:t>
            </w:r>
            <w:r>
              <w:rPr>
                <w:rFonts w:hint="default"/>
                <w:color w:val="000000" w:themeColor="text1"/>
                <w:lang w:eastAsia="zh-CN"/>
              </w:rPr>
              <w:t>长江</w:t>
            </w:r>
            <w:r>
              <w:rPr>
                <w:rFonts w:hint="eastAsia"/>
                <w:color w:val="000000" w:themeColor="text1"/>
                <w:lang w:eastAsia="zh-CN"/>
              </w:rPr>
              <w:t>。</w:t>
            </w:r>
            <w:r>
              <w:rPr>
                <w:rFonts w:hint="default" w:ascii="Times New Roman" w:hAnsi="Times New Roman" w:eastAsia="宋体" w:cs="Times New Roman"/>
                <w:color w:val="000000" w:themeColor="text1"/>
              </w:rPr>
              <w:t>根据地面水环境保护功能区划分可知，附近主要地表水体为</w:t>
            </w:r>
            <w:r>
              <w:rPr>
                <w:rFonts w:hint="eastAsia" w:cs="Times New Roman"/>
                <w:color w:val="000000" w:themeColor="text1"/>
                <w:lang w:val="en-US" w:eastAsia="zh-CN"/>
              </w:rPr>
              <w:t>赤湖、长江</w:t>
            </w:r>
            <w:r>
              <w:rPr>
                <w:rFonts w:hint="default" w:ascii="Times New Roman" w:hAnsi="Times New Roman" w:eastAsia="宋体" w:cs="Times New Roman"/>
                <w:color w:val="000000" w:themeColor="text1"/>
              </w:rPr>
              <w:t>，属Ⅲ类功能区，地表水执行《地表水环境质量标准》</w:t>
            </w:r>
            <w:r>
              <w:rPr>
                <w:rFonts w:hint="eastAsia" w:cs="Times New Roman"/>
                <w:color w:val="000000" w:themeColor="text1"/>
                <w:lang w:eastAsia="zh-CN"/>
              </w:rPr>
              <w:t>（</w:t>
            </w:r>
            <w:r>
              <w:rPr>
                <w:rFonts w:hint="default" w:ascii="Times New Roman" w:hAnsi="Times New Roman" w:eastAsia="宋体" w:cs="Times New Roman"/>
                <w:color w:val="000000" w:themeColor="text1"/>
              </w:rPr>
              <w:t>GB3838-2002</w:t>
            </w:r>
            <w:r>
              <w:rPr>
                <w:rFonts w:hint="eastAsia" w:cs="Times New Roman"/>
                <w:color w:val="000000" w:themeColor="text1"/>
                <w:lang w:eastAsia="zh-CN"/>
              </w:rPr>
              <w:t>）</w:t>
            </w:r>
            <w:r>
              <w:rPr>
                <w:rFonts w:hint="default" w:ascii="Times New Roman" w:hAnsi="Times New Roman" w:eastAsia="宋体" w:cs="Times New Roman"/>
                <w:color w:val="000000" w:themeColor="text1"/>
              </w:rPr>
              <w:t>中的Ⅲ类水质标准。</w:t>
            </w:r>
          </w:p>
          <w:p w14:paraId="4F563D8F">
            <w:pPr>
              <w:spacing w:line="240" w:lineRule="auto"/>
              <w:ind w:firstLine="1048" w:firstLineChars="497"/>
              <w:jc w:val="center"/>
              <w:rPr>
                <w:rFonts w:hint="eastAsia" w:ascii="Times New Roman" w:hAnsi="Times New Roman" w:eastAsia="宋体" w:cs="Times New Roman"/>
                <w:b/>
                <w:color w:val="000000" w:themeColor="text1"/>
                <w:kern w:val="0"/>
                <w:sz w:val="21"/>
                <w:szCs w:val="21"/>
                <w:lang w:eastAsia="zh-CN"/>
              </w:rPr>
            </w:pPr>
            <w:r>
              <w:rPr>
                <w:rFonts w:hint="default" w:ascii="Times New Roman" w:hAnsi="Times New Roman" w:eastAsia="宋体" w:cs="Times New Roman"/>
                <w:b/>
                <w:color w:val="000000" w:themeColor="text1"/>
                <w:kern w:val="0"/>
                <w:sz w:val="21"/>
                <w:szCs w:val="21"/>
              </w:rPr>
              <w:t xml:space="preserve">表3-9 地表水环境质量标准  </w:t>
            </w:r>
            <w:r>
              <w:rPr>
                <w:rFonts w:hint="eastAsia" w:cs="Times New Roman"/>
                <w:b/>
                <w:color w:val="000000" w:themeColor="text1"/>
                <w:kern w:val="0"/>
                <w:sz w:val="21"/>
                <w:szCs w:val="21"/>
                <w:lang w:eastAsia="zh-CN"/>
              </w:rPr>
              <w:t>（</w:t>
            </w:r>
            <w:r>
              <w:rPr>
                <w:rFonts w:hint="default" w:ascii="Times New Roman" w:hAnsi="Times New Roman" w:eastAsia="宋体" w:cs="Times New Roman"/>
                <w:b/>
                <w:color w:val="000000" w:themeColor="text1"/>
                <w:kern w:val="0"/>
                <w:sz w:val="21"/>
                <w:szCs w:val="21"/>
              </w:rPr>
              <w:t>注：单位mg/L，pH除外</w:t>
            </w:r>
            <w:r>
              <w:rPr>
                <w:rFonts w:hint="eastAsia" w:cs="Times New Roman"/>
                <w:b/>
                <w:color w:val="000000" w:themeColor="text1"/>
                <w:kern w:val="0"/>
                <w:sz w:val="21"/>
                <w:szCs w:val="21"/>
                <w:lang w:eastAsia="zh-CN"/>
              </w:rPr>
              <w:t>）</w:t>
            </w:r>
          </w:p>
          <w:tbl>
            <w:tblPr>
              <w:tblStyle w:val="33"/>
              <w:tblW w:w="8097" w:type="dxa"/>
              <w:jc w:val="center"/>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Layout w:type="fixed"/>
              <w:tblCellMar>
                <w:top w:w="0" w:type="dxa"/>
                <w:left w:w="108" w:type="dxa"/>
                <w:bottom w:w="0" w:type="dxa"/>
                <w:right w:w="108" w:type="dxa"/>
              </w:tblCellMar>
            </w:tblPr>
            <w:tblGrid>
              <w:gridCol w:w="1326"/>
              <w:gridCol w:w="1093"/>
              <w:gridCol w:w="1124"/>
              <w:gridCol w:w="1173"/>
              <w:gridCol w:w="1213"/>
              <w:gridCol w:w="1233"/>
              <w:gridCol w:w="935"/>
            </w:tblGrid>
            <w:tr w14:paraId="675AE903">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trHeight w:val="467" w:hRule="atLeast"/>
                <w:jc w:val="center"/>
              </w:trPr>
              <w:tc>
                <w:tcPr>
                  <w:tcW w:w="818" w:type="pct"/>
                  <w:tcBorders>
                    <w:top w:val="single" w:color="auto" w:sz="12" w:space="0"/>
                    <w:left w:val="nil"/>
                    <w:bottom w:val="single" w:color="auto" w:sz="4" w:space="0"/>
                    <w:right w:val="single" w:color="auto" w:sz="4" w:space="0"/>
                  </w:tcBorders>
                  <w:vAlign w:val="center"/>
                </w:tcPr>
                <w:p w14:paraId="5E9F4B7D">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类别</w:t>
                  </w:r>
                </w:p>
              </w:tc>
              <w:tc>
                <w:tcPr>
                  <w:tcW w:w="674" w:type="pct"/>
                  <w:tcBorders>
                    <w:top w:val="single" w:color="auto" w:sz="12" w:space="0"/>
                    <w:left w:val="single" w:color="auto" w:sz="4" w:space="0"/>
                    <w:bottom w:val="single" w:color="auto" w:sz="4" w:space="0"/>
                    <w:right w:val="single" w:color="auto" w:sz="4" w:space="0"/>
                  </w:tcBorders>
                  <w:vAlign w:val="center"/>
                </w:tcPr>
                <w:p w14:paraId="7A46C0AB">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pH</w:t>
                  </w:r>
                </w:p>
              </w:tc>
              <w:tc>
                <w:tcPr>
                  <w:tcW w:w="694" w:type="pct"/>
                  <w:tcBorders>
                    <w:top w:val="single" w:color="auto" w:sz="12" w:space="0"/>
                    <w:left w:val="single" w:color="auto" w:sz="4" w:space="0"/>
                    <w:bottom w:val="single" w:color="auto" w:sz="4" w:space="0"/>
                    <w:right w:val="single" w:color="auto" w:sz="4" w:space="0"/>
                  </w:tcBorders>
                  <w:vAlign w:val="center"/>
                </w:tcPr>
                <w:p w14:paraId="71EDAA1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COD</w:t>
                  </w:r>
                  <w:r>
                    <w:rPr>
                      <w:rFonts w:hint="default" w:ascii="Times New Roman" w:hAnsi="Times New Roman" w:eastAsia="宋体" w:cs="Times New Roman"/>
                      <w:b/>
                      <w:color w:val="000000" w:themeColor="text1"/>
                      <w:sz w:val="21"/>
                      <w:szCs w:val="21"/>
                      <w:vertAlign w:val="subscript"/>
                    </w:rPr>
                    <w:t>cr</w:t>
                  </w:r>
                </w:p>
              </w:tc>
              <w:tc>
                <w:tcPr>
                  <w:tcW w:w="724" w:type="pct"/>
                  <w:tcBorders>
                    <w:top w:val="single" w:color="auto" w:sz="12" w:space="0"/>
                    <w:left w:val="single" w:color="auto" w:sz="4" w:space="0"/>
                    <w:bottom w:val="single" w:color="auto" w:sz="4" w:space="0"/>
                    <w:right w:val="single" w:color="auto" w:sz="4" w:space="0"/>
                  </w:tcBorders>
                  <w:vAlign w:val="center"/>
                </w:tcPr>
                <w:p w14:paraId="2EFA6608">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BOD</w:t>
                  </w:r>
                  <w:r>
                    <w:rPr>
                      <w:rFonts w:hint="default" w:ascii="Times New Roman" w:hAnsi="Times New Roman" w:eastAsia="宋体" w:cs="Times New Roman"/>
                      <w:b/>
                      <w:color w:val="000000" w:themeColor="text1"/>
                      <w:sz w:val="21"/>
                      <w:szCs w:val="21"/>
                      <w:vertAlign w:val="subscript"/>
                    </w:rPr>
                    <w:t>5</w:t>
                  </w:r>
                </w:p>
              </w:tc>
              <w:tc>
                <w:tcPr>
                  <w:tcW w:w="749" w:type="pct"/>
                  <w:tcBorders>
                    <w:top w:val="single" w:color="auto" w:sz="12" w:space="0"/>
                    <w:left w:val="single" w:color="auto" w:sz="4" w:space="0"/>
                    <w:bottom w:val="single" w:color="auto" w:sz="4" w:space="0"/>
                    <w:right w:val="single" w:color="auto" w:sz="4" w:space="0"/>
                  </w:tcBorders>
                  <w:vAlign w:val="center"/>
                </w:tcPr>
                <w:p w14:paraId="6EDD667D">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NH</w:t>
                  </w:r>
                  <w:r>
                    <w:rPr>
                      <w:rFonts w:hint="default" w:ascii="Times New Roman" w:hAnsi="Times New Roman" w:eastAsia="宋体" w:cs="Times New Roman"/>
                      <w:b/>
                      <w:color w:val="000000" w:themeColor="text1"/>
                      <w:sz w:val="21"/>
                      <w:szCs w:val="21"/>
                      <w:vertAlign w:val="subscript"/>
                    </w:rPr>
                    <w:t>3</w:t>
                  </w:r>
                  <w:r>
                    <w:rPr>
                      <w:rFonts w:hint="default" w:ascii="Times New Roman" w:hAnsi="Times New Roman" w:eastAsia="宋体" w:cs="Times New Roman"/>
                      <w:b/>
                      <w:color w:val="000000" w:themeColor="text1"/>
                      <w:sz w:val="21"/>
                      <w:szCs w:val="21"/>
                    </w:rPr>
                    <w:t>-N</w:t>
                  </w:r>
                </w:p>
              </w:tc>
              <w:tc>
                <w:tcPr>
                  <w:tcW w:w="761" w:type="pct"/>
                  <w:tcBorders>
                    <w:top w:val="single" w:color="auto" w:sz="12" w:space="0"/>
                    <w:left w:val="single" w:color="auto" w:sz="4" w:space="0"/>
                    <w:bottom w:val="single" w:color="auto" w:sz="4" w:space="0"/>
                    <w:right w:val="nil"/>
                  </w:tcBorders>
                  <w:vAlign w:val="center"/>
                </w:tcPr>
                <w:p w14:paraId="1C092C71">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eastAsia" w:cs="Times New Roman"/>
                      <w:b/>
                      <w:color w:val="000000" w:themeColor="text1"/>
                      <w:sz w:val="21"/>
                      <w:szCs w:val="21"/>
                      <w:lang w:val="en-US" w:eastAsia="zh-CN"/>
                    </w:rPr>
                    <w:t>TP</w:t>
                  </w:r>
                </w:p>
              </w:tc>
              <w:tc>
                <w:tcPr>
                  <w:tcW w:w="577" w:type="pct"/>
                  <w:tcBorders>
                    <w:top w:val="single" w:color="auto" w:sz="12" w:space="0"/>
                    <w:left w:val="single" w:color="auto" w:sz="4" w:space="0"/>
                    <w:bottom w:val="single" w:color="auto" w:sz="4" w:space="0"/>
                    <w:right w:val="nil"/>
                  </w:tcBorders>
                  <w:vAlign w:val="center"/>
                </w:tcPr>
                <w:p w14:paraId="1972063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eastAsia" w:cs="Times New Roman"/>
                      <w:b/>
                      <w:color w:val="000000" w:themeColor="text1"/>
                      <w:sz w:val="21"/>
                      <w:szCs w:val="21"/>
                      <w:lang w:val="en-US" w:eastAsia="zh-CN"/>
                    </w:rPr>
                    <w:t>TN</w:t>
                  </w:r>
                </w:p>
              </w:tc>
            </w:tr>
            <w:tr w14:paraId="1CAEE2F8">
              <w:tblPrEx>
                <w:tblBorders>
                  <w:top w:val="single" w:color="auto" w:sz="12" w:space="0"/>
                  <w:left w:val="none" w:color="auto" w:sz="0" w:space="0"/>
                  <w:bottom w:val="single" w:color="auto" w:sz="12" w:space="0"/>
                  <w:right w:val="none" w:color="auto" w:sz="0" w:space="0"/>
                  <w:insideH w:val="double" w:color="auto" w:sz="4" w:space="0"/>
                  <w:insideV w:val="single" w:color="auto" w:sz="4" w:space="0"/>
                </w:tblBorders>
                <w:tblCellMar>
                  <w:top w:w="0" w:type="dxa"/>
                  <w:left w:w="108" w:type="dxa"/>
                  <w:bottom w:w="0" w:type="dxa"/>
                  <w:right w:w="108" w:type="dxa"/>
                </w:tblCellMar>
              </w:tblPrEx>
              <w:trPr>
                <w:trHeight w:val="414" w:hRule="atLeast"/>
                <w:jc w:val="center"/>
              </w:trPr>
              <w:tc>
                <w:tcPr>
                  <w:tcW w:w="818" w:type="pct"/>
                  <w:tcBorders>
                    <w:top w:val="single" w:color="auto" w:sz="4" w:space="0"/>
                    <w:left w:val="nil"/>
                    <w:bottom w:val="single" w:color="auto" w:sz="12" w:space="0"/>
                    <w:right w:val="single" w:color="auto" w:sz="4" w:space="0"/>
                  </w:tcBorders>
                  <w:vAlign w:val="center"/>
                </w:tcPr>
                <w:p w14:paraId="0858A8B7">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Ⅲ类</w:t>
                  </w:r>
                </w:p>
              </w:tc>
              <w:tc>
                <w:tcPr>
                  <w:tcW w:w="674" w:type="pct"/>
                  <w:tcBorders>
                    <w:top w:val="single" w:color="auto" w:sz="4" w:space="0"/>
                    <w:left w:val="single" w:color="auto" w:sz="4" w:space="0"/>
                    <w:bottom w:val="single" w:color="auto" w:sz="12" w:space="0"/>
                    <w:right w:val="single" w:color="auto" w:sz="4" w:space="0"/>
                  </w:tcBorders>
                  <w:vAlign w:val="center"/>
                </w:tcPr>
                <w:p w14:paraId="52A33049">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6～9</w:t>
                  </w:r>
                </w:p>
              </w:tc>
              <w:tc>
                <w:tcPr>
                  <w:tcW w:w="694" w:type="pct"/>
                  <w:tcBorders>
                    <w:top w:val="single" w:color="auto" w:sz="4" w:space="0"/>
                    <w:left w:val="single" w:color="auto" w:sz="4" w:space="0"/>
                    <w:bottom w:val="single" w:color="auto" w:sz="12" w:space="0"/>
                    <w:right w:val="single" w:color="auto" w:sz="4" w:space="0"/>
                  </w:tcBorders>
                  <w:vAlign w:val="center"/>
                </w:tcPr>
                <w:p w14:paraId="12119E61">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20</w:t>
                  </w:r>
                </w:p>
              </w:tc>
              <w:tc>
                <w:tcPr>
                  <w:tcW w:w="724" w:type="pct"/>
                  <w:tcBorders>
                    <w:top w:val="single" w:color="auto" w:sz="4" w:space="0"/>
                    <w:left w:val="single" w:color="auto" w:sz="4" w:space="0"/>
                    <w:bottom w:val="single" w:color="auto" w:sz="12" w:space="0"/>
                    <w:right w:val="single" w:color="auto" w:sz="4" w:space="0"/>
                  </w:tcBorders>
                  <w:vAlign w:val="center"/>
                </w:tcPr>
                <w:p w14:paraId="6E1EA0EB">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w:t>
                  </w:r>
                </w:p>
              </w:tc>
              <w:tc>
                <w:tcPr>
                  <w:tcW w:w="749" w:type="pct"/>
                  <w:tcBorders>
                    <w:top w:val="single" w:color="auto" w:sz="4" w:space="0"/>
                    <w:left w:val="single" w:color="auto" w:sz="4" w:space="0"/>
                    <w:bottom w:val="single" w:color="auto" w:sz="12" w:space="0"/>
                    <w:right w:val="single" w:color="auto" w:sz="4" w:space="0"/>
                  </w:tcBorders>
                  <w:vAlign w:val="center"/>
                </w:tcPr>
                <w:p w14:paraId="4F6B182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1.0</w:t>
                  </w:r>
                </w:p>
              </w:tc>
              <w:tc>
                <w:tcPr>
                  <w:tcW w:w="761" w:type="pct"/>
                  <w:tcBorders>
                    <w:top w:val="single" w:color="auto" w:sz="4" w:space="0"/>
                    <w:left w:val="single" w:color="auto" w:sz="4" w:space="0"/>
                    <w:bottom w:val="single" w:color="auto" w:sz="12" w:space="0"/>
                    <w:right w:val="nil"/>
                  </w:tcBorders>
                  <w:vAlign w:val="center"/>
                </w:tcPr>
                <w:p w14:paraId="11792E69">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w:t>
                  </w:r>
                </w:p>
              </w:tc>
              <w:tc>
                <w:tcPr>
                  <w:tcW w:w="577" w:type="pct"/>
                  <w:tcBorders>
                    <w:top w:val="single" w:color="auto" w:sz="4" w:space="0"/>
                    <w:left w:val="single" w:color="auto" w:sz="4" w:space="0"/>
                    <w:bottom w:val="single" w:color="auto" w:sz="12" w:space="0"/>
                    <w:right w:val="nil"/>
                  </w:tcBorders>
                  <w:vAlign w:val="center"/>
                </w:tcPr>
                <w:p w14:paraId="757EFF4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r>
          </w:tbl>
          <w:p w14:paraId="1477F004">
            <w:pPr>
              <w:adjustRightInd w:val="0"/>
              <w:snapToGrid w:val="0"/>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3、声环境质量标准</w:t>
            </w:r>
          </w:p>
          <w:p w14:paraId="50884A34">
            <w:pPr>
              <w:adjustRightInd w:val="0"/>
              <w:snapToGrid w:val="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项目厂界声环境质量执行《声环境质量标准》（GB3096－2008）中的3类标准。</w:t>
            </w:r>
          </w:p>
          <w:p w14:paraId="4B2652A2">
            <w:pPr>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kern w:val="0"/>
                <w:sz w:val="21"/>
                <w:szCs w:val="21"/>
              </w:rPr>
              <w:t>表3-10  声环境质量标准</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81"/>
              <w:gridCol w:w="1387"/>
              <w:gridCol w:w="1493"/>
              <w:gridCol w:w="1493"/>
            </w:tblGrid>
            <w:tr w14:paraId="1B70B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82" w:type="pct"/>
                  <w:vAlign w:val="center"/>
                </w:tcPr>
                <w:p w14:paraId="4794DDBA">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标准</w:t>
                  </w:r>
                </w:p>
              </w:tc>
              <w:tc>
                <w:tcPr>
                  <w:tcW w:w="829" w:type="pct"/>
                  <w:vAlign w:val="center"/>
                </w:tcPr>
                <w:p w14:paraId="5C41F2E2">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功能区类别</w:t>
                  </w:r>
                </w:p>
              </w:tc>
              <w:tc>
                <w:tcPr>
                  <w:tcW w:w="893" w:type="pct"/>
                  <w:vAlign w:val="center"/>
                </w:tcPr>
                <w:p w14:paraId="0C8CA239">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昼间</w:t>
                  </w:r>
                </w:p>
              </w:tc>
              <w:tc>
                <w:tcPr>
                  <w:tcW w:w="893" w:type="pct"/>
                  <w:vAlign w:val="center"/>
                </w:tcPr>
                <w:p w14:paraId="13A17D8A">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夜间</w:t>
                  </w:r>
                </w:p>
              </w:tc>
            </w:tr>
            <w:tr w14:paraId="043D5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382" w:type="pct"/>
                  <w:vAlign w:val="center"/>
                </w:tcPr>
                <w:p w14:paraId="43BE643A">
                  <w:pPr>
                    <w:pStyle w:val="84"/>
                    <w:tabs>
                      <w:tab w:val="left" w:pos="3345"/>
                    </w:tabs>
                    <w:spacing w:line="240" w:lineRule="auto"/>
                    <w:ind w:firstLine="0" w:firstLineChars="0"/>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《声环境质量标准》</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GB3096</w:t>
                  </w:r>
                  <w:r>
                    <w:rPr>
                      <w:rFonts w:hint="default" w:ascii="Times New Roman" w:hAnsi="Times New Roman" w:eastAsia="宋体" w:cs="Times New Roman"/>
                      <w:color w:val="000000" w:themeColor="text1"/>
                      <w:sz w:val="21"/>
                      <w:szCs w:val="21"/>
                    </w:rPr>
                    <w:cr/>
                  </w:r>
                  <w:r>
                    <w:rPr>
                      <w:rFonts w:hint="default" w:ascii="Times New Roman" w:hAnsi="Times New Roman" w:eastAsia="宋体" w:cs="Times New Roman"/>
                      <w:color w:val="000000" w:themeColor="text1"/>
                      <w:sz w:val="21"/>
                      <w:szCs w:val="21"/>
                    </w:rPr>
                    <w:t>2008</w:t>
                  </w:r>
                  <w:r>
                    <w:rPr>
                      <w:rFonts w:hint="eastAsia" w:cs="Times New Roman"/>
                      <w:color w:val="000000" w:themeColor="text1"/>
                      <w:sz w:val="21"/>
                      <w:szCs w:val="21"/>
                      <w:lang w:eastAsia="zh-CN"/>
                    </w:rPr>
                    <w:t>）</w:t>
                  </w:r>
                </w:p>
              </w:tc>
              <w:tc>
                <w:tcPr>
                  <w:tcW w:w="829" w:type="pct"/>
                  <w:vAlign w:val="center"/>
                </w:tcPr>
                <w:p w14:paraId="1B16AC71">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3类</w:t>
                  </w:r>
                </w:p>
              </w:tc>
              <w:tc>
                <w:tcPr>
                  <w:tcW w:w="893" w:type="pct"/>
                  <w:vAlign w:val="center"/>
                </w:tcPr>
                <w:p w14:paraId="244D7319">
                  <w:pPr>
                    <w:pStyle w:val="84"/>
                    <w:tabs>
                      <w:tab w:val="left" w:pos="3345"/>
                    </w:tabs>
                    <w:spacing w:line="240" w:lineRule="auto"/>
                    <w:ind w:firstLine="0" w:firstLineChars="0"/>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≤65dB</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A</w:t>
                  </w:r>
                  <w:r>
                    <w:rPr>
                      <w:rFonts w:hint="eastAsia" w:cs="Times New Roman"/>
                      <w:color w:val="000000" w:themeColor="text1"/>
                      <w:sz w:val="21"/>
                      <w:szCs w:val="21"/>
                      <w:lang w:eastAsia="zh-CN"/>
                    </w:rPr>
                    <w:t>)</w:t>
                  </w:r>
                </w:p>
              </w:tc>
              <w:tc>
                <w:tcPr>
                  <w:tcW w:w="893" w:type="pct"/>
                  <w:vAlign w:val="center"/>
                </w:tcPr>
                <w:p w14:paraId="5A67B96A">
                  <w:pPr>
                    <w:pStyle w:val="84"/>
                    <w:tabs>
                      <w:tab w:val="left" w:pos="3345"/>
                    </w:tabs>
                    <w:spacing w:line="240" w:lineRule="auto"/>
                    <w:ind w:firstLine="0" w:firstLineChars="0"/>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rPr>
                    <w:t>≤55dB</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A</w:t>
                  </w:r>
                  <w:r>
                    <w:rPr>
                      <w:rFonts w:hint="eastAsia" w:cs="Times New Roman"/>
                      <w:color w:val="000000" w:themeColor="text1"/>
                      <w:sz w:val="21"/>
                      <w:szCs w:val="21"/>
                      <w:lang w:eastAsia="zh-CN"/>
                    </w:rPr>
                    <w:t>)</w:t>
                  </w:r>
                </w:p>
              </w:tc>
            </w:tr>
          </w:tbl>
          <w:p w14:paraId="6890E162">
            <w:pPr>
              <w:keepNext w:val="0"/>
              <w:keepLines w:val="0"/>
              <w:pageBreakBefore w:val="0"/>
              <w:widowControl w:val="0"/>
              <w:kinsoku/>
              <w:wordWrap/>
              <w:overflowPunct/>
              <w:topLinePunct w:val="0"/>
              <w:autoSpaceDE/>
              <w:autoSpaceDN/>
              <w:bidi w:val="0"/>
              <w:adjustRightInd/>
              <w:snapToGrid/>
              <w:ind w:left="0" w:firstLine="482" w:firstLineChars="20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二、污染物排放标准</w:t>
            </w:r>
          </w:p>
          <w:p w14:paraId="14107A5E">
            <w:pPr>
              <w:keepNext w:val="0"/>
              <w:keepLines w:val="0"/>
              <w:pageBreakBefore w:val="0"/>
              <w:widowControl w:val="0"/>
              <w:numPr>
                <w:ilvl w:val="0"/>
                <w:numId w:val="8"/>
              </w:numPr>
              <w:kinsoku/>
              <w:wordWrap/>
              <w:overflowPunct/>
              <w:topLinePunct w:val="0"/>
              <w:autoSpaceDE/>
              <w:autoSpaceDN/>
              <w:bidi w:val="0"/>
              <w:adjustRightInd/>
              <w:snapToGrid/>
              <w:ind w:left="0" w:firstLine="482" w:firstLineChars="20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废水</w:t>
            </w:r>
          </w:p>
          <w:p w14:paraId="3094DA8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color w:val="000000" w:themeColor="text1"/>
                <w:lang w:eastAsia="zh-CN"/>
              </w:rPr>
            </w:pPr>
            <w:r>
              <w:rPr>
                <w:color w:val="000000" w:themeColor="text1"/>
                <w:sz w:val="24"/>
                <w:highlight w:val="none"/>
              </w:rPr>
              <w:t>本项目</w:t>
            </w:r>
            <w:r>
              <w:rPr>
                <w:rFonts w:hint="eastAsia"/>
                <w:color w:val="000000" w:themeColor="text1"/>
                <w:sz w:val="24"/>
                <w:highlight w:val="none"/>
                <w:lang w:val="en-US" w:eastAsia="zh-CN"/>
              </w:rPr>
              <w:t>废水为地面清洗水，经厂内化粪池处理后通过园区管网汇入赤湖工业园污水处理厂深度处理，经赤湖工业园污水处理厂</w:t>
            </w:r>
            <w:r>
              <w:rPr>
                <w:rFonts w:hint="default"/>
                <w:color w:val="000000" w:themeColor="text1"/>
              </w:rPr>
              <w:t>处理</w:t>
            </w:r>
            <w:r>
              <w:rPr>
                <w:rFonts w:hint="eastAsia"/>
                <w:color w:val="000000" w:themeColor="text1"/>
                <w:lang w:eastAsia="zh-CN"/>
              </w:rPr>
              <w:t>达到</w:t>
            </w:r>
            <w:r>
              <w:rPr>
                <w:rFonts w:hint="default"/>
                <w:color w:val="000000" w:themeColor="text1"/>
              </w:rPr>
              <w:t>《城镇污水处理厂污染物排放标准》（GB18918-2002）中的</w:t>
            </w:r>
            <w:r>
              <w:rPr>
                <w:rFonts w:hint="eastAsia"/>
                <w:color w:val="000000" w:themeColor="text1"/>
                <w:lang w:eastAsia="zh-CN"/>
              </w:rPr>
              <w:t>一级A</w:t>
            </w:r>
            <w:r>
              <w:rPr>
                <w:rFonts w:hint="default"/>
                <w:color w:val="000000" w:themeColor="text1"/>
              </w:rPr>
              <w:t>标准后，最终排入</w:t>
            </w:r>
            <w:r>
              <w:rPr>
                <w:rFonts w:hint="default"/>
                <w:color w:val="000000" w:themeColor="text1"/>
                <w:lang w:eastAsia="zh-CN"/>
              </w:rPr>
              <w:t>长江</w:t>
            </w:r>
            <w:r>
              <w:rPr>
                <w:rFonts w:hint="eastAsia"/>
                <w:color w:val="000000" w:themeColor="text1"/>
                <w:lang w:eastAsia="zh-CN"/>
              </w:rPr>
              <w:t>。</w:t>
            </w:r>
          </w:p>
          <w:p w14:paraId="647D457A">
            <w:pPr>
              <w:spacing w:line="240" w:lineRule="auto"/>
              <w:ind w:firstLine="0" w:firstLineChars="0"/>
              <w:jc w:val="center"/>
              <w:rPr>
                <w:rFonts w:hint="default" w:ascii="Times New Roman" w:hAnsi="Times New Roman" w:eastAsia="宋体" w:cs="Times New Roman"/>
                <w:b/>
                <w:color w:val="000000" w:themeColor="text1"/>
                <w:kern w:val="0"/>
                <w:sz w:val="21"/>
                <w:szCs w:val="21"/>
                <w:lang w:val="en-US" w:eastAsia="zh-CN"/>
              </w:rPr>
            </w:pPr>
            <w:r>
              <w:rPr>
                <w:rFonts w:hint="default" w:ascii="Times New Roman" w:hAnsi="Times New Roman" w:eastAsia="宋体" w:cs="Times New Roman"/>
                <w:b/>
                <w:color w:val="000000" w:themeColor="text1"/>
                <w:kern w:val="0"/>
                <w:sz w:val="21"/>
                <w:szCs w:val="21"/>
                <w:lang w:val="en-US" w:eastAsia="zh-CN"/>
              </w:rPr>
              <w:t>表3-</w:t>
            </w:r>
            <w:r>
              <w:rPr>
                <w:rFonts w:hint="eastAsia" w:ascii="Times New Roman" w:hAnsi="Times New Roman" w:eastAsia="宋体" w:cs="Times New Roman"/>
                <w:b/>
                <w:color w:val="000000" w:themeColor="text1"/>
                <w:kern w:val="0"/>
                <w:sz w:val="21"/>
                <w:szCs w:val="21"/>
                <w:lang w:val="en-US" w:eastAsia="zh-CN"/>
              </w:rPr>
              <w:t>11</w:t>
            </w:r>
            <w:r>
              <w:rPr>
                <w:rFonts w:hint="default" w:ascii="Times New Roman" w:hAnsi="Times New Roman" w:eastAsia="宋体" w:cs="Times New Roman"/>
                <w:b/>
                <w:color w:val="000000" w:themeColor="text1"/>
                <w:kern w:val="0"/>
                <w:sz w:val="21"/>
                <w:szCs w:val="21"/>
                <w:lang w:val="en-US" w:eastAsia="zh-CN"/>
              </w:rPr>
              <w:t xml:space="preserve">  废水排放标准 （单位：pH值外，其余mg/L）</w:t>
            </w:r>
          </w:p>
          <w:tbl>
            <w:tblPr>
              <w:tblStyle w:val="33"/>
              <w:tblW w:w="83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2721"/>
              <w:gridCol w:w="841"/>
              <w:gridCol w:w="832"/>
              <w:gridCol w:w="853"/>
              <w:gridCol w:w="715"/>
              <w:gridCol w:w="779"/>
              <w:gridCol w:w="720"/>
              <w:gridCol w:w="918"/>
            </w:tblGrid>
            <w:tr w14:paraId="4C18D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2721" w:type="dxa"/>
                  <w:vMerge w:val="restart"/>
                  <w:tcBorders>
                    <w:left w:val="nil"/>
                  </w:tcBorders>
                  <w:noWrap w:val="0"/>
                  <w:vAlign w:val="center"/>
                </w:tcPr>
                <w:p w14:paraId="11FBAA1D">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标准类别</w:t>
                  </w:r>
                </w:p>
              </w:tc>
              <w:tc>
                <w:tcPr>
                  <w:tcW w:w="5658" w:type="dxa"/>
                  <w:gridSpan w:val="7"/>
                  <w:tcBorders>
                    <w:right w:val="nil"/>
                  </w:tcBorders>
                  <w:noWrap w:val="0"/>
                  <w:vAlign w:val="center"/>
                </w:tcPr>
                <w:p w14:paraId="5A1C6398">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污染物名称及浓度限值</w:t>
                  </w:r>
                  <w:r>
                    <w:rPr>
                      <w:rFonts w:hint="eastAsia" w:cs="Times New Roman"/>
                      <w:b/>
                      <w:color w:val="000000" w:themeColor="text1"/>
                      <w:sz w:val="21"/>
                      <w:szCs w:val="21"/>
                      <w:lang w:val="en-US" w:eastAsia="zh-CN"/>
                    </w:rPr>
                    <w:t>（</w:t>
                  </w:r>
                  <w:r>
                    <w:rPr>
                      <w:rFonts w:hint="default" w:ascii="Times New Roman" w:hAnsi="Times New Roman" w:eastAsia="宋体" w:cs="Times New Roman"/>
                      <w:b/>
                      <w:color w:val="000000" w:themeColor="text1"/>
                      <w:sz w:val="21"/>
                      <w:szCs w:val="21"/>
                      <w:lang w:val="en-US" w:eastAsia="zh-CN"/>
                    </w:rPr>
                    <w:t>mg/L</w:t>
                  </w:r>
                  <w:r>
                    <w:rPr>
                      <w:rFonts w:hint="eastAsia" w:cs="Times New Roman"/>
                      <w:b/>
                      <w:color w:val="000000" w:themeColor="text1"/>
                      <w:sz w:val="21"/>
                      <w:szCs w:val="21"/>
                      <w:lang w:val="en-US" w:eastAsia="zh-CN"/>
                    </w:rPr>
                    <w:t>）</w:t>
                  </w:r>
                </w:p>
              </w:tc>
            </w:tr>
            <w:tr w14:paraId="01D97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2721" w:type="dxa"/>
                  <w:vMerge w:val="continue"/>
                  <w:tcBorders>
                    <w:left w:val="nil"/>
                  </w:tcBorders>
                  <w:noWrap w:val="0"/>
                  <w:vAlign w:val="center"/>
                </w:tcPr>
                <w:p w14:paraId="528F5DBF">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p>
              </w:tc>
              <w:tc>
                <w:tcPr>
                  <w:tcW w:w="841" w:type="dxa"/>
                  <w:noWrap w:val="0"/>
                  <w:vAlign w:val="center"/>
                </w:tcPr>
                <w:p w14:paraId="00B38BD4">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pH</w:t>
                  </w:r>
                </w:p>
              </w:tc>
              <w:tc>
                <w:tcPr>
                  <w:tcW w:w="832" w:type="dxa"/>
                  <w:noWrap w:val="0"/>
                  <w:vAlign w:val="center"/>
                </w:tcPr>
                <w:p w14:paraId="1CE500DB">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COD</w:t>
                  </w:r>
                  <w:r>
                    <w:rPr>
                      <w:rFonts w:hint="default" w:ascii="Times New Roman" w:hAnsi="Times New Roman" w:eastAsia="宋体" w:cs="Times New Roman"/>
                      <w:b/>
                      <w:color w:val="000000" w:themeColor="text1"/>
                      <w:sz w:val="21"/>
                      <w:szCs w:val="21"/>
                      <w:vertAlign w:val="subscript"/>
                      <w:lang w:val="en-US" w:eastAsia="zh-CN"/>
                    </w:rPr>
                    <w:t>cr</w:t>
                  </w:r>
                </w:p>
              </w:tc>
              <w:tc>
                <w:tcPr>
                  <w:tcW w:w="853" w:type="dxa"/>
                  <w:noWrap w:val="0"/>
                  <w:vAlign w:val="center"/>
                </w:tcPr>
                <w:p w14:paraId="3738F01D">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BOD</w:t>
                  </w:r>
                  <w:r>
                    <w:rPr>
                      <w:rFonts w:hint="default" w:ascii="Times New Roman" w:hAnsi="Times New Roman" w:eastAsia="宋体" w:cs="Times New Roman"/>
                      <w:b/>
                      <w:color w:val="000000" w:themeColor="text1"/>
                      <w:sz w:val="21"/>
                      <w:szCs w:val="21"/>
                      <w:vertAlign w:val="subscript"/>
                      <w:lang w:val="en-US" w:eastAsia="zh-CN"/>
                    </w:rPr>
                    <w:t>5</w:t>
                  </w:r>
                </w:p>
              </w:tc>
              <w:tc>
                <w:tcPr>
                  <w:tcW w:w="715" w:type="dxa"/>
                  <w:noWrap w:val="0"/>
                  <w:vAlign w:val="center"/>
                </w:tcPr>
                <w:p w14:paraId="139B114E">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氨氮</w:t>
                  </w:r>
                </w:p>
              </w:tc>
              <w:tc>
                <w:tcPr>
                  <w:tcW w:w="779" w:type="dxa"/>
                  <w:noWrap w:val="0"/>
                  <w:vAlign w:val="center"/>
                </w:tcPr>
                <w:p w14:paraId="4C6BD54E">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SS</w:t>
                  </w:r>
                </w:p>
              </w:tc>
              <w:tc>
                <w:tcPr>
                  <w:tcW w:w="720" w:type="dxa"/>
                  <w:noWrap w:val="0"/>
                  <w:vAlign w:val="center"/>
                </w:tcPr>
                <w:p w14:paraId="14CAB33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TP</w:t>
                  </w:r>
                </w:p>
              </w:tc>
              <w:tc>
                <w:tcPr>
                  <w:tcW w:w="918" w:type="dxa"/>
                  <w:tcBorders>
                    <w:right w:val="nil"/>
                  </w:tcBorders>
                  <w:noWrap w:val="0"/>
                  <w:vAlign w:val="center"/>
                </w:tcPr>
                <w:p w14:paraId="394AD106">
                  <w:pPr>
                    <w:pStyle w:val="84"/>
                    <w:tabs>
                      <w:tab w:val="left" w:pos="3345"/>
                    </w:tabs>
                    <w:spacing w:line="240" w:lineRule="auto"/>
                    <w:ind w:firstLine="0" w:firstLineChars="0"/>
                    <w:rPr>
                      <w:rFonts w:hint="default" w:ascii="Times New Roman" w:hAnsi="Times New Roman" w:eastAsia="宋体" w:cs="Times New Roman"/>
                      <w:b/>
                      <w:color w:val="000000" w:themeColor="text1"/>
                      <w:sz w:val="21"/>
                      <w:szCs w:val="21"/>
                      <w:lang w:val="en-US" w:eastAsia="zh-CN"/>
                    </w:rPr>
                  </w:pPr>
                  <w:r>
                    <w:rPr>
                      <w:rFonts w:hint="default" w:ascii="Times New Roman" w:hAnsi="Times New Roman" w:eastAsia="宋体" w:cs="Times New Roman"/>
                      <w:b/>
                      <w:color w:val="000000" w:themeColor="text1"/>
                      <w:sz w:val="21"/>
                      <w:szCs w:val="21"/>
                      <w:lang w:val="en-US" w:eastAsia="zh-CN"/>
                    </w:rPr>
                    <w:t>TN</w:t>
                  </w:r>
                </w:p>
              </w:tc>
            </w:tr>
            <w:tr w14:paraId="0FDDA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2721" w:type="dxa"/>
                  <w:tcBorders>
                    <w:left w:val="nil"/>
                  </w:tcBorders>
                  <w:noWrap w:val="0"/>
                  <w:vAlign w:val="center"/>
                </w:tcPr>
                <w:p w14:paraId="78FD0B0B">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赤湖工业园污水处理厂</w:t>
                  </w:r>
                  <w:r>
                    <w:rPr>
                      <w:rFonts w:hint="default" w:ascii="Times New Roman" w:hAnsi="Times New Roman" w:eastAsia="宋体" w:cs="Times New Roman"/>
                      <w:color w:val="000000" w:themeColor="text1"/>
                      <w:sz w:val="21"/>
                      <w:szCs w:val="21"/>
                      <w:lang w:val="en-US" w:eastAsia="zh-CN"/>
                    </w:rPr>
                    <w:t>接管标准</w:t>
                  </w:r>
                </w:p>
              </w:tc>
              <w:tc>
                <w:tcPr>
                  <w:tcW w:w="841" w:type="dxa"/>
                  <w:noWrap w:val="0"/>
                  <w:vAlign w:val="center"/>
                </w:tcPr>
                <w:p w14:paraId="32C831ED">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6-9</w:t>
                  </w:r>
                </w:p>
              </w:tc>
              <w:tc>
                <w:tcPr>
                  <w:tcW w:w="832" w:type="dxa"/>
                  <w:noWrap w:val="0"/>
                  <w:vAlign w:val="center"/>
                </w:tcPr>
                <w:p w14:paraId="41C8CAD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500</w:t>
                  </w:r>
                </w:p>
              </w:tc>
              <w:tc>
                <w:tcPr>
                  <w:tcW w:w="853" w:type="dxa"/>
                  <w:noWrap w:val="0"/>
                  <w:vAlign w:val="center"/>
                </w:tcPr>
                <w:p w14:paraId="326704D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300</w:t>
                  </w:r>
                </w:p>
              </w:tc>
              <w:tc>
                <w:tcPr>
                  <w:tcW w:w="715" w:type="dxa"/>
                  <w:noWrap w:val="0"/>
                  <w:vAlign w:val="center"/>
                </w:tcPr>
                <w:p w14:paraId="4DAE5C56">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50</w:t>
                  </w:r>
                </w:p>
              </w:tc>
              <w:tc>
                <w:tcPr>
                  <w:tcW w:w="779" w:type="dxa"/>
                  <w:noWrap w:val="0"/>
                  <w:vAlign w:val="center"/>
                </w:tcPr>
                <w:p w14:paraId="132E0CA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400</w:t>
                  </w:r>
                </w:p>
              </w:tc>
              <w:tc>
                <w:tcPr>
                  <w:tcW w:w="720" w:type="dxa"/>
                  <w:noWrap w:val="0"/>
                  <w:vAlign w:val="center"/>
                </w:tcPr>
                <w:p w14:paraId="57DFDD11">
                  <w:pPr>
                    <w:pStyle w:val="84"/>
                    <w:tabs>
                      <w:tab w:val="left" w:pos="3345"/>
                    </w:tabs>
                    <w:spacing w:line="240" w:lineRule="auto"/>
                    <w:ind w:firstLine="0" w:firstLineChars="0"/>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8</w:t>
                  </w:r>
                </w:p>
              </w:tc>
              <w:tc>
                <w:tcPr>
                  <w:tcW w:w="918" w:type="dxa"/>
                  <w:tcBorders>
                    <w:right w:val="nil"/>
                  </w:tcBorders>
                  <w:noWrap w:val="0"/>
                  <w:vAlign w:val="center"/>
                </w:tcPr>
                <w:p w14:paraId="6029A4AE">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ascii="Times New Roman" w:hAnsi="Times New Roman" w:eastAsia="宋体" w:cs="Times New Roman"/>
                      <w:color w:val="000000" w:themeColor="text1"/>
                      <w:sz w:val="21"/>
                      <w:szCs w:val="21"/>
                      <w:lang w:val="en-US" w:eastAsia="zh-CN"/>
                    </w:rPr>
                    <w:t>70</w:t>
                  </w:r>
                </w:p>
              </w:tc>
            </w:tr>
            <w:tr w14:paraId="43008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cantSplit/>
                <w:trHeight w:val="397" w:hRule="atLeast"/>
                <w:jc w:val="center"/>
              </w:trPr>
              <w:tc>
                <w:tcPr>
                  <w:tcW w:w="2721" w:type="dxa"/>
                  <w:tcBorders>
                    <w:left w:val="nil"/>
                  </w:tcBorders>
                  <w:noWrap w:val="0"/>
                  <w:vAlign w:val="center"/>
                </w:tcPr>
                <w:p w14:paraId="0C614E72">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《城镇污水处理厂污染物排放标准》（GB18918-2002）</w:t>
                  </w:r>
                  <w:r>
                    <w:rPr>
                      <w:rFonts w:hint="eastAsia" w:cs="Times New Roman"/>
                      <w:color w:val="000000" w:themeColor="text1"/>
                      <w:sz w:val="21"/>
                      <w:szCs w:val="21"/>
                      <w:lang w:val="en-US" w:eastAsia="zh-CN"/>
                    </w:rPr>
                    <w:t>一级A</w:t>
                  </w:r>
                  <w:r>
                    <w:rPr>
                      <w:rFonts w:hint="default" w:ascii="Times New Roman" w:hAnsi="Times New Roman" w:eastAsia="宋体" w:cs="Times New Roman"/>
                      <w:color w:val="000000" w:themeColor="text1"/>
                      <w:sz w:val="21"/>
                      <w:szCs w:val="21"/>
                      <w:lang w:val="en-US" w:eastAsia="zh-CN"/>
                    </w:rPr>
                    <w:t>标准</w:t>
                  </w:r>
                </w:p>
              </w:tc>
              <w:tc>
                <w:tcPr>
                  <w:tcW w:w="841" w:type="dxa"/>
                  <w:noWrap w:val="0"/>
                  <w:vAlign w:val="center"/>
                </w:tcPr>
                <w:p w14:paraId="0872098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6-9</w:t>
                  </w:r>
                </w:p>
              </w:tc>
              <w:tc>
                <w:tcPr>
                  <w:tcW w:w="832" w:type="dxa"/>
                  <w:noWrap w:val="0"/>
                  <w:vAlign w:val="center"/>
                </w:tcPr>
                <w:p w14:paraId="5A77DF6F">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50</w:t>
                  </w:r>
                </w:p>
              </w:tc>
              <w:tc>
                <w:tcPr>
                  <w:tcW w:w="853" w:type="dxa"/>
                  <w:noWrap w:val="0"/>
                  <w:vAlign w:val="center"/>
                </w:tcPr>
                <w:p w14:paraId="689092E0">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10</w:t>
                  </w:r>
                </w:p>
              </w:tc>
              <w:tc>
                <w:tcPr>
                  <w:tcW w:w="715" w:type="dxa"/>
                  <w:noWrap w:val="0"/>
                  <w:vAlign w:val="center"/>
                </w:tcPr>
                <w:p w14:paraId="460A0A3B">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5</w:t>
                  </w:r>
                </w:p>
              </w:tc>
              <w:tc>
                <w:tcPr>
                  <w:tcW w:w="779" w:type="dxa"/>
                  <w:noWrap w:val="0"/>
                  <w:vAlign w:val="center"/>
                </w:tcPr>
                <w:p w14:paraId="6C50648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10</w:t>
                  </w:r>
                </w:p>
              </w:tc>
              <w:tc>
                <w:tcPr>
                  <w:tcW w:w="720" w:type="dxa"/>
                  <w:noWrap w:val="0"/>
                  <w:vAlign w:val="center"/>
                </w:tcPr>
                <w:p w14:paraId="7E876D98">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0.5</w:t>
                  </w:r>
                </w:p>
              </w:tc>
              <w:tc>
                <w:tcPr>
                  <w:tcW w:w="918" w:type="dxa"/>
                  <w:tcBorders>
                    <w:right w:val="nil"/>
                  </w:tcBorders>
                  <w:noWrap w:val="0"/>
                  <w:vAlign w:val="center"/>
                </w:tcPr>
                <w:p w14:paraId="386A9CC4">
                  <w:pPr>
                    <w:pStyle w:val="84"/>
                    <w:tabs>
                      <w:tab w:val="left" w:pos="3345"/>
                    </w:tabs>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r>
                    <w:rPr>
                      <w:rFonts w:hint="eastAsia" w:cs="Times New Roman"/>
                      <w:color w:val="000000" w:themeColor="text1"/>
                      <w:sz w:val="21"/>
                      <w:szCs w:val="21"/>
                      <w:lang w:val="en-US" w:eastAsia="zh-CN"/>
                    </w:rPr>
                    <w:t>15</w:t>
                  </w:r>
                </w:p>
              </w:tc>
            </w:tr>
          </w:tbl>
          <w:p w14:paraId="52A4B28B">
            <w:pPr>
              <w:spacing w:before="120" w:beforeLines="50"/>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2、废气</w:t>
            </w:r>
          </w:p>
          <w:p w14:paraId="3A9C4AAE">
            <w:pPr>
              <w:ind w:firstLine="480"/>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项目主要废气污染源为</w:t>
            </w:r>
            <w:r>
              <w:rPr>
                <w:rFonts w:hint="eastAsia" w:cs="Times New Roman"/>
                <w:color w:val="000000" w:themeColor="text1"/>
                <w:lang w:val="en-US" w:eastAsia="zh-CN"/>
              </w:rPr>
              <w:t>颗粒物、SO</w:t>
            </w:r>
            <w:r>
              <w:rPr>
                <w:rFonts w:hint="eastAsia" w:cs="Times New Roman"/>
                <w:color w:val="000000" w:themeColor="text1"/>
                <w:vertAlign w:val="subscript"/>
                <w:lang w:val="en-US" w:eastAsia="zh-CN"/>
              </w:rPr>
              <w:t>2</w:t>
            </w:r>
            <w:r>
              <w:rPr>
                <w:rFonts w:hint="eastAsia" w:cs="Times New Roman"/>
                <w:color w:val="000000" w:themeColor="text1"/>
                <w:lang w:val="en-US" w:eastAsia="zh-CN"/>
              </w:rPr>
              <w:t>、NOx、TVOC（本项目以非甲烷总烃表征）</w:t>
            </w:r>
            <w:r>
              <w:rPr>
                <w:rFonts w:hint="default" w:ascii="Times New Roman" w:hAnsi="Times New Roman" w:eastAsia="宋体" w:cs="Times New Roman"/>
                <w:color w:val="000000" w:themeColor="text1"/>
              </w:rPr>
              <w:t>，</w:t>
            </w:r>
            <w:r>
              <w:rPr>
                <w:rFonts w:hint="eastAsia" w:ascii="Times New Roman" w:hAnsi="Times New Roman" w:cs="Times New Roman"/>
                <w:color w:val="000000" w:themeColor="text1"/>
                <w:sz w:val="24"/>
                <w:lang w:val="en-US" w:eastAsia="zh-CN"/>
              </w:rPr>
              <w:t>非甲烷总烃有</w:t>
            </w:r>
            <w:r>
              <w:rPr>
                <w:rFonts w:hint="eastAsia" w:ascii="Times New Roman" w:cs="Times New Roman"/>
                <w:color w:val="000000" w:themeColor="text1"/>
                <w:sz w:val="24"/>
                <w:lang w:eastAsia="zh-CN"/>
              </w:rPr>
              <w:t>组织排放及无组织排放</w:t>
            </w:r>
            <w:r>
              <w:rPr>
                <w:rFonts w:hint="eastAsia" w:hAnsi="宋体"/>
                <w:color w:val="000000" w:themeColor="text1"/>
                <w:sz w:val="24"/>
                <w:szCs w:val="24"/>
              </w:rPr>
              <w:t>厂界外</w:t>
            </w:r>
            <w:r>
              <w:rPr>
                <w:rFonts w:hint="eastAsia" w:ascii="Times New Roman" w:cs="Times New Roman"/>
                <w:color w:val="000000" w:themeColor="text1"/>
                <w:sz w:val="24"/>
                <w:lang w:eastAsia="zh-CN"/>
              </w:rPr>
              <w:t>执行</w:t>
            </w:r>
            <w:r>
              <w:rPr>
                <w:rFonts w:hint="default" w:ascii="Times New Roman" w:hAnsi="Times New Roman" w:cs="Times New Roman"/>
                <w:color w:val="000000" w:themeColor="text1"/>
                <w:sz w:val="24"/>
              </w:rPr>
              <w:t>江西省《挥发性有机物排放标准 第4部分：塑料制造业》（DB36/1101.</w:t>
            </w:r>
            <w:r>
              <w:rPr>
                <w:rFonts w:hint="eastAsia" w:ascii="Times New Roman" w:hAnsi="Times New Roman" w:cs="Times New Roman"/>
                <w:color w:val="000000" w:themeColor="text1"/>
                <w:sz w:val="24"/>
                <w:lang w:val="en-US" w:eastAsia="zh-CN"/>
              </w:rPr>
              <w:t>4</w:t>
            </w:r>
            <w:r>
              <w:rPr>
                <w:rFonts w:hint="default" w:ascii="Times New Roman" w:hAnsi="Times New Roman" w:cs="Times New Roman"/>
                <w:color w:val="000000" w:themeColor="text1"/>
                <w:sz w:val="24"/>
              </w:rPr>
              <w:t>-2019）中</w:t>
            </w:r>
            <w:r>
              <w:rPr>
                <w:rFonts w:hint="eastAsia" w:ascii="Times New Roman" w:cs="Times New Roman"/>
                <w:color w:val="000000" w:themeColor="text1"/>
                <w:sz w:val="24"/>
                <w:lang w:val="en-US" w:eastAsia="zh-CN"/>
              </w:rPr>
              <w:t>表1、</w:t>
            </w:r>
            <w:r>
              <w:rPr>
                <w:rFonts w:hint="default" w:ascii="Times New Roman" w:hAnsi="Times New Roman" w:cs="Times New Roman"/>
                <w:color w:val="000000" w:themeColor="text1"/>
                <w:sz w:val="24"/>
              </w:rPr>
              <w:t>表2</w:t>
            </w:r>
            <w:r>
              <w:rPr>
                <w:rFonts w:hAnsi="宋体"/>
                <w:color w:val="000000" w:themeColor="text1"/>
                <w:sz w:val="24"/>
                <w:szCs w:val="24"/>
              </w:rPr>
              <w:t>限</w:t>
            </w:r>
            <w:r>
              <w:rPr>
                <w:rFonts w:hint="eastAsia" w:hAnsi="宋体"/>
                <w:color w:val="000000" w:themeColor="text1"/>
                <w:sz w:val="24"/>
                <w:szCs w:val="24"/>
                <w:lang w:val="en-US" w:eastAsia="zh-CN"/>
              </w:rPr>
              <w:t>值</w:t>
            </w:r>
            <w:r>
              <w:rPr>
                <w:rFonts w:hAnsi="宋体"/>
                <w:color w:val="000000" w:themeColor="text1"/>
                <w:sz w:val="24"/>
                <w:szCs w:val="24"/>
              </w:rPr>
              <w:t>要求</w:t>
            </w:r>
            <w:r>
              <w:rPr>
                <w:rFonts w:hint="eastAsia" w:cs="Times New Roman"/>
                <w:color w:val="000000" w:themeColor="text1"/>
                <w:sz w:val="24"/>
                <w:lang w:eastAsia="zh-CN"/>
              </w:rPr>
              <w:t>；</w:t>
            </w:r>
            <w:r>
              <w:rPr>
                <w:rFonts w:hint="eastAsia" w:ascii="Times New Roman" w:hAnsi="Times New Roman" w:cs="Times New Roman"/>
                <w:color w:val="000000" w:themeColor="text1"/>
                <w:lang w:val="en-US" w:eastAsia="zh-CN"/>
              </w:rPr>
              <w:t>臭气浓度</w:t>
            </w:r>
            <w:r>
              <w:rPr>
                <w:rFonts w:hint="default" w:ascii="Times New Roman" w:hAnsi="Times New Roman" w:cs="Times New Roman"/>
                <w:bCs/>
                <w:color w:val="000000" w:themeColor="text1"/>
              </w:rPr>
              <w:t>执行</w:t>
            </w:r>
            <w:r>
              <w:rPr>
                <w:rFonts w:hint="default" w:ascii="Times New Roman" w:hAnsi="Times New Roman" w:eastAsia="宋体" w:cs="Times New Roman"/>
                <w:bCs/>
                <w:color w:val="000000" w:themeColor="text1"/>
                <w:lang w:val="en-US" w:eastAsia="zh-CN"/>
              </w:rPr>
              <w:t>《恶臭污染物排放标准》（GB14554-93）</w:t>
            </w:r>
            <w:r>
              <w:rPr>
                <w:rFonts w:hint="eastAsia" w:ascii="Times New Roman" w:hAnsi="Times New Roman" w:eastAsia="宋体" w:cs="Times New Roman"/>
                <w:bCs/>
                <w:color w:val="000000" w:themeColor="text1"/>
                <w:lang w:val="en-US" w:eastAsia="zh-CN"/>
              </w:rPr>
              <w:t>相关限值要求；</w:t>
            </w:r>
            <w:r>
              <w:rPr>
                <w:rFonts w:hint="eastAsia" w:ascii="Times New Roman" w:cs="Times New Roman"/>
                <w:color w:val="000000" w:themeColor="text1"/>
                <w:sz w:val="24"/>
                <w:lang w:val="en-US" w:eastAsia="zh-CN"/>
              </w:rPr>
              <w:t>厂区内非甲烷总烃</w:t>
            </w:r>
            <w:r>
              <w:rPr>
                <w:rFonts w:hAnsi="宋体"/>
                <w:color w:val="000000" w:themeColor="text1"/>
                <w:sz w:val="24"/>
                <w:szCs w:val="24"/>
              </w:rPr>
              <w:t>执行《挥发性有机物无组织排放控制标准》</w:t>
            </w:r>
            <w:r>
              <w:rPr>
                <w:rFonts w:hint="default" w:ascii="Times New Roman" w:hAnsi="Times New Roman" w:eastAsia="宋体" w:cs="Times New Roman"/>
                <w:color w:val="000000" w:themeColor="text1"/>
                <w:spacing w:val="0"/>
                <w:kern w:val="2"/>
                <w:sz w:val="24"/>
                <w:szCs w:val="22"/>
                <w:lang w:val="en-US" w:eastAsia="zh-CN" w:bidi="ar-SA"/>
              </w:rPr>
              <w:t>（GB37822-2019）</w:t>
            </w:r>
            <w:r>
              <w:rPr>
                <w:rFonts w:hAnsi="宋体"/>
                <w:color w:val="000000" w:themeColor="text1"/>
                <w:sz w:val="24"/>
                <w:szCs w:val="24"/>
              </w:rPr>
              <w:t>限</w:t>
            </w:r>
            <w:r>
              <w:rPr>
                <w:rFonts w:hint="eastAsia" w:hAnsi="宋体"/>
                <w:color w:val="000000" w:themeColor="text1"/>
                <w:sz w:val="24"/>
                <w:szCs w:val="24"/>
                <w:lang w:val="en-US" w:eastAsia="zh-CN"/>
              </w:rPr>
              <w:t>值</w:t>
            </w:r>
            <w:r>
              <w:rPr>
                <w:rFonts w:hAnsi="宋体"/>
                <w:color w:val="000000" w:themeColor="text1"/>
                <w:sz w:val="24"/>
                <w:szCs w:val="24"/>
              </w:rPr>
              <w:t>要求</w:t>
            </w:r>
            <w:r>
              <w:rPr>
                <w:rFonts w:hint="eastAsia" w:hAnsi="宋体"/>
                <w:color w:val="000000" w:themeColor="text1"/>
                <w:sz w:val="24"/>
                <w:szCs w:val="24"/>
                <w:lang w:eastAsia="zh-CN"/>
              </w:rPr>
              <w:t>。</w:t>
            </w:r>
          </w:p>
          <w:p w14:paraId="26FDEC5E">
            <w:pPr>
              <w:ind w:firstLine="480"/>
              <w:rPr>
                <w:rFonts w:hint="default" w:ascii="Times New Roman" w:hAnsi="Times New Roman" w:eastAsia="宋体" w:cs="Times New Roman"/>
                <w:bCs/>
                <w:color w:val="000000" w:themeColor="text1"/>
                <w:lang w:val="en-US" w:eastAsia="zh-CN"/>
              </w:rPr>
            </w:pPr>
            <w:r>
              <w:rPr>
                <w:rFonts w:hint="eastAsia" w:cs="Times New Roman"/>
                <w:color w:val="000000" w:themeColor="text1"/>
                <w:lang w:val="en-US" w:eastAsia="zh-CN"/>
              </w:rPr>
              <w:t>因本项目为炭黑处理，废气与热风炉的天然气燃烧尾气合并排放，故DA001的</w:t>
            </w:r>
            <w:r>
              <w:rPr>
                <w:rFonts w:hint="eastAsia" w:ascii="Times New Roman" w:hAnsi="Times New Roman" w:cs="Times New Roman"/>
                <w:color w:val="000000" w:themeColor="text1"/>
                <w:lang w:val="en-US" w:eastAsia="zh-CN"/>
              </w:rPr>
              <w:t>TS</w:t>
            </w:r>
            <w:r>
              <w:rPr>
                <w:rFonts w:hint="eastAsia" w:cs="Times New Roman"/>
                <w:color w:val="000000" w:themeColor="text1"/>
                <w:lang w:val="en-US" w:eastAsia="zh-CN"/>
              </w:rPr>
              <w:t>P执行</w:t>
            </w:r>
            <w:r>
              <w:rPr>
                <w:rFonts w:hint="default" w:ascii="Times New Roman" w:hAnsi="Times New Roman" w:eastAsia="宋体" w:cs="Times New Roman"/>
                <w:b w:val="0"/>
                <w:bCs w:val="0"/>
                <w:color w:val="000000" w:themeColor="text1"/>
                <w:kern w:val="0"/>
                <w:sz w:val="24"/>
                <w:szCs w:val="24"/>
                <w:highlight w:val="none"/>
                <w:lang w:val="en-US" w:eastAsia="zh-CN" w:bidi="ar"/>
              </w:rPr>
              <w:t>《工业炉窑大气污染物排放标准》（GB9078-1996）</w:t>
            </w:r>
            <w:r>
              <w:rPr>
                <w:rFonts w:hint="eastAsia" w:ascii="Times New Roman" w:hAnsi="Times New Roman" w:eastAsia="宋体" w:cs="Times New Roman"/>
                <w:b w:val="0"/>
                <w:bCs w:val="0"/>
                <w:color w:val="000000" w:themeColor="text1"/>
                <w:kern w:val="0"/>
                <w:sz w:val="24"/>
                <w:szCs w:val="24"/>
                <w:highlight w:val="none"/>
                <w:lang w:val="en-US" w:eastAsia="zh-CN" w:bidi="ar"/>
              </w:rPr>
              <w:t>和承诺限值较严值，承诺限值如下：</w:t>
            </w:r>
            <w:r>
              <w:rPr>
                <w:rFonts w:hint="eastAsia" w:ascii="Times New Roman" w:hAnsi="Times New Roman" w:cs="Times New Roman"/>
                <w:color w:val="000000" w:themeColor="text1"/>
                <w:lang w:val="en-US" w:eastAsia="zh-CN"/>
              </w:rPr>
              <w:t>TSP（炭黑尘）</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15</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0.36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r>
              <w:rPr>
                <w:rFonts w:hint="eastAsia" w:ascii="Times New Roman" w:hAnsi="Times New Roman" w:cs="Times New Roman"/>
                <w:bCs/>
                <w:color w:val="000000" w:themeColor="text1"/>
                <w:lang w:val="en-US" w:eastAsia="zh-CN"/>
              </w:rPr>
              <w:t>无组织监控浓度限值为生产装置不得有明显的无组织排放</w:t>
            </w:r>
            <w:r>
              <w:rPr>
                <w:rFonts w:hint="default" w:ascii="Times New Roman" w:hAnsi="Times New Roman" w:eastAsia="宋体" w:cs="Times New Roman"/>
                <w:color w:val="000000" w:themeColor="text1"/>
              </w:rPr>
              <w:t>。</w:t>
            </w:r>
            <w:r>
              <w:rPr>
                <w:rFonts w:hint="eastAsia" w:ascii="Times New Roman" w:hAnsi="Times New Roman" w:cs="Times New Roman"/>
                <w:color w:val="000000" w:themeColor="text1"/>
                <w:lang w:val="en-US" w:eastAsia="zh-CN"/>
              </w:rPr>
              <w:t>SO</w:t>
            </w:r>
            <w:r>
              <w:rPr>
                <w:rFonts w:hint="eastAsia" w:ascii="Times New Roman" w:hAnsi="Times New Roman" w:cs="Times New Roman"/>
                <w:color w:val="000000" w:themeColor="text1"/>
                <w:vertAlign w:val="subscript"/>
                <w:lang w:val="en-US" w:eastAsia="zh-CN"/>
              </w:rPr>
              <w:t>2</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1.6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val="en-US" w:eastAsia="zh-CN"/>
              </w:rPr>
              <w:t>。</w:t>
            </w:r>
            <w:r>
              <w:rPr>
                <w:rFonts w:hint="eastAsia" w:ascii="Times New Roman" w:hAnsi="Times New Roman" w:cs="Times New Roman"/>
                <w:color w:val="000000" w:themeColor="text1"/>
                <w:lang w:val="en-US" w:eastAsia="zh-CN"/>
              </w:rPr>
              <w:t>NOx</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0.47</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val="en-US" w:eastAsia="zh-CN"/>
              </w:rPr>
              <w:t>。</w:t>
            </w:r>
          </w:p>
          <w:p w14:paraId="34178E84">
            <w:pPr>
              <w:pStyle w:val="2"/>
              <w:keepNext/>
              <w:keepLines w:val="0"/>
              <w:pageBreakBefore w:val="0"/>
              <w:widowControl w:val="0"/>
              <w:kinsoku/>
              <w:wordWrap/>
              <w:overflowPunct w:val="0"/>
              <w:topLinePunct w:val="0"/>
              <w:autoSpaceDE/>
              <w:autoSpaceDN/>
              <w:bidi w:val="0"/>
              <w:adjustRightInd/>
              <w:snapToGrid w:val="0"/>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表</w:t>
            </w:r>
            <w:r>
              <w:rPr>
                <w:rFonts w:hint="default" w:ascii="Times New Roman" w:hAnsi="Times New Roman" w:eastAsia="宋体" w:cs="Times New Roman"/>
                <w:color w:val="000000" w:themeColor="text1"/>
                <w:sz w:val="21"/>
                <w:szCs w:val="21"/>
              </w:rPr>
              <w:t>3-1</w:t>
            </w:r>
            <w:r>
              <w:rPr>
                <w:rFonts w:hint="eastAsia" w:ascii="Times New Roman" w:hAnsi="Times New Roman" w:eastAsia="宋体" w:cs="Times New Roman"/>
                <w:color w:val="000000" w:themeColor="text1"/>
                <w:sz w:val="21"/>
                <w:szCs w:val="21"/>
                <w:lang w:val="en-US" w:eastAsia="zh-CN"/>
              </w:rPr>
              <w:t>2</w:t>
            </w:r>
            <w:r>
              <w:rPr>
                <w:rFonts w:hint="default" w:ascii="Times New Roman" w:hAnsi="Times New Roman" w:eastAsia="宋体" w:cs="Times New Roman"/>
                <w:color w:val="000000" w:themeColor="text1"/>
                <w:sz w:val="21"/>
                <w:szCs w:val="21"/>
              </w:rPr>
              <w:t xml:space="preserve"> </w:t>
            </w:r>
            <w:r>
              <w:rPr>
                <w:rFonts w:hint="eastAsia" w:eastAsia="宋体" w:cs="Times New Roman"/>
                <w:color w:val="000000" w:themeColor="text1"/>
                <w:sz w:val="21"/>
                <w:szCs w:val="21"/>
                <w:lang w:val="en-US" w:eastAsia="zh-CN"/>
              </w:rPr>
              <w:t xml:space="preserve"> </w:t>
            </w:r>
            <w:r>
              <w:rPr>
                <w:rFonts w:hint="default" w:ascii="Times New Roman" w:hAnsi="Times New Roman" w:cs="Times New Roman"/>
                <w:bCs/>
                <w:color w:val="000000" w:themeColor="text1"/>
                <w:sz w:val="22"/>
                <w:szCs w:val="20"/>
              </w:rPr>
              <w:t>项目有组织废气污染物排放标准</w:t>
            </w:r>
            <w:r>
              <w:rPr>
                <w:rFonts w:hint="default" w:ascii="Times New Roman" w:hAnsi="Times New Roman" w:eastAsia="宋体" w:cs="Times New Roman"/>
                <w:color w:val="000000" w:themeColor="text1"/>
                <w:sz w:val="20"/>
                <w:szCs w:val="20"/>
                <w:lang w:val="zh-CN"/>
              </w:rPr>
              <w:t xml:space="preserve">   </w:t>
            </w:r>
            <w:r>
              <w:rPr>
                <w:rFonts w:hint="default" w:ascii="Times New Roman" w:hAnsi="Times New Roman" w:eastAsia="宋体" w:cs="Times New Roman"/>
                <w:color w:val="000000" w:themeColor="text1"/>
                <w:sz w:val="21"/>
                <w:szCs w:val="21"/>
                <w:lang w:val="zh-CN"/>
              </w:rPr>
              <w:t xml:space="preserve">  单位：mg/m³</w:t>
            </w:r>
          </w:p>
          <w:tbl>
            <w:tblPr>
              <w:tblStyle w:val="131"/>
              <w:tblW w:w="836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31"/>
              <w:gridCol w:w="938"/>
              <w:gridCol w:w="847"/>
              <w:gridCol w:w="1402"/>
              <w:gridCol w:w="961"/>
              <w:gridCol w:w="900"/>
              <w:gridCol w:w="940"/>
              <w:gridCol w:w="793"/>
              <w:gridCol w:w="857"/>
            </w:tblGrid>
            <w:tr w14:paraId="5B96B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731" w:type="dxa"/>
                  <w:vMerge w:val="restart"/>
                  <w:tcBorders>
                    <w:tl2br w:val="nil"/>
                    <w:tr2bl w:val="nil"/>
                  </w:tcBorders>
                  <w:vAlign w:val="center"/>
                </w:tcPr>
                <w:p w14:paraId="59C5E261">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污染物</w:t>
                  </w:r>
                </w:p>
              </w:tc>
              <w:tc>
                <w:tcPr>
                  <w:tcW w:w="3187" w:type="dxa"/>
                  <w:gridSpan w:val="3"/>
                  <w:tcBorders>
                    <w:tl2br w:val="nil"/>
                    <w:tr2bl w:val="nil"/>
                  </w:tcBorders>
                  <w:vAlign w:val="center"/>
                </w:tcPr>
                <w:p w14:paraId="6B4F8B01">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国家或地方标准限值</w:t>
                  </w:r>
                </w:p>
              </w:tc>
              <w:tc>
                <w:tcPr>
                  <w:tcW w:w="1861" w:type="dxa"/>
                  <w:gridSpan w:val="2"/>
                  <w:tcBorders>
                    <w:tl2br w:val="nil"/>
                    <w:tr2bl w:val="nil"/>
                  </w:tcBorders>
                  <w:vAlign w:val="center"/>
                </w:tcPr>
                <w:p w14:paraId="5129F3AD">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承诺限值</w:t>
                  </w:r>
                </w:p>
              </w:tc>
              <w:tc>
                <w:tcPr>
                  <w:tcW w:w="1733" w:type="dxa"/>
                  <w:gridSpan w:val="2"/>
                  <w:tcBorders>
                    <w:tl2br w:val="nil"/>
                    <w:tr2bl w:val="nil"/>
                  </w:tcBorders>
                  <w:vAlign w:val="center"/>
                </w:tcPr>
                <w:p w14:paraId="1D3B1F20">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本项目执行限值</w:t>
                  </w:r>
                </w:p>
              </w:tc>
              <w:tc>
                <w:tcPr>
                  <w:tcW w:w="857" w:type="dxa"/>
                  <w:vMerge w:val="restart"/>
                  <w:tcBorders>
                    <w:tl2br w:val="nil"/>
                    <w:tr2bl w:val="nil"/>
                  </w:tcBorders>
                  <w:vAlign w:val="center"/>
                </w:tcPr>
                <w:p w14:paraId="6B537C28">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z w:val="21"/>
                      <w:szCs w:val="21"/>
                    </w:rPr>
                    <w:t>污染物排放监</w:t>
                  </w:r>
                  <w:r>
                    <w:rPr>
                      <w:rFonts w:hint="default" w:ascii="Times New Roman" w:hAnsi="Times New Roman" w:cs="Times New Roman"/>
                      <w:b/>
                      <w:color w:val="000000" w:themeColor="text1"/>
                      <w:szCs w:val="22"/>
                      <w:lang w:val="en-US" w:eastAsia="zh-CN"/>
                    </w:rPr>
                    <w:t>控位置</w:t>
                  </w:r>
                </w:p>
              </w:tc>
            </w:tr>
            <w:tr w14:paraId="0FA64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53" w:hRule="atLeast"/>
                <w:jc w:val="center"/>
              </w:trPr>
              <w:tc>
                <w:tcPr>
                  <w:tcW w:w="731" w:type="dxa"/>
                  <w:vMerge w:val="continue"/>
                  <w:tcBorders>
                    <w:tl2br w:val="nil"/>
                    <w:tr2bl w:val="nil"/>
                  </w:tcBorders>
                  <w:vAlign w:val="center"/>
                </w:tcPr>
                <w:p w14:paraId="59C09BCD">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p>
              </w:tc>
              <w:tc>
                <w:tcPr>
                  <w:tcW w:w="938" w:type="dxa"/>
                  <w:tcBorders>
                    <w:tl2br w:val="nil"/>
                    <w:tr2bl w:val="nil"/>
                  </w:tcBorders>
                  <w:vAlign w:val="center"/>
                </w:tcPr>
                <w:p w14:paraId="55FE5080">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最高允许排放浓度</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847" w:type="dxa"/>
                  <w:tcBorders>
                    <w:tl2br w:val="nil"/>
                    <w:tr2bl w:val="nil"/>
                  </w:tcBorders>
                  <w:vAlign w:val="center"/>
                </w:tcPr>
                <w:p w14:paraId="6F30F5B8">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w:t>
                  </w:r>
                </w:p>
                <w:p w14:paraId="0290FF21">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速率</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lang w:val="en-US" w:eastAsia="zh-CN"/>
                    </w:rPr>
                    <w:t>kg/h</w:t>
                  </w:r>
                  <w:r>
                    <w:rPr>
                      <w:rFonts w:hint="default" w:ascii="Times New Roman" w:hAnsi="Times New Roman" w:eastAsia="宋体" w:cs="Times New Roman"/>
                      <w:b/>
                      <w:color w:val="000000" w:themeColor="text1"/>
                      <w:sz w:val="21"/>
                      <w:szCs w:val="21"/>
                      <w:lang w:eastAsia="zh-CN"/>
                    </w:rPr>
                    <w:t>）</w:t>
                  </w:r>
                </w:p>
              </w:tc>
              <w:tc>
                <w:tcPr>
                  <w:tcW w:w="1402" w:type="dxa"/>
                  <w:tcBorders>
                    <w:tl2br w:val="nil"/>
                    <w:tr2bl w:val="nil"/>
                  </w:tcBorders>
                  <w:vAlign w:val="center"/>
                </w:tcPr>
                <w:p w14:paraId="4CCBBE8D">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标准来源</w:t>
                  </w:r>
                </w:p>
              </w:tc>
              <w:tc>
                <w:tcPr>
                  <w:tcW w:w="961" w:type="dxa"/>
                  <w:tcBorders>
                    <w:tl2br w:val="nil"/>
                    <w:tr2bl w:val="nil"/>
                  </w:tcBorders>
                  <w:vAlign w:val="center"/>
                </w:tcPr>
                <w:p w14:paraId="142C7878">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最高允许排放浓度</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900" w:type="dxa"/>
                  <w:tcBorders>
                    <w:tl2br w:val="nil"/>
                    <w:tr2bl w:val="nil"/>
                  </w:tcBorders>
                  <w:vAlign w:val="center"/>
                </w:tcPr>
                <w:p w14:paraId="2483600F">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最高允许排放速率</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lang w:val="en-US" w:eastAsia="zh-CN"/>
                    </w:rPr>
                    <w:t>kg/h</w:t>
                  </w:r>
                  <w:r>
                    <w:rPr>
                      <w:rFonts w:hint="default" w:ascii="Times New Roman" w:hAnsi="Times New Roman" w:eastAsia="宋体" w:cs="Times New Roman"/>
                      <w:b/>
                      <w:color w:val="000000" w:themeColor="text1"/>
                      <w:sz w:val="21"/>
                      <w:szCs w:val="21"/>
                      <w:lang w:eastAsia="zh-CN"/>
                    </w:rPr>
                    <w:t>）</w:t>
                  </w:r>
                </w:p>
              </w:tc>
              <w:tc>
                <w:tcPr>
                  <w:tcW w:w="940" w:type="dxa"/>
                  <w:tcBorders>
                    <w:tl2br w:val="nil"/>
                    <w:tr2bl w:val="nil"/>
                  </w:tcBorders>
                  <w:vAlign w:val="center"/>
                </w:tcPr>
                <w:p w14:paraId="61733EF8">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最高允许排放浓度</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793" w:type="dxa"/>
                  <w:tcBorders>
                    <w:tl2br w:val="nil"/>
                    <w:tr2bl w:val="nil"/>
                  </w:tcBorders>
                  <w:vAlign w:val="center"/>
                </w:tcPr>
                <w:p w14:paraId="1FCE22AB">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最高允许排放速率</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lang w:val="en-US" w:eastAsia="zh-CN"/>
                    </w:rPr>
                    <w:t>kg/h</w:t>
                  </w:r>
                  <w:r>
                    <w:rPr>
                      <w:rFonts w:hint="default" w:ascii="Times New Roman" w:hAnsi="Times New Roman" w:eastAsia="宋体" w:cs="Times New Roman"/>
                      <w:b/>
                      <w:color w:val="000000" w:themeColor="text1"/>
                      <w:sz w:val="21"/>
                      <w:szCs w:val="21"/>
                      <w:lang w:eastAsia="zh-CN"/>
                    </w:rPr>
                    <w:t>）</w:t>
                  </w:r>
                </w:p>
              </w:tc>
              <w:tc>
                <w:tcPr>
                  <w:tcW w:w="857" w:type="dxa"/>
                  <w:vMerge w:val="continue"/>
                  <w:tcBorders>
                    <w:tl2br w:val="nil"/>
                    <w:tr2bl w:val="nil"/>
                  </w:tcBorders>
                  <w:vAlign w:val="center"/>
                </w:tcPr>
                <w:p w14:paraId="61D15D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r>
            <w:tr w14:paraId="2B3964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731" w:type="dxa"/>
                  <w:tcBorders>
                    <w:tl2br w:val="nil"/>
                    <w:tr2bl w:val="nil"/>
                  </w:tcBorders>
                  <w:vAlign w:val="center"/>
                </w:tcPr>
                <w:p w14:paraId="3F8DBAA4">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cs="Times New Roman"/>
                      <w:color w:val="000000" w:themeColor="text1"/>
                      <w:sz w:val="21"/>
                      <w:szCs w:val="21"/>
                      <w:lang w:val="en-US" w:eastAsia="zh-CN"/>
                    </w:rPr>
                  </w:pPr>
                  <w:r>
                    <w:rPr>
                      <w:rFonts w:hint="default" w:ascii="Times New Roman" w:hAnsi="Times New Roman" w:cs="Times New Roman"/>
                      <w:color w:val="000000" w:themeColor="text1"/>
                      <w:spacing w:val="11"/>
                      <w:sz w:val="21"/>
                      <w:szCs w:val="21"/>
                      <w:lang w:val="en-US" w:eastAsia="zh-CN"/>
                    </w:rPr>
                    <w:t>颗粒物</w:t>
                  </w:r>
                  <w:r>
                    <w:rPr>
                      <w:rFonts w:hint="eastAsia" w:cs="Times New Roman"/>
                      <w:color w:val="000000" w:themeColor="text1"/>
                      <w:spacing w:val="11"/>
                      <w:sz w:val="21"/>
                      <w:szCs w:val="21"/>
                      <w:lang w:val="en-US" w:eastAsia="zh-CN"/>
                    </w:rPr>
                    <w:t>（本项目为炭黑尘）</w:t>
                  </w:r>
                </w:p>
              </w:tc>
              <w:tc>
                <w:tcPr>
                  <w:tcW w:w="938" w:type="dxa"/>
                  <w:tcBorders>
                    <w:tl2br w:val="nil"/>
                    <w:tr2bl w:val="nil"/>
                  </w:tcBorders>
                  <w:vAlign w:val="center"/>
                </w:tcPr>
                <w:p w14:paraId="3DE8C640">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val="0"/>
                      <w:bCs/>
                      <w:color w:val="000000" w:themeColor="text1"/>
                      <w:szCs w:val="22"/>
                      <w:lang w:val="en-US"/>
                    </w:rPr>
                  </w:pPr>
                  <w:r>
                    <w:rPr>
                      <w:rFonts w:hint="eastAsia" w:ascii="Times New Roman" w:hAnsi="Times New Roman" w:cs="Times New Roman"/>
                      <w:color w:val="000000" w:themeColor="text1"/>
                      <w:spacing w:val="11"/>
                      <w:sz w:val="21"/>
                      <w:szCs w:val="21"/>
                      <w:lang w:val="en-US" w:eastAsia="zh-CN"/>
                    </w:rPr>
                    <w:t>200</w:t>
                  </w:r>
                </w:p>
              </w:tc>
              <w:tc>
                <w:tcPr>
                  <w:tcW w:w="847" w:type="dxa"/>
                  <w:tcBorders>
                    <w:tl2br w:val="nil"/>
                    <w:tr2bl w:val="nil"/>
                  </w:tcBorders>
                  <w:vAlign w:val="center"/>
                </w:tcPr>
                <w:p w14:paraId="617F93B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1402" w:type="dxa"/>
                  <w:vMerge w:val="restart"/>
                  <w:tcBorders>
                    <w:tl2br w:val="nil"/>
                    <w:tr2bl w:val="nil"/>
                  </w:tcBorders>
                  <w:vAlign w:val="center"/>
                </w:tcPr>
                <w:p w14:paraId="02E28EA2">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000000" w:themeColor="text1"/>
                      <w:sz w:val="21"/>
                      <w:szCs w:val="18"/>
                    </w:rPr>
                  </w:pPr>
                  <w:r>
                    <w:rPr>
                      <w:rFonts w:hint="default" w:ascii="Times New Roman" w:hAnsi="Times New Roman" w:eastAsia="宋体" w:cs="Times New Roman"/>
                      <w:b w:val="0"/>
                      <w:bCs/>
                      <w:color w:val="000000" w:themeColor="text1"/>
                      <w:spacing w:val="-1"/>
                      <w:sz w:val="21"/>
                      <w:szCs w:val="21"/>
                      <w:lang w:val="en-US" w:eastAsia="zh-CN"/>
                    </w:rPr>
                    <w:t>《工业炉窑大气污染物排放标准》（GB9078-1996）</w:t>
                  </w:r>
                </w:p>
              </w:tc>
              <w:tc>
                <w:tcPr>
                  <w:tcW w:w="961" w:type="dxa"/>
                  <w:tcBorders>
                    <w:tl2br w:val="nil"/>
                    <w:tr2bl w:val="nil"/>
                  </w:tcBorders>
                  <w:vAlign w:val="center"/>
                </w:tcPr>
                <w:p w14:paraId="08E12C1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15</w:t>
                  </w:r>
                </w:p>
              </w:tc>
              <w:tc>
                <w:tcPr>
                  <w:tcW w:w="900" w:type="dxa"/>
                  <w:tcBorders>
                    <w:tl2br w:val="nil"/>
                    <w:tr2bl w:val="nil"/>
                  </w:tcBorders>
                  <w:vAlign w:val="center"/>
                </w:tcPr>
                <w:p w14:paraId="013D9DAD">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0.36</w:t>
                  </w:r>
                </w:p>
              </w:tc>
              <w:tc>
                <w:tcPr>
                  <w:tcW w:w="940" w:type="dxa"/>
                  <w:tcBorders>
                    <w:tl2br w:val="nil"/>
                    <w:tr2bl w:val="nil"/>
                  </w:tcBorders>
                  <w:vAlign w:val="center"/>
                </w:tcPr>
                <w:p w14:paraId="72AE7AD4">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lang w:val="en-US" w:eastAsia="zh-CN"/>
                    </w:rPr>
                    <w:t>15</w:t>
                  </w:r>
                </w:p>
              </w:tc>
              <w:tc>
                <w:tcPr>
                  <w:tcW w:w="793" w:type="dxa"/>
                  <w:tcBorders>
                    <w:tl2br w:val="nil"/>
                    <w:tr2bl w:val="nil"/>
                  </w:tcBorders>
                  <w:vAlign w:val="center"/>
                </w:tcPr>
                <w:p w14:paraId="670E64EE">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0.36</w:t>
                  </w:r>
                </w:p>
              </w:tc>
              <w:tc>
                <w:tcPr>
                  <w:tcW w:w="857" w:type="dxa"/>
                  <w:vMerge w:val="restart"/>
                  <w:tcBorders>
                    <w:tl2br w:val="nil"/>
                    <w:tr2bl w:val="nil"/>
                  </w:tcBorders>
                  <w:vAlign w:val="center"/>
                </w:tcPr>
                <w:p w14:paraId="38F28C5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r>
                    <w:rPr>
                      <w:rFonts w:hint="default" w:ascii="Times New Roman" w:hAnsi="Times New Roman" w:eastAsia="宋体" w:cs="Times New Roman"/>
                      <w:b w:val="0"/>
                      <w:bCs/>
                      <w:color w:val="000000" w:themeColor="text1"/>
                      <w:szCs w:val="22"/>
                      <w:lang w:val="en-US" w:eastAsia="zh-CN"/>
                    </w:rPr>
                    <w:t>排气筒（A0</w:t>
                  </w:r>
                  <w:r>
                    <w:rPr>
                      <w:rFonts w:hint="eastAsia" w:ascii="Times New Roman" w:hAnsi="Times New Roman" w:eastAsia="宋体" w:cs="Times New Roman"/>
                      <w:b w:val="0"/>
                      <w:bCs/>
                      <w:color w:val="000000" w:themeColor="text1"/>
                      <w:szCs w:val="22"/>
                      <w:lang w:val="en-US" w:eastAsia="zh-CN"/>
                    </w:rPr>
                    <w:t>0</w:t>
                  </w:r>
                  <w:r>
                    <w:rPr>
                      <w:rFonts w:hint="eastAsia" w:cs="Times New Roman"/>
                      <w:b w:val="0"/>
                      <w:bCs/>
                      <w:color w:val="000000" w:themeColor="text1"/>
                      <w:szCs w:val="22"/>
                      <w:lang w:val="en-US" w:eastAsia="zh-CN"/>
                    </w:rPr>
                    <w:t>1，20m</w:t>
                  </w:r>
                  <w:r>
                    <w:rPr>
                      <w:rFonts w:hint="default" w:ascii="Times New Roman" w:hAnsi="Times New Roman" w:eastAsia="宋体" w:cs="Times New Roman"/>
                      <w:b w:val="0"/>
                      <w:bCs/>
                      <w:color w:val="000000" w:themeColor="text1"/>
                      <w:szCs w:val="22"/>
                      <w:lang w:val="en-US" w:eastAsia="zh-CN"/>
                    </w:rPr>
                    <w:t>）</w:t>
                  </w:r>
                </w:p>
              </w:tc>
            </w:tr>
            <w:tr w14:paraId="33EAE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9" w:hRule="atLeast"/>
                <w:jc w:val="center"/>
              </w:trPr>
              <w:tc>
                <w:tcPr>
                  <w:tcW w:w="731" w:type="dxa"/>
                  <w:tcBorders>
                    <w:tl2br w:val="nil"/>
                    <w:tr2bl w:val="nil"/>
                  </w:tcBorders>
                  <w:vAlign w:val="center"/>
                </w:tcPr>
                <w:p w14:paraId="0065C7A8">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SO</w:t>
                  </w:r>
                  <w:r>
                    <w:rPr>
                      <w:rFonts w:hint="eastAsia" w:cs="Times New Roman"/>
                      <w:color w:val="000000" w:themeColor="text1"/>
                      <w:sz w:val="21"/>
                      <w:szCs w:val="21"/>
                      <w:vertAlign w:val="subscript"/>
                      <w:lang w:val="en-US" w:eastAsia="zh-CN"/>
                    </w:rPr>
                    <w:t>2</w:t>
                  </w:r>
                </w:p>
              </w:tc>
              <w:tc>
                <w:tcPr>
                  <w:tcW w:w="938" w:type="dxa"/>
                  <w:tcBorders>
                    <w:tl2br w:val="nil"/>
                    <w:tr2bl w:val="nil"/>
                  </w:tcBorders>
                  <w:vAlign w:val="center"/>
                </w:tcPr>
                <w:p w14:paraId="4C7DBCBD">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847" w:type="dxa"/>
                  <w:tcBorders>
                    <w:tl2br w:val="nil"/>
                    <w:tr2bl w:val="nil"/>
                  </w:tcBorders>
                  <w:vAlign w:val="center"/>
                </w:tcPr>
                <w:p w14:paraId="228F727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1402" w:type="dxa"/>
                  <w:vMerge w:val="continue"/>
                  <w:tcBorders>
                    <w:tl2br w:val="nil"/>
                    <w:tr2bl w:val="nil"/>
                  </w:tcBorders>
                  <w:vAlign w:val="center"/>
                </w:tcPr>
                <w:p w14:paraId="5333A9E7">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000000" w:themeColor="text1"/>
                      <w:sz w:val="21"/>
                      <w:szCs w:val="18"/>
                    </w:rPr>
                  </w:pPr>
                </w:p>
              </w:tc>
              <w:tc>
                <w:tcPr>
                  <w:tcW w:w="961" w:type="dxa"/>
                  <w:tcBorders>
                    <w:tl2br w:val="nil"/>
                    <w:tr2bl w:val="nil"/>
                  </w:tcBorders>
                  <w:vAlign w:val="center"/>
                </w:tcPr>
                <w:p w14:paraId="01682AA9">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200</w:t>
                  </w:r>
                </w:p>
              </w:tc>
              <w:tc>
                <w:tcPr>
                  <w:tcW w:w="900" w:type="dxa"/>
                  <w:tcBorders>
                    <w:tl2br w:val="nil"/>
                    <w:tr2bl w:val="nil"/>
                  </w:tcBorders>
                  <w:vAlign w:val="center"/>
                </w:tcPr>
                <w:p w14:paraId="76B120E1">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1.6</w:t>
                  </w:r>
                </w:p>
              </w:tc>
              <w:tc>
                <w:tcPr>
                  <w:tcW w:w="940" w:type="dxa"/>
                  <w:tcBorders>
                    <w:tl2br w:val="nil"/>
                    <w:tr2bl w:val="nil"/>
                  </w:tcBorders>
                  <w:vAlign w:val="center"/>
                </w:tcPr>
                <w:p w14:paraId="0FFEEF09">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eastAsia" w:cs="Times New Roman"/>
                      <w:b w:val="0"/>
                      <w:bCs/>
                      <w:color w:val="000000" w:themeColor="text1"/>
                      <w:szCs w:val="22"/>
                      <w:lang w:val="en-US" w:eastAsia="zh-CN"/>
                    </w:rPr>
                    <w:t>200</w:t>
                  </w:r>
                </w:p>
              </w:tc>
              <w:tc>
                <w:tcPr>
                  <w:tcW w:w="793" w:type="dxa"/>
                  <w:tcBorders>
                    <w:tl2br w:val="nil"/>
                    <w:tr2bl w:val="nil"/>
                  </w:tcBorders>
                  <w:vAlign w:val="center"/>
                </w:tcPr>
                <w:p w14:paraId="6C9E6B2E">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1.6</w:t>
                  </w:r>
                </w:p>
              </w:tc>
              <w:tc>
                <w:tcPr>
                  <w:tcW w:w="857" w:type="dxa"/>
                  <w:vMerge w:val="continue"/>
                  <w:tcBorders>
                    <w:tl2br w:val="nil"/>
                    <w:tr2bl w:val="nil"/>
                  </w:tcBorders>
                  <w:vAlign w:val="center"/>
                </w:tcPr>
                <w:p w14:paraId="075C5A42">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p>
              </w:tc>
            </w:tr>
            <w:tr w14:paraId="28594B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731" w:type="dxa"/>
                  <w:tcBorders>
                    <w:tl2br w:val="nil"/>
                    <w:tr2bl w:val="nil"/>
                  </w:tcBorders>
                  <w:vAlign w:val="center"/>
                </w:tcPr>
                <w:p w14:paraId="58CDD517">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NOx</w:t>
                  </w:r>
                </w:p>
              </w:tc>
              <w:tc>
                <w:tcPr>
                  <w:tcW w:w="938" w:type="dxa"/>
                  <w:tcBorders>
                    <w:tl2br w:val="nil"/>
                    <w:tr2bl w:val="nil"/>
                  </w:tcBorders>
                  <w:vAlign w:val="center"/>
                </w:tcPr>
                <w:p w14:paraId="5D1D9DA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847" w:type="dxa"/>
                  <w:tcBorders>
                    <w:tl2br w:val="nil"/>
                    <w:tr2bl w:val="nil"/>
                  </w:tcBorders>
                  <w:vAlign w:val="center"/>
                </w:tcPr>
                <w:p w14:paraId="238DFBF6">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1402" w:type="dxa"/>
                  <w:vMerge w:val="continue"/>
                  <w:tcBorders>
                    <w:tl2br w:val="nil"/>
                    <w:tr2bl w:val="nil"/>
                  </w:tcBorders>
                  <w:vAlign w:val="center"/>
                </w:tcPr>
                <w:p w14:paraId="722AFFF5">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000000" w:themeColor="text1"/>
                      <w:sz w:val="21"/>
                      <w:szCs w:val="18"/>
                    </w:rPr>
                  </w:pPr>
                </w:p>
              </w:tc>
              <w:tc>
                <w:tcPr>
                  <w:tcW w:w="961" w:type="dxa"/>
                  <w:tcBorders>
                    <w:tl2br w:val="nil"/>
                    <w:tr2bl w:val="nil"/>
                  </w:tcBorders>
                  <w:vAlign w:val="center"/>
                </w:tcPr>
                <w:p w14:paraId="7C38D3DF">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200</w:t>
                  </w:r>
                </w:p>
              </w:tc>
              <w:tc>
                <w:tcPr>
                  <w:tcW w:w="900" w:type="dxa"/>
                  <w:tcBorders>
                    <w:tl2br w:val="nil"/>
                    <w:tr2bl w:val="nil"/>
                  </w:tcBorders>
                  <w:vAlign w:val="center"/>
                </w:tcPr>
                <w:p w14:paraId="7FC45AB2">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0.47</w:t>
                  </w:r>
                </w:p>
              </w:tc>
              <w:tc>
                <w:tcPr>
                  <w:tcW w:w="940" w:type="dxa"/>
                  <w:tcBorders>
                    <w:tl2br w:val="nil"/>
                    <w:tr2bl w:val="nil"/>
                  </w:tcBorders>
                  <w:vAlign w:val="center"/>
                </w:tcPr>
                <w:p w14:paraId="56AD956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eastAsia" w:cs="Times New Roman"/>
                      <w:b w:val="0"/>
                      <w:bCs/>
                      <w:color w:val="000000" w:themeColor="text1"/>
                      <w:szCs w:val="22"/>
                      <w:lang w:val="en-US" w:eastAsia="zh-CN"/>
                    </w:rPr>
                    <w:t>200</w:t>
                  </w:r>
                </w:p>
              </w:tc>
              <w:tc>
                <w:tcPr>
                  <w:tcW w:w="793" w:type="dxa"/>
                  <w:tcBorders>
                    <w:tl2br w:val="nil"/>
                    <w:tr2bl w:val="nil"/>
                  </w:tcBorders>
                  <w:vAlign w:val="center"/>
                </w:tcPr>
                <w:p w14:paraId="63AF287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eastAsia" w:cs="Times New Roman"/>
                      <w:b w:val="0"/>
                      <w:bCs/>
                      <w:color w:val="000000" w:themeColor="text1"/>
                      <w:szCs w:val="22"/>
                      <w:lang w:val="en-US" w:eastAsia="zh-CN"/>
                    </w:rPr>
                    <w:t>0.47</w:t>
                  </w:r>
                </w:p>
              </w:tc>
              <w:tc>
                <w:tcPr>
                  <w:tcW w:w="857" w:type="dxa"/>
                  <w:vMerge w:val="continue"/>
                  <w:tcBorders>
                    <w:tl2br w:val="nil"/>
                    <w:tr2bl w:val="nil"/>
                  </w:tcBorders>
                  <w:vAlign w:val="center"/>
                </w:tcPr>
                <w:p w14:paraId="46C99A23">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p>
              </w:tc>
            </w:tr>
            <w:tr w14:paraId="05AFA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731" w:type="dxa"/>
                  <w:tcBorders>
                    <w:tl2br w:val="nil"/>
                    <w:tr2bl w:val="nil"/>
                  </w:tcBorders>
                  <w:vAlign w:val="center"/>
                </w:tcPr>
                <w:p w14:paraId="48C10AA8">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臭气浓度</w:t>
                  </w:r>
                </w:p>
              </w:tc>
              <w:tc>
                <w:tcPr>
                  <w:tcW w:w="938" w:type="dxa"/>
                  <w:tcBorders>
                    <w:tl2br w:val="nil"/>
                    <w:tr2bl w:val="nil"/>
                  </w:tcBorders>
                  <w:vAlign w:val="center"/>
                </w:tcPr>
                <w:p w14:paraId="7AC5CAA7">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b w:val="0"/>
                      <w:bCs/>
                      <w:color w:val="000000" w:themeColor="text1"/>
                      <w:szCs w:val="22"/>
                      <w:lang w:val="en-US" w:eastAsia="zh-CN"/>
                    </w:rPr>
                  </w:pPr>
                  <w:r>
                    <w:rPr>
                      <w:rFonts w:hint="eastAsia" w:cs="Times New Roman"/>
                      <w:b w:val="0"/>
                      <w:bCs/>
                      <w:color w:val="000000" w:themeColor="text1"/>
                      <w:szCs w:val="22"/>
                      <w:lang w:val="en-US" w:eastAsia="zh-CN"/>
                    </w:rPr>
                    <w:t>2000</w:t>
                  </w:r>
                </w:p>
              </w:tc>
              <w:tc>
                <w:tcPr>
                  <w:tcW w:w="847" w:type="dxa"/>
                  <w:tcBorders>
                    <w:tl2br w:val="nil"/>
                    <w:tr2bl w:val="nil"/>
                  </w:tcBorders>
                  <w:vAlign w:val="center"/>
                </w:tcPr>
                <w:p w14:paraId="0CE909D7">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
                      <w:sz w:val="21"/>
                      <w:szCs w:val="21"/>
                      <w:lang w:val="en-US" w:eastAsia="zh-CN"/>
                    </w:rPr>
                  </w:pPr>
                  <w:r>
                    <w:rPr>
                      <w:rFonts w:hint="eastAsia" w:ascii="Times New Roman" w:hAnsi="Times New Roman" w:eastAsia="宋体" w:cs="Times New Roman"/>
                      <w:b w:val="0"/>
                      <w:bCs/>
                      <w:color w:val="000000" w:themeColor="text1"/>
                      <w:spacing w:val="-1"/>
                      <w:sz w:val="21"/>
                      <w:szCs w:val="21"/>
                      <w:lang w:val="en-US" w:eastAsia="zh-CN"/>
                    </w:rPr>
                    <w:t>/</w:t>
                  </w:r>
                </w:p>
              </w:tc>
              <w:tc>
                <w:tcPr>
                  <w:tcW w:w="1402" w:type="dxa"/>
                  <w:tcBorders>
                    <w:tl2br w:val="nil"/>
                    <w:tr2bl w:val="nil"/>
                  </w:tcBorders>
                  <w:vAlign w:val="center"/>
                </w:tcPr>
                <w:p w14:paraId="154838D0">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
                      <w:sz w:val="21"/>
                      <w:szCs w:val="21"/>
                    </w:rPr>
                  </w:pPr>
                  <w:r>
                    <w:rPr>
                      <w:rFonts w:hint="default" w:ascii="Times New Roman" w:hAnsi="Times New Roman" w:eastAsia="宋体" w:cs="Times New Roman"/>
                      <w:b w:val="0"/>
                      <w:bCs/>
                      <w:color w:val="000000" w:themeColor="text1"/>
                      <w:spacing w:val="-1"/>
                      <w:sz w:val="21"/>
                      <w:szCs w:val="21"/>
                    </w:rPr>
                    <w:t>《恶臭污染物排放标准》</w:t>
                  </w:r>
                </w:p>
                <w:p w14:paraId="1D061388">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
                      <w:sz w:val="21"/>
                      <w:szCs w:val="21"/>
                    </w:rPr>
                  </w:pPr>
                  <w:r>
                    <w:rPr>
                      <w:rFonts w:hint="eastAsia" w:cs="Times New Roman"/>
                      <w:b w:val="0"/>
                      <w:bCs/>
                      <w:color w:val="000000" w:themeColor="text1"/>
                      <w:spacing w:val="-1"/>
                      <w:sz w:val="21"/>
                      <w:szCs w:val="21"/>
                      <w:lang w:eastAsia="zh-CN"/>
                    </w:rPr>
                    <w:t>(</w:t>
                  </w:r>
                  <w:r>
                    <w:rPr>
                      <w:rFonts w:hint="default" w:ascii="Times New Roman" w:hAnsi="Times New Roman" w:eastAsia="宋体" w:cs="Times New Roman"/>
                      <w:b w:val="0"/>
                      <w:bCs/>
                      <w:color w:val="000000" w:themeColor="text1"/>
                      <w:spacing w:val="-1"/>
                      <w:sz w:val="21"/>
                      <w:szCs w:val="21"/>
                    </w:rPr>
                    <w:t>GB14554-93</w:t>
                  </w:r>
                  <w:r>
                    <w:rPr>
                      <w:rFonts w:hint="eastAsia" w:cs="Times New Roman"/>
                      <w:b w:val="0"/>
                      <w:bCs/>
                      <w:color w:val="000000" w:themeColor="text1"/>
                      <w:spacing w:val="-1"/>
                      <w:sz w:val="21"/>
                      <w:szCs w:val="21"/>
                      <w:lang w:eastAsia="zh-CN"/>
                    </w:rPr>
                    <w:t>)</w:t>
                  </w:r>
                </w:p>
              </w:tc>
              <w:tc>
                <w:tcPr>
                  <w:tcW w:w="961" w:type="dxa"/>
                  <w:tcBorders>
                    <w:tl2br w:val="nil"/>
                    <w:tr2bl w:val="nil"/>
                  </w:tcBorders>
                  <w:vAlign w:val="center"/>
                </w:tcPr>
                <w:p w14:paraId="0FBCACE3">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
                      <w:sz w:val="21"/>
                      <w:szCs w:val="21"/>
                      <w:lang w:val="en-US" w:eastAsia="zh-CN"/>
                    </w:rPr>
                  </w:pPr>
                  <w:r>
                    <w:rPr>
                      <w:rFonts w:hint="eastAsia" w:ascii="Times New Roman" w:hAnsi="Times New Roman" w:eastAsia="宋体" w:cs="Times New Roman"/>
                      <w:b w:val="0"/>
                      <w:bCs/>
                      <w:color w:val="000000" w:themeColor="text1"/>
                      <w:spacing w:val="-1"/>
                      <w:sz w:val="21"/>
                      <w:szCs w:val="21"/>
                      <w:lang w:val="en-US" w:eastAsia="zh-CN"/>
                    </w:rPr>
                    <w:t>/</w:t>
                  </w:r>
                </w:p>
              </w:tc>
              <w:tc>
                <w:tcPr>
                  <w:tcW w:w="900" w:type="dxa"/>
                  <w:tcBorders>
                    <w:tl2br w:val="nil"/>
                    <w:tr2bl w:val="nil"/>
                  </w:tcBorders>
                  <w:vAlign w:val="center"/>
                </w:tcPr>
                <w:p w14:paraId="3CC86A9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940" w:type="dxa"/>
                  <w:tcBorders>
                    <w:tl2br w:val="nil"/>
                    <w:tr2bl w:val="nil"/>
                  </w:tcBorders>
                  <w:vAlign w:val="center"/>
                </w:tcPr>
                <w:p w14:paraId="2313F8D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b w:val="0"/>
                      <w:bCs/>
                      <w:color w:val="000000" w:themeColor="text1"/>
                      <w:szCs w:val="22"/>
                      <w:lang w:val="en-US" w:eastAsia="zh-CN"/>
                    </w:rPr>
                  </w:pPr>
                  <w:r>
                    <w:rPr>
                      <w:rFonts w:hint="eastAsia" w:cs="Times New Roman"/>
                      <w:b w:val="0"/>
                      <w:bCs/>
                      <w:color w:val="000000" w:themeColor="text1"/>
                      <w:szCs w:val="22"/>
                      <w:lang w:val="en-US" w:eastAsia="zh-CN"/>
                    </w:rPr>
                    <w:t>2000</w:t>
                  </w:r>
                </w:p>
              </w:tc>
              <w:tc>
                <w:tcPr>
                  <w:tcW w:w="793" w:type="dxa"/>
                  <w:tcBorders>
                    <w:tl2br w:val="nil"/>
                    <w:tr2bl w:val="nil"/>
                  </w:tcBorders>
                  <w:vAlign w:val="center"/>
                </w:tcPr>
                <w:p w14:paraId="33A2CCA7">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cs="Times New Roman"/>
                      <w:b w:val="0"/>
                      <w:bCs/>
                      <w:color w:val="000000" w:themeColor="text1"/>
                      <w:szCs w:val="22"/>
                      <w:lang w:val="en-US" w:eastAsia="zh-CN"/>
                    </w:rPr>
                  </w:pPr>
                  <w:r>
                    <w:rPr>
                      <w:rFonts w:hint="eastAsia" w:cs="Times New Roman"/>
                      <w:b w:val="0"/>
                      <w:bCs/>
                      <w:color w:val="000000" w:themeColor="text1"/>
                      <w:szCs w:val="22"/>
                      <w:lang w:val="en-US" w:eastAsia="zh-CN"/>
                    </w:rPr>
                    <w:t>/</w:t>
                  </w:r>
                </w:p>
              </w:tc>
              <w:tc>
                <w:tcPr>
                  <w:tcW w:w="857" w:type="dxa"/>
                  <w:vMerge w:val="restart"/>
                  <w:tcBorders>
                    <w:tl2br w:val="nil"/>
                    <w:tr2bl w:val="nil"/>
                  </w:tcBorders>
                  <w:vAlign w:val="center"/>
                </w:tcPr>
                <w:p w14:paraId="732D27C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r>
                    <w:rPr>
                      <w:rFonts w:hint="default" w:ascii="Times New Roman" w:hAnsi="Times New Roman" w:eastAsia="宋体" w:cs="Times New Roman"/>
                      <w:b w:val="0"/>
                      <w:bCs/>
                      <w:color w:val="000000" w:themeColor="text1"/>
                      <w:szCs w:val="22"/>
                      <w:lang w:val="en-US" w:eastAsia="zh-CN"/>
                    </w:rPr>
                    <w:t>排气筒（A0</w:t>
                  </w:r>
                  <w:r>
                    <w:rPr>
                      <w:rFonts w:hint="eastAsia" w:ascii="Times New Roman" w:hAnsi="Times New Roman" w:eastAsia="宋体" w:cs="Times New Roman"/>
                      <w:b w:val="0"/>
                      <w:bCs/>
                      <w:color w:val="000000" w:themeColor="text1"/>
                      <w:szCs w:val="22"/>
                      <w:lang w:val="en-US" w:eastAsia="zh-CN"/>
                    </w:rPr>
                    <w:t>0</w:t>
                  </w:r>
                  <w:r>
                    <w:rPr>
                      <w:rFonts w:hint="eastAsia" w:cs="Times New Roman"/>
                      <w:b w:val="0"/>
                      <w:bCs/>
                      <w:color w:val="000000" w:themeColor="text1"/>
                      <w:szCs w:val="22"/>
                      <w:lang w:val="en-US" w:eastAsia="zh-CN"/>
                    </w:rPr>
                    <w:t>2，20m</w:t>
                  </w:r>
                  <w:r>
                    <w:rPr>
                      <w:rFonts w:hint="default" w:ascii="Times New Roman" w:hAnsi="Times New Roman" w:eastAsia="宋体" w:cs="Times New Roman"/>
                      <w:b w:val="0"/>
                      <w:bCs/>
                      <w:color w:val="000000" w:themeColor="text1"/>
                      <w:szCs w:val="22"/>
                      <w:lang w:val="en-US" w:eastAsia="zh-CN"/>
                    </w:rPr>
                    <w:t>）</w:t>
                  </w:r>
                </w:p>
              </w:tc>
            </w:tr>
            <w:tr w14:paraId="42AFA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34" w:hRule="atLeast"/>
                <w:jc w:val="center"/>
              </w:trPr>
              <w:tc>
                <w:tcPr>
                  <w:tcW w:w="731" w:type="dxa"/>
                  <w:tcBorders>
                    <w:tl2br w:val="nil"/>
                    <w:tr2bl w:val="nil"/>
                  </w:tcBorders>
                  <w:vAlign w:val="center"/>
                </w:tcPr>
                <w:p w14:paraId="5217D0E6">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eastAsia" w:cs="Times New Roman"/>
                      <w:color w:val="000000" w:themeColor="text1"/>
                      <w:sz w:val="21"/>
                      <w:szCs w:val="21"/>
                      <w:lang w:val="en-US" w:eastAsia="zh-CN"/>
                    </w:rPr>
                    <w:t>非甲烷总烃</w:t>
                  </w:r>
                </w:p>
              </w:tc>
              <w:tc>
                <w:tcPr>
                  <w:tcW w:w="938" w:type="dxa"/>
                  <w:tcBorders>
                    <w:tl2br w:val="nil"/>
                    <w:tr2bl w:val="nil"/>
                  </w:tcBorders>
                  <w:vAlign w:val="center"/>
                </w:tcPr>
                <w:p w14:paraId="5025E41D">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rPr>
                    <w:t>20</w:t>
                  </w:r>
                </w:p>
              </w:tc>
              <w:tc>
                <w:tcPr>
                  <w:tcW w:w="847" w:type="dxa"/>
                  <w:tcBorders>
                    <w:tl2br w:val="nil"/>
                    <w:tr2bl w:val="nil"/>
                  </w:tcBorders>
                  <w:vAlign w:val="center"/>
                </w:tcPr>
                <w:p w14:paraId="52C1D0DA">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eastAsia="zh-CN"/>
                    </w:rPr>
                  </w:pPr>
                  <w:r>
                    <w:rPr>
                      <w:rFonts w:hint="default" w:ascii="Times New Roman" w:hAnsi="Times New Roman" w:cs="Times New Roman"/>
                      <w:b w:val="0"/>
                      <w:bCs/>
                      <w:color w:val="000000" w:themeColor="text1"/>
                      <w:szCs w:val="22"/>
                      <w:lang w:val="en-US" w:eastAsia="zh-CN"/>
                    </w:rPr>
                    <w:t>/</w:t>
                  </w:r>
                </w:p>
              </w:tc>
              <w:tc>
                <w:tcPr>
                  <w:tcW w:w="1402" w:type="dxa"/>
                  <w:tcBorders>
                    <w:tl2br w:val="nil"/>
                    <w:tr2bl w:val="nil"/>
                  </w:tcBorders>
                  <w:vAlign w:val="center"/>
                </w:tcPr>
                <w:p w14:paraId="4EF8C2C6">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color w:val="000000" w:themeColor="text1"/>
                      <w:sz w:val="21"/>
                      <w:szCs w:val="18"/>
                    </w:rPr>
                    <w:t>《挥发性有机物排放标准 第4部分：塑料制造业》（DB36/1101.</w:t>
                  </w:r>
                  <w:r>
                    <w:rPr>
                      <w:rFonts w:hint="eastAsia" w:ascii="Times New Roman" w:hAnsi="Times New Roman" w:cs="Times New Roman"/>
                      <w:color w:val="000000" w:themeColor="text1"/>
                      <w:sz w:val="21"/>
                      <w:szCs w:val="18"/>
                      <w:lang w:val="en-US" w:eastAsia="zh-CN"/>
                    </w:rPr>
                    <w:t>4</w:t>
                  </w:r>
                  <w:r>
                    <w:rPr>
                      <w:rFonts w:hint="default" w:ascii="Times New Roman" w:hAnsi="Times New Roman" w:cs="Times New Roman"/>
                      <w:color w:val="000000" w:themeColor="text1"/>
                      <w:sz w:val="21"/>
                      <w:szCs w:val="18"/>
                    </w:rPr>
                    <w:t>-2019）</w:t>
                  </w:r>
                </w:p>
              </w:tc>
              <w:tc>
                <w:tcPr>
                  <w:tcW w:w="961" w:type="dxa"/>
                  <w:tcBorders>
                    <w:tl2br w:val="nil"/>
                    <w:tr2bl w:val="nil"/>
                  </w:tcBorders>
                  <w:vAlign w:val="center"/>
                </w:tcPr>
                <w:p w14:paraId="2E9AF02B">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lang w:val="en-US" w:eastAsia="zh-CN"/>
                    </w:rPr>
                    <w:t>/</w:t>
                  </w:r>
                </w:p>
              </w:tc>
              <w:tc>
                <w:tcPr>
                  <w:tcW w:w="900" w:type="dxa"/>
                  <w:tcBorders>
                    <w:tl2br w:val="nil"/>
                    <w:tr2bl w:val="nil"/>
                  </w:tcBorders>
                  <w:vAlign w:val="center"/>
                </w:tcPr>
                <w:p w14:paraId="59E8A656">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lang w:val="en-US" w:eastAsia="zh-CN"/>
                    </w:rPr>
                    <w:t>/</w:t>
                  </w:r>
                </w:p>
              </w:tc>
              <w:tc>
                <w:tcPr>
                  <w:tcW w:w="940" w:type="dxa"/>
                  <w:tcBorders>
                    <w:tl2br w:val="nil"/>
                    <w:tr2bl w:val="nil"/>
                  </w:tcBorders>
                  <w:vAlign w:val="center"/>
                </w:tcPr>
                <w:p w14:paraId="7D71B49B">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rPr>
                    <w:t>20</w:t>
                  </w:r>
                </w:p>
              </w:tc>
              <w:tc>
                <w:tcPr>
                  <w:tcW w:w="793" w:type="dxa"/>
                  <w:tcBorders>
                    <w:tl2br w:val="nil"/>
                    <w:tr2bl w:val="nil"/>
                  </w:tcBorders>
                  <w:vAlign w:val="center"/>
                </w:tcPr>
                <w:p w14:paraId="79BD97C3">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rPr>
                  </w:pPr>
                  <w:r>
                    <w:rPr>
                      <w:rFonts w:hint="default" w:ascii="Times New Roman" w:hAnsi="Times New Roman" w:cs="Times New Roman"/>
                      <w:b w:val="0"/>
                      <w:bCs/>
                      <w:color w:val="000000" w:themeColor="text1"/>
                      <w:szCs w:val="22"/>
                      <w:lang w:val="en-US" w:eastAsia="zh-CN"/>
                    </w:rPr>
                    <w:t>/</w:t>
                  </w:r>
                </w:p>
              </w:tc>
              <w:tc>
                <w:tcPr>
                  <w:tcW w:w="857" w:type="dxa"/>
                  <w:vMerge w:val="continue"/>
                  <w:tcBorders>
                    <w:tl2br w:val="nil"/>
                    <w:tr2bl w:val="nil"/>
                  </w:tcBorders>
                  <w:vAlign w:val="center"/>
                </w:tcPr>
                <w:p w14:paraId="6616EC45">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p>
              </w:tc>
            </w:tr>
            <w:tr w14:paraId="4AC2D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93" w:hRule="atLeast"/>
                <w:jc w:val="center"/>
              </w:trPr>
              <w:tc>
                <w:tcPr>
                  <w:tcW w:w="731" w:type="dxa"/>
                  <w:tcBorders>
                    <w:tl2br w:val="nil"/>
                    <w:tr2bl w:val="nil"/>
                  </w:tcBorders>
                  <w:vAlign w:val="center"/>
                </w:tcPr>
                <w:p w14:paraId="1F8AF5D1">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1"/>
                      <w:sz w:val="21"/>
                      <w:szCs w:val="21"/>
                      <w:lang w:val="en-US" w:eastAsia="zh-CN"/>
                    </w:rPr>
                  </w:pPr>
                  <w:r>
                    <w:rPr>
                      <w:rFonts w:hint="default" w:ascii="Times New Roman" w:hAnsi="Times New Roman" w:cs="Times New Roman"/>
                      <w:color w:val="000000" w:themeColor="text1"/>
                      <w:spacing w:val="11"/>
                      <w:sz w:val="21"/>
                      <w:szCs w:val="21"/>
                      <w:lang w:val="en-US" w:eastAsia="zh-CN"/>
                    </w:rPr>
                    <w:t>颗粒物</w:t>
                  </w:r>
                  <w:r>
                    <w:rPr>
                      <w:rFonts w:hint="eastAsia" w:cs="Times New Roman"/>
                      <w:color w:val="000000" w:themeColor="text1"/>
                      <w:spacing w:val="11"/>
                      <w:sz w:val="21"/>
                      <w:szCs w:val="21"/>
                      <w:lang w:val="en-US" w:eastAsia="zh-CN"/>
                    </w:rPr>
                    <w:t>（本项目为炭黑尘）</w:t>
                  </w:r>
                </w:p>
              </w:tc>
              <w:tc>
                <w:tcPr>
                  <w:tcW w:w="938" w:type="dxa"/>
                  <w:tcBorders>
                    <w:tl2br w:val="nil"/>
                    <w:tr2bl w:val="nil"/>
                  </w:tcBorders>
                  <w:vAlign w:val="center"/>
                </w:tcPr>
                <w:p w14:paraId="46124C8D">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1"/>
                      <w:sz w:val="21"/>
                      <w:szCs w:val="21"/>
                      <w:lang w:val="en-US" w:eastAsia="zh-CN"/>
                    </w:rPr>
                  </w:pPr>
                  <w:r>
                    <w:rPr>
                      <w:rFonts w:hint="eastAsia" w:ascii="Times New Roman" w:hAnsi="Times New Roman" w:cs="Times New Roman"/>
                      <w:color w:val="000000" w:themeColor="text1"/>
                      <w:spacing w:val="11"/>
                      <w:sz w:val="21"/>
                      <w:szCs w:val="21"/>
                      <w:lang w:val="en-US" w:eastAsia="zh-CN"/>
                    </w:rPr>
                    <w:t>18</w:t>
                  </w:r>
                </w:p>
              </w:tc>
              <w:tc>
                <w:tcPr>
                  <w:tcW w:w="847" w:type="dxa"/>
                  <w:tcBorders>
                    <w:tl2br w:val="nil"/>
                    <w:tr2bl w:val="nil"/>
                  </w:tcBorders>
                  <w:vAlign w:val="center"/>
                </w:tcPr>
                <w:p w14:paraId="7E805D75">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000000" w:themeColor="text1"/>
                      <w:szCs w:val="22"/>
                      <w:lang w:val="en-US" w:eastAsia="zh-CN"/>
                    </w:rPr>
                  </w:pPr>
                  <w:r>
                    <w:rPr>
                      <w:rFonts w:hint="default" w:ascii="Times New Roman" w:hAnsi="Times New Roman" w:cs="Times New Roman"/>
                      <w:b w:val="0"/>
                      <w:bCs/>
                      <w:color w:val="000000" w:themeColor="text1"/>
                      <w:szCs w:val="22"/>
                      <w:lang w:val="en-US" w:eastAsia="zh-CN"/>
                    </w:rPr>
                    <w:t>0.</w:t>
                  </w:r>
                  <w:r>
                    <w:rPr>
                      <w:rFonts w:hint="eastAsia" w:cs="Times New Roman"/>
                      <w:b w:val="0"/>
                      <w:bCs/>
                      <w:color w:val="000000" w:themeColor="text1"/>
                      <w:szCs w:val="22"/>
                      <w:lang w:val="en-US" w:eastAsia="zh-CN"/>
                    </w:rPr>
                    <w:t>51</w:t>
                  </w:r>
                </w:p>
              </w:tc>
              <w:tc>
                <w:tcPr>
                  <w:tcW w:w="1402" w:type="dxa"/>
                  <w:tcBorders>
                    <w:tl2br w:val="nil"/>
                    <w:tr2bl w:val="nil"/>
                  </w:tcBorders>
                  <w:vAlign w:val="center"/>
                </w:tcPr>
                <w:p w14:paraId="0043753B">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color w:val="000000" w:themeColor="text1"/>
                      <w:szCs w:val="22"/>
                    </w:rPr>
                  </w:pPr>
                  <w:r>
                    <w:rPr>
                      <w:rFonts w:hint="default" w:ascii="Times New Roman" w:hAnsi="Times New Roman" w:eastAsia="宋体" w:cs="Times New Roman"/>
                      <w:b w:val="0"/>
                      <w:bCs/>
                      <w:color w:val="000000" w:themeColor="text1"/>
                      <w:spacing w:val="-1"/>
                      <w:sz w:val="21"/>
                      <w:szCs w:val="21"/>
                    </w:rPr>
                    <w:t>《大气污染物综合排放标准》</w:t>
                  </w:r>
                  <w:r>
                    <w:rPr>
                      <w:rFonts w:hint="default" w:ascii="Times New Roman" w:hAnsi="Times New Roman" w:cs="Times New Roman"/>
                      <w:b w:val="0"/>
                      <w:bCs/>
                      <w:color w:val="000000" w:themeColor="text1"/>
                      <w:spacing w:val="-1"/>
                      <w:sz w:val="21"/>
                      <w:szCs w:val="21"/>
                      <w:lang w:eastAsia="zh-CN"/>
                    </w:rPr>
                    <w:t>（</w:t>
                  </w:r>
                  <w:r>
                    <w:rPr>
                      <w:rFonts w:hint="default" w:ascii="Times New Roman" w:hAnsi="Times New Roman" w:eastAsia="宋体" w:cs="Times New Roman"/>
                      <w:b w:val="0"/>
                      <w:bCs/>
                      <w:color w:val="000000" w:themeColor="text1"/>
                      <w:spacing w:val="-1"/>
                      <w:sz w:val="21"/>
                      <w:szCs w:val="21"/>
                    </w:rPr>
                    <w:t>GB16297-1996</w:t>
                  </w:r>
                  <w:r>
                    <w:rPr>
                      <w:rFonts w:hint="default" w:ascii="Times New Roman" w:hAnsi="Times New Roman" w:cs="Times New Roman"/>
                      <w:b w:val="0"/>
                      <w:bCs/>
                      <w:color w:val="000000" w:themeColor="text1"/>
                      <w:spacing w:val="-1"/>
                      <w:sz w:val="21"/>
                      <w:szCs w:val="21"/>
                      <w:lang w:eastAsia="zh-CN"/>
                    </w:rPr>
                    <w:t>）</w:t>
                  </w:r>
                </w:p>
              </w:tc>
              <w:tc>
                <w:tcPr>
                  <w:tcW w:w="961" w:type="dxa"/>
                  <w:tcBorders>
                    <w:tl2br w:val="nil"/>
                    <w:tr2bl w:val="nil"/>
                  </w:tcBorders>
                  <w:vAlign w:val="center"/>
                </w:tcPr>
                <w:p w14:paraId="261CBE29">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15</w:t>
                  </w:r>
                </w:p>
              </w:tc>
              <w:tc>
                <w:tcPr>
                  <w:tcW w:w="900" w:type="dxa"/>
                  <w:tcBorders>
                    <w:tl2br w:val="nil"/>
                    <w:tr2bl w:val="nil"/>
                  </w:tcBorders>
                  <w:vAlign w:val="center"/>
                </w:tcPr>
                <w:p w14:paraId="340D2858">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0.36</w:t>
                  </w:r>
                </w:p>
              </w:tc>
              <w:tc>
                <w:tcPr>
                  <w:tcW w:w="940" w:type="dxa"/>
                  <w:tcBorders>
                    <w:tl2br w:val="nil"/>
                    <w:tr2bl w:val="nil"/>
                  </w:tcBorders>
                  <w:vAlign w:val="center"/>
                </w:tcPr>
                <w:p w14:paraId="58CD1BD5">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1"/>
                      <w:sz w:val="21"/>
                      <w:szCs w:val="21"/>
                      <w:lang w:val="en-US" w:eastAsia="zh-CN"/>
                    </w:rPr>
                  </w:pPr>
                  <w:r>
                    <w:rPr>
                      <w:rFonts w:hint="default" w:ascii="Times New Roman" w:hAnsi="Times New Roman" w:cs="Times New Roman"/>
                      <w:b w:val="0"/>
                      <w:bCs/>
                      <w:color w:val="000000" w:themeColor="text1"/>
                      <w:szCs w:val="22"/>
                      <w:lang w:val="en-US" w:eastAsia="zh-CN"/>
                    </w:rPr>
                    <w:t>15</w:t>
                  </w:r>
                </w:p>
              </w:tc>
              <w:tc>
                <w:tcPr>
                  <w:tcW w:w="793" w:type="dxa"/>
                  <w:tcBorders>
                    <w:tl2br w:val="nil"/>
                    <w:tr2bl w:val="nil"/>
                  </w:tcBorders>
                  <w:vAlign w:val="center"/>
                </w:tcPr>
                <w:p w14:paraId="1166425D">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cs="Times New Roman"/>
                      <w:b w:val="0"/>
                      <w:bCs/>
                      <w:color w:val="000000" w:themeColor="text1"/>
                      <w:szCs w:val="22"/>
                      <w:lang w:val="en-US" w:eastAsia="zh-CN"/>
                    </w:rPr>
                  </w:pPr>
                  <w:r>
                    <w:rPr>
                      <w:rFonts w:hint="default" w:ascii="Times New Roman" w:hAnsi="Times New Roman" w:cs="Times New Roman"/>
                      <w:b w:val="0"/>
                      <w:bCs/>
                      <w:color w:val="000000" w:themeColor="text1"/>
                      <w:szCs w:val="22"/>
                      <w:lang w:val="en-US" w:eastAsia="zh-CN"/>
                    </w:rPr>
                    <w:t>0.36</w:t>
                  </w:r>
                </w:p>
              </w:tc>
              <w:tc>
                <w:tcPr>
                  <w:tcW w:w="857" w:type="dxa"/>
                  <w:vMerge w:val="continue"/>
                  <w:tcBorders>
                    <w:tl2br w:val="nil"/>
                    <w:tr2bl w:val="nil"/>
                  </w:tcBorders>
                  <w:vAlign w:val="center"/>
                </w:tcPr>
                <w:p w14:paraId="43D35BFF">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zCs w:val="22"/>
                      <w:lang w:val="en-US" w:eastAsia="zh-CN"/>
                    </w:rPr>
                  </w:pPr>
                </w:p>
              </w:tc>
            </w:tr>
          </w:tbl>
          <w:p w14:paraId="08B2B89E">
            <w:pPr>
              <w:pStyle w:val="2"/>
              <w:keepNext/>
              <w:keepLines w:val="0"/>
              <w:pageBreakBefore w:val="0"/>
              <w:widowControl w:val="0"/>
              <w:kinsoku/>
              <w:wordWrap/>
              <w:overflowPunct w:val="0"/>
              <w:topLinePunct w:val="0"/>
              <w:autoSpaceDE/>
              <w:autoSpaceDN/>
              <w:bidi w:val="0"/>
              <w:adjustRightInd/>
              <w:snapToGrid w:val="0"/>
              <w:spacing w:before="157" w:beforeLines="50"/>
              <w:textAlignment w:val="auto"/>
              <w:rPr>
                <w:rFonts w:hint="default" w:ascii="Times New Roman" w:hAnsi="Times New Roman" w:eastAsia="宋体" w:cs="Times New Roman"/>
                <w:color w:val="000000" w:themeColor="text1"/>
                <w:sz w:val="21"/>
                <w:szCs w:val="21"/>
                <w:lang w:val="zh-CN"/>
              </w:rPr>
            </w:pPr>
            <w:r>
              <w:rPr>
                <w:rFonts w:hint="default" w:ascii="Times New Roman" w:hAnsi="Times New Roman" w:eastAsia="宋体" w:cs="Times New Roman"/>
                <w:color w:val="000000" w:themeColor="text1"/>
                <w:sz w:val="21"/>
                <w:szCs w:val="21"/>
                <w:lang w:val="zh-CN"/>
              </w:rPr>
              <w:t>表</w:t>
            </w:r>
            <w:r>
              <w:rPr>
                <w:rFonts w:hint="default" w:ascii="Times New Roman" w:hAnsi="Times New Roman" w:eastAsia="宋体" w:cs="Times New Roman"/>
                <w:color w:val="000000" w:themeColor="text1"/>
                <w:sz w:val="21"/>
                <w:szCs w:val="21"/>
              </w:rPr>
              <w:t>3-1</w:t>
            </w:r>
            <w:r>
              <w:rPr>
                <w:rFonts w:hint="eastAsia" w:ascii="Times New Roman" w:hAnsi="Times New Roman" w:eastAsia="宋体" w:cs="Times New Roman"/>
                <w:color w:val="000000" w:themeColor="text1"/>
                <w:sz w:val="21"/>
                <w:szCs w:val="21"/>
                <w:lang w:val="en-US" w:eastAsia="zh-CN"/>
              </w:rPr>
              <w:t>3</w:t>
            </w:r>
            <w:r>
              <w:rPr>
                <w:rFonts w:hint="default" w:ascii="Times New Roman" w:hAnsi="Times New Roman" w:eastAsia="宋体" w:cs="Times New Roman"/>
                <w:color w:val="000000" w:themeColor="text1"/>
                <w:sz w:val="21"/>
                <w:szCs w:val="21"/>
              </w:rPr>
              <w:t xml:space="preserve"> </w:t>
            </w:r>
            <w:r>
              <w:rPr>
                <w:rFonts w:hint="eastAsia" w:eastAsia="宋体" w:cs="Times New Roman"/>
                <w:color w:val="000000" w:themeColor="text1"/>
                <w:sz w:val="21"/>
                <w:szCs w:val="21"/>
                <w:lang w:val="en-US" w:eastAsia="zh-CN"/>
              </w:rPr>
              <w:t xml:space="preserve"> </w:t>
            </w:r>
            <w:r>
              <w:rPr>
                <w:rFonts w:hint="default" w:ascii="Times New Roman" w:hAnsi="Times New Roman" w:eastAsia="宋体" w:cs="Times New Roman"/>
                <w:color w:val="000000" w:themeColor="text1"/>
                <w:sz w:val="21"/>
                <w:szCs w:val="21"/>
                <w:lang w:val="zh-CN"/>
              </w:rPr>
              <w:t>大气</w:t>
            </w:r>
            <w:r>
              <w:rPr>
                <w:rFonts w:hint="eastAsia" w:ascii="Times New Roman" w:hAnsi="Times New Roman" w:eastAsia="宋体" w:cs="Times New Roman"/>
                <w:color w:val="000000" w:themeColor="text1"/>
                <w:sz w:val="21"/>
                <w:szCs w:val="21"/>
                <w:lang w:val="en-US" w:eastAsia="zh-CN"/>
              </w:rPr>
              <w:t>无组织</w:t>
            </w:r>
            <w:r>
              <w:rPr>
                <w:rFonts w:hint="default" w:ascii="Times New Roman" w:hAnsi="Times New Roman" w:eastAsia="宋体" w:cs="Times New Roman"/>
                <w:color w:val="000000" w:themeColor="text1"/>
                <w:sz w:val="21"/>
                <w:szCs w:val="21"/>
                <w:lang w:val="zh-CN"/>
              </w:rPr>
              <w:t>污染物排放标准     单位：mg/m³</w:t>
            </w:r>
          </w:p>
          <w:tbl>
            <w:tblPr>
              <w:tblStyle w:val="131"/>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85"/>
              <w:gridCol w:w="1343"/>
              <w:gridCol w:w="2952"/>
              <w:gridCol w:w="1172"/>
              <w:gridCol w:w="1417"/>
              <w:gridCol w:w="749"/>
            </w:tblGrid>
            <w:tr w14:paraId="6A9DA1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785" w:type="dxa"/>
                  <w:vMerge w:val="restart"/>
                  <w:tcBorders>
                    <w:tl2br w:val="nil"/>
                    <w:tr2bl w:val="nil"/>
                  </w:tcBorders>
                  <w:vAlign w:val="center"/>
                </w:tcPr>
                <w:p w14:paraId="59645B68">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污染物</w:t>
                  </w:r>
                </w:p>
              </w:tc>
              <w:tc>
                <w:tcPr>
                  <w:tcW w:w="4295" w:type="dxa"/>
                  <w:gridSpan w:val="2"/>
                  <w:tcBorders>
                    <w:tl2br w:val="nil"/>
                    <w:tr2bl w:val="nil"/>
                  </w:tcBorders>
                  <w:vAlign w:val="center"/>
                </w:tcPr>
                <w:p w14:paraId="68033334">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国家或地方标准限值</w:t>
                  </w:r>
                </w:p>
              </w:tc>
              <w:tc>
                <w:tcPr>
                  <w:tcW w:w="1172" w:type="dxa"/>
                  <w:tcBorders>
                    <w:tl2br w:val="nil"/>
                    <w:tr2bl w:val="nil"/>
                  </w:tcBorders>
                  <w:vAlign w:val="center"/>
                </w:tcPr>
                <w:p w14:paraId="220C7DE3">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承诺限值</w:t>
                  </w:r>
                </w:p>
              </w:tc>
              <w:tc>
                <w:tcPr>
                  <w:tcW w:w="1417" w:type="dxa"/>
                  <w:tcBorders>
                    <w:tl2br w:val="nil"/>
                    <w:tr2bl w:val="nil"/>
                  </w:tcBorders>
                  <w:vAlign w:val="center"/>
                </w:tcPr>
                <w:p w14:paraId="5F718B26">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本项目执行限值</w:t>
                  </w:r>
                </w:p>
              </w:tc>
              <w:tc>
                <w:tcPr>
                  <w:tcW w:w="749" w:type="dxa"/>
                  <w:vMerge w:val="restart"/>
                  <w:tcBorders>
                    <w:tl2br w:val="nil"/>
                    <w:tr2bl w:val="nil"/>
                  </w:tcBorders>
                  <w:vAlign w:val="center"/>
                </w:tcPr>
                <w:p w14:paraId="13EE96B7">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污染物排放 监控位置</w:t>
                  </w:r>
                </w:p>
              </w:tc>
            </w:tr>
            <w:tr w14:paraId="40C241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785" w:type="dxa"/>
                  <w:vMerge w:val="continue"/>
                  <w:tcBorders>
                    <w:tl2br w:val="nil"/>
                    <w:tr2bl w:val="nil"/>
                  </w:tcBorders>
                  <w:vAlign w:val="center"/>
                </w:tcPr>
                <w:p w14:paraId="26988C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c>
                <w:tcPr>
                  <w:tcW w:w="1343" w:type="dxa"/>
                  <w:tcBorders>
                    <w:tl2br w:val="nil"/>
                    <w:tr2bl w:val="nil"/>
                  </w:tcBorders>
                  <w:vAlign w:val="center"/>
                </w:tcPr>
                <w:p w14:paraId="110F278C">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监控</w:t>
                  </w:r>
                  <w:r>
                    <w:rPr>
                      <w:rFonts w:hint="default" w:ascii="Times New Roman" w:hAnsi="Times New Roman" w:cs="Times New Roman"/>
                      <w:b/>
                      <w:color w:val="000000" w:themeColor="text1"/>
                      <w:sz w:val="21"/>
                      <w:szCs w:val="21"/>
                      <w:lang w:eastAsia="zh-CN"/>
                    </w:rPr>
                    <w:t>浓度限值</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2952" w:type="dxa"/>
                  <w:tcBorders>
                    <w:tl2br w:val="nil"/>
                    <w:tr2bl w:val="nil"/>
                  </w:tcBorders>
                  <w:vAlign w:val="center"/>
                </w:tcPr>
                <w:p w14:paraId="09FC3956">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标准来源</w:t>
                  </w:r>
                </w:p>
              </w:tc>
              <w:tc>
                <w:tcPr>
                  <w:tcW w:w="1172" w:type="dxa"/>
                  <w:tcBorders>
                    <w:tl2br w:val="nil"/>
                    <w:tr2bl w:val="nil"/>
                  </w:tcBorders>
                  <w:vAlign w:val="center"/>
                </w:tcPr>
                <w:p w14:paraId="6E3704F6">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监控</w:t>
                  </w:r>
                  <w:r>
                    <w:rPr>
                      <w:rFonts w:hint="default" w:ascii="Times New Roman" w:hAnsi="Times New Roman" w:cs="Times New Roman"/>
                      <w:b/>
                      <w:color w:val="000000" w:themeColor="text1"/>
                      <w:sz w:val="21"/>
                      <w:szCs w:val="21"/>
                      <w:lang w:eastAsia="zh-CN"/>
                    </w:rPr>
                    <w:t>浓度限值</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1417" w:type="dxa"/>
                  <w:tcBorders>
                    <w:tl2br w:val="nil"/>
                    <w:tr2bl w:val="nil"/>
                  </w:tcBorders>
                  <w:vAlign w:val="center"/>
                </w:tcPr>
                <w:p w14:paraId="3CD0417B">
                  <w:pPr>
                    <w:pStyle w:val="55"/>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监控</w:t>
                  </w:r>
                  <w:r>
                    <w:rPr>
                      <w:rFonts w:hint="default" w:ascii="Times New Roman" w:hAnsi="Times New Roman" w:cs="Times New Roman"/>
                      <w:b/>
                      <w:color w:val="000000" w:themeColor="text1"/>
                      <w:sz w:val="21"/>
                      <w:szCs w:val="21"/>
                      <w:lang w:eastAsia="zh-CN"/>
                    </w:rPr>
                    <w:t>浓度限值</w:t>
                  </w:r>
                  <w:r>
                    <w:rPr>
                      <w:rFonts w:hint="default" w:ascii="Times New Roman" w:hAnsi="Times New Roman" w:eastAsia="宋体" w:cs="Times New Roman"/>
                      <w:b/>
                      <w:color w:val="000000" w:themeColor="text1"/>
                      <w:sz w:val="21"/>
                      <w:szCs w:val="21"/>
                      <w:lang w:eastAsia="zh-CN"/>
                    </w:rPr>
                    <w:t>（</w:t>
                  </w:r>
                  <w:r>
                    <w:rPr>
                      <w:rFonts w:hint="default" w:ascii="Times New Roman" w:hAnsi="Times New Roman" w:eastAsia="宋体" w:cs="Times New Roman"/>
                      <w:b/>
                      <w:color w:val="000000" w:themeColor="text1"/>
                      <w:sz w:val="21"/>
                      <w:szCs w:val="21"/>
                    </w:rPr>
                    <w:t>mg</w:t>
                  </w:r>
                  <w:r>
                    <w:rPr>
                      <w:rFonts w:hint="default" w:ascii="Times New Roman" w:hAnsi="Times New Roman" w:eastAsia="宋体" w:cs="Times New Roman"/>
                      <w:b/>
                      <w:color w:val="000000" w:themeColor="text1"/>
                      <w:sz w:val="21"/>
                      <w:szCs w:val="21"/>
                      <w:lang w:val="en-US" w:eastAsia="zh-CN"/>
                    </w:rPr>
                    <w:t>/m</w:t>
                  </w:r>
                  <w:r>
                    <w:rPr>
                      <w:rFonts w:hint="default" w:ascii="Times New Roman" w:hAnsi="Times New Roman" w:eastAsia="宋体" w:cs="Times New Roman"/>
                      <w:b/>
                      <w:color w:val="000000" w:themeColor="text1"/>
                      <w:sz w:val="21"/>
                      <w:szCs w:val="21"/>
                      <w:vertAlign w:val="superscript"/>
                      <w:lang w:val="en-US" w:eastAsia="zh-CN"/>
                    </w:rPr>
                    <w:t>3</w:t>
                  </w:r>
                  <w:r>
                    <w:rPr>
                      <w:rFonts w:hint="default" w:ascii="Times New Roman" w:hAnsi="Times New Roman" w:eastAsia="宋体" w:cs="Times New Roman"/>
                      <w:b/>
                      <w:color w:val="000000" w:themeColor="text1"/>
                      <w:sz w:val="21"/>
                      <w:szCs w:val="21"/>
                      <w:lang w:eastAsia="zh-CN"/>
                    </w:rPr>
                    <w:t>）</w:t>
                  </w:r>
                </w:p>
              </w:tc>
              <w:tc>
                <w:tcPr>
                  <w:tcW w:w="749" w:type="dxa"/>
                  <w:vMerge w:val="continue"/>
                  <w:tcBorders>
                    <w:tl2br w:val="nil"/>
                    <w:tr2bl w:val="nil"/>
                  </w:tcBorders>
                  <w:vAlign w:val="center"/>
                </w:tcPr>
                <w:p w14:paraId="24C95F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r>
            <w:tr w14:paraId="3F343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23" w:hRule="atLeast"/>
                <w:jc w:val="center"/>
              </w:trPr>
              <w:tc>
                <w:tcPr>
                  <w:tcW w:w="785" w:type="dxa"/>
                  <w:tcBorders>
                    <w:tl2br w:val="nil"/>
                    <w:tr2bl w:val="nil"/>
                  </w:tcBorders>
                  <w:vAlign w:val="center"/>
                </w:tcPr>
                <w:p w14:paraId="66A504E1">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pacing w:val="-1"/>
                      <w:sz w:val="21"/>
                      <w:szCs w:val="21"/>
                      <w:lang w:eastAsia="zh-CN"/>
                    </w:rPr>
                  </w:pPr>
                  <w:r>
                    <w:rPr>
                      <w:rFonts w:hint="eastAsia" w:ascii="Times New Roman" w:hAnsi="Times New Roman" w:cs="Times New Roman"/>
                      <w:color w:val="000000" w:themeColor="text1"/>
                      <w:spacing w:val="-1"/>
                      <w:sz w:val="21"/>
                      <w:szCs w:val="21"/>
                      <w:lang w:val="en-US" w:eastAsia="zh-CN"/>
                    </w:rPr>
                    <w:t>非甲烷总烃</w:t>
                  </w:r>
                </w:p>
              </w:tc>
              <w:tc>
                <w:tcPr>
                  <w:tcW w:w="1343" w:type="dxa"/>
                  <w:tcBorders>
                    <w:tl2br w:val="nil"/>
                    <w:tr2bl w:val="nil"/>
                  </w:tcBorders>
                  <w:vAlign w:val="center"/>
                </w:tcPr>
                <w:p w14:paraId="3D242364">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1.5</w:t>
                  </w:r>
                </w:p>
              </w:tc>
              <w:tc>
                <w:tcPr>
                  <w:tcW w:w="2952" w:type="dxa"/>
                  <w:tcBorders>
                    <w:tl2br w:val="nil"/>
                    <w:tr2bl w:val="nil"/>
                  </w:tcBorders>
                  <w:vAlign w:val="center"/>
                </w:tcPr>
                <w:p w14:paraId="7984A059">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eastAsia="zh-CN"/>
                    </w:rPr>
                  </w:pPr>
                  <w:r>
                    <w:rPr>
                      <w:rFonts w:hint="default" w:ascii="Times New Roman" w:hAnsi="Times New Roman" w:cs="Times New Roman"/>
                      <w:color w:val="000000" w:themeColor="text1"/>
                      <w:sz w:val="21"/>
                      <w:szCs w:val="18"/>
                    </w:rPr>
                    <w:t>《挥发性有机物排放标准 第4部分：塑料制造业》（DB36/1101.</w:t>
                  </w:r>
                  <w:r>
                    <w:rPr>
                      <w:rFonts w:hint="eastAsia" w:ascii="Times New Roman" w:hAnsi="Times New Roman" w:cs="Times New Roman"/>
                      <w:color w:val="000000" w:themeColor="text1"/>
                      <w:sz w:val="21"/>
                      <w:szCs w:val="18"/>
                      <w:lang w:val="en-US" w:eastAsia="zh-CN"/>
                    </w:rPr>
                    <w:t>4</w:t>
                  </w:r>
                  <w:r>
                    <w:rPr>
                      <w:rFonts w:hint="default" w:ascii="Times New Roman" w:hAnsi="Times New Roman" w:cs="Times New Roman"/>
                      <w:color w:val="000000" w:themeColor="text1"/>
                      <w:sz w:val="21"/>
                      <w:szCs w:val="18"/>
                    </w:rPr>
                    <w:t>-2019）</w:t>
                  </w:r>
                </w:p>
              </w:tc>
              <w:tc>
                <w:tcPr>
                  <w:tcW w:w="1172" w:type="dxa"/>
                  <w:tcBorders>
                    <w:tl2br w:val="nil"/>
                    <w:tr2bl w:val="nil"/>
                  </w:tcBorders>
                  <w:vAlign w:val="center"/>
                </w:tcPr>
                <w:p w14:paraId="1D556073">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rPr>
                    <w:t>/</w:t>
                  </w:r>
                </w:p>
              </w:tc>
              <w:tc>
                <w:tcPr>
                  <w:tcW w:w="1417" w:type="dxa"/>
                  <w:tcBorders>
                    <w:tl2br w:val="nil"/>
                    <w:tr2bl w:val="nil"/>
                  </w:tcBorders>
                  <w:vAlign w:val="center"/>
                </w:tcPr>
                <w:p w14:paraId="7B503824">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1.5</w:t>
                  </w:r>
                </w:p>
              </w:tc>
              <w:tc>
                <w:tcPr>
                  <w:tcW w:w="749" w:type="dxa"/>
                  <w:vMerge w:val="restart"/>
                  <w:tcBorders>
                    <w:tl2br w:val="nil"/>
                    <w:tr2bl w:val="nil"/>
                  </w:tcBorders>
                  <w:vAlign w:val="center"/>
                </w:tcPr>
                <w:p w14:paraId="13871B71">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2"/>
                      <w:sz w:val="21"/>
                      <w:szCs w:val="21"/>
                    </w:rPr>
                    <w:t>厂界监控点浓度</w:t>
                  </w:r>
                </w:p>
              </w:tc>
            </w:tr>
            <w:tr w14:paraId="1E149C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785" w:type="dxa"/>
                  <w:tcBorders>
                    <w:tl2br w:val="nil"/>
                    <w:tr2bl w:val="nil"/>
                  </w:tcBorders>
                  <w:vAlign w:val="center"/>
                </w:tcPr>
                <w:p w14:paraId="2B7C756B">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
                      <w:sz w:val="21"/>
                      <w:szCs w:val="21"/>
                    </w:rPr>
                  </w:pPr>
                  <w:r>
                    <w:rPr>
                      <w:rFonts w:hint="default" w:ascii="Times New Roman" w:hAnsi="Times New Roman" w:cs="Times New Roman"/>
                      <w:color w:val="000000" w:themeColor="text1"/>
                      <w:spacing w:val="-1"/>
                      <w:sz w:val="21"/>
                      <w:szCs w:val="21"/>
                      <w:lang w:val="en-US" w:eastAsia="zh-CN"/>
                    </w:rPr>
                    <w:t>颗粒物</w:t>
                  </w:r>
                  <w:r>
                    <w:rPr>
                      <w:rFonts w:hint="eastAsia" w:cs="Times New Roman"/>
                      <w:color w:val="000000" w:themeColor="text1"/>
                      <w:spacing w:val="11"/>
                      <w:sz w:val="21"/>
                      <w:szCs w:val="21"/>
                      <w:lang w:val="en-US" w:eastAsia="zh-CN"/>
                    </w:rPr>
                    <w:t>（本项目为炭黑尘）</w:t>
                  </w:r>
                </w:p>
              </w:tc>
              <w:tc>
                <w:tcPr>
                  <w:tcW w:w="1343" w:type="dxa"/>
                  <w:tcBorders>
                    <w:tl2br w:val="nil"/>
                    <w:tr2bl w:val="nil"/>
                  </w:tcBorders>
                  <w:vAlign w:val="center"/>
                </w:tcPr>
                <w:p w14:paraId="21D2F2DB">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5</w:t>
                  </w:r>
                </w:p>
              </w:tc>
              <w:tc>
                <w:tcPr>
                  <w:tcW w:w="2952" w:type="dxa"/>
                  <w:tcBorders>
                    <w:tl2br w:val="nil"/>
                    <w:tr2bl w:val="nil"/>
                  </w:tcBorders>
                  <w:vAlign w:val="center"/>
                </w:tcPr>
                <w:p w14:paraId="60CB1B7E">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eastAsia="zh-CN"/>
                    </w:rPr>
                  </w:pPr>
                  <w:r>
                    <w:rPr>
                      <w:rFonts w:hint="default" w:ascii="Times New Roman" w:hAnsi="Times New Roman" w:eastAsia="宋体" w:cs="Times New Roman"/>
                      <w:b w:val="0"/>
                      <w:bCs/>
                      <w:color w:val="000000" w:themeColor="text1"/>
                      <w:spacing w:val="-1"/>
                      <w:sz w:val="21"/>
                      <w:szCs w:val="21"/>
                      <w:lang w:val="en-US" w:eastAsia="zh-CN"/>
                    </w:rPr>
                    <w:t>《工业炉窑大气污染物排放标准》（GB9078-1996）</w:t>
                  </w:r>
                </w:p>
              </w:tc>
              <w:tc>
                <w:tcPr>
                  <w:tcW w:w="1172" w:type="dxa"/>
                  <w:tcBorders>
                    <w:tl2br w:val="nil"/>
                    <w:tr2bl w:val="nil"/>
                  </w:tcBorders>
                  <w:vAlign w:val="center"/>
                </w:tcPr>
                <w:p w14:paraId="65F3411A">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cs="Times New Roman"/>
                      <w:color w:val="000000" w:themeColor="text1"/>
                      <w:spacing w:val="-1"/>
                      <w:sz w:val="21"/>
                      <w:szCs w:val="21"/>
                      <w:lang w:val="en-US" w:eastAsia="zh-CN"/>
                    </w:rPr>
                    <w:t>生产装置不得有明显的无组织排放</w:t>
                  </w:r>
                </w:p>
              </w:tc>
              <w:tc>
                <w:tcPr>
                  <w:tcW w:w="1417" w:type="dxa"/>
                  <w:tcBorders>
                    <w:tl2br w:val="nil"/>
                    <w:tr2bl w:val="nil"/>
                  </w:tcBorders>
                  <w:vAlign w:val="center"/>
                </w:tcPr>
                <w:p w14:paraId="3E377983">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cs="Times New Roman"/>
                      <w:color w:val="000000" w:themeColor="text1"/>
                      <w:spacing w:val="-1"/>
                      <w:sz w:val="21"/>
                      <w:szCs w:val="21"/>
                      <w:lang w:val="en-US" w:eastAsia="zh-CN"/>
                    </w:rPr>
                    <w:t>生产装置不得有明显的无组织排放</w:t>
                  </w:r>
                </w:p>
              </w:tc>
              <w:tc>
                <w:tcPr>
                  <w:tcW w:w="749" w:type="dxa"/>
                  <w:vMerge w:val="continue"/>
                  <w:tcBorders>
                    <w:tl2br w:val="nil"/>
                    <w:tr2bl w:val="nil"/>
                  </w:tcBorders>
                  <w:vAlign w:val="center"/>
                </w:tcPr>
                <w:p w14:paraId="73726A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r>
            <w:tr w14:paraId="4F8F7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785" w:type="dxa"/>
                  <w:tcBorders>
                    <w:tl2br w:val="nil"/>
                    <w:tr2bl w:val="nil"/>
                  </w:tcBorders>
                  <w:vAlign w:val="center"/>
                </w:tcPr>
                <w:p w14:paraId="0F10CC4D">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臭气浓度</w:t>
                  </w:r>
                </w:p>
              </w:tc>
              <w:tc>
                <w:tcPr>
                  <w:tcW w:w="1343" w:type="dxa"/>
                  <w:tcBorders>
                    <w:tl2br w:val="nil"/>
                    <w:tr2bl w:val="nil"/>
                  </w:tcBorders>
                  <w:vAlign w:val="center"/>
                </w:tcPr>
                <w:p w14:paraId="5D8893E3">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20</w:t>
                  </w:r>
                </w:p>
              </w:tc>
              <w:tc>
                <w:tcPr>
                  <w:tcW w:w="2952" w:type="dxa"/>
                  <w:tcBorders>
                    <w:tl2br w:val="nil"/>
                    <w:tr2bl w:val="nil"/>
                  </w:tcBorders>
                  <w:vAlign w:val="center"/>
                </w:tcPr>
                <w:p w14:paraId="606EC8D9">
                  <w:pPr>
                    <w:pStyle w:val="55"/>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val="0"/>
                      <w:bCs/>
                      <w:color w:val="000000" w:themeColor="text1"/>
                      <w:spacing w:val="-1"/>
                      <w:sz w:val="21"/>
                      <w:szCs w:val="21"/>
                    </w:rPr>
                  </w:pPr>
                  <w:r>
                    <w:rPr>
                      <w:rFonts w:hint="default" w:ascii="Times New Roman" w:hAnsi="Times New Roman" w:eastAsia="宋体" w:cs="Times New Roman"/>
                      <w:b w:val="0"/>
                      <w:bCs/>
                      <w:color w:val="000000" w:themeColor="text1"/>
                      <w:spacing w:val="-1"/>
                      <w:sz w:val="21"/>
                      <w:szCs w:val="21"/>
                    </w:rPr>
                    <w:t>《恶臭污染物排放标准》</w:t>
                  </w:r>
                </w:p>
                <w:p w14:paraId="5108C594">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pacing w:val="-1"/>
                      <w:sz w:val="21"/>
                      <w:szCs w:val="21"/>
                    </w:rPr>
                  </w:pPr>
                  <w:r>
                    <w:rPr>
                      <w:rFonts w:hint="eastAsia" w:ascii="Times New Roman" w:hAnsi="Times New Roman" w:cs="Times New Roman"/>
                      <w:b w:val="0"/>
                      <w:bCs/>
                      <w:color w:val="000000" w:themeColor="text1"/>
                      <w:spacing w:val="-1"/>
                      <w:sz w:val="21"/>
                      <w:szCs w:val="21"/>
                      <w:lang w:eastAsia="zh-CN"/>
                    </w:rPr>
                    <w:t>(</w:t>
                  </w:r>
                  <w:r>
                    <w:rPr>
                      <w:rFonts w:hint="default" w:ascii="Times New Roman" w:hAnsi="Times New Roman" w:eastAsia="宋体" w:cs="Times New Roman"/>
                      <w:b w:val="0"/>
                      <w:bCs/>
                      <w:color w:val="000000" w:themeColor="text1"/>
                      <w:spacing w:val="-1"/>
                      <w:sz w:val="21"/>
                      <w:szCs w:val="21"/>
                    </w:rPr>
                    <w:t>GB14554-93</w:t>
                  </w:r>
                  <w:r>
                    <w:rPr>
                      <w:rFonts w:hint="eastAsia" w:ascii="Times New Roman" w:hAnsi="Times New Roman" w:cs="Times New Roman"/>
                      <w:b w:val="0"/>
                      <w:bCs/>
                      <w:color w:val="000000" w:themeColor="text1"/>
                      <w:spacing w:val="-1"/>
                      <w:sz w:val="21"/>
                      <w:szCs w:val="21"/>
                      <w:lang w:eastAsia="zh-CN"/>
                    </w:rPr>
                    <w:t>)</w:t>
                  </w:r>
                </w:p>
              </w:tc>
              <w:tc>
                <w:tcPr>
                  <w:tcW w:w="1172" w:type="dxa"/>
                  <w:tcBorders>
                    <w:tl2br w:val="nil"/>
                    <w:tr2bl w:val="nil"/>
                  </w:tcBorders>
                  <w:vAlign w:val="center"/>
                </w:tcPr>
                <w:p w14:paraId="71728246">
                  <w:pPr>
                    <w:pStyle w:val="17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w:t>
                  </w:r>
                </w:p>
              </w:tc>
              <w:tc>
                <w:tcPr>
                  <w:tcW w:w="1417" w:type="dxa"/>
                  <w:tcBorders>
                    <w:tl2br w:val="nil"/>
                    <w:tr2bl w:val="nil"/>
                  </w:tcBorders>
                  <w:vAlign w:val="center"/>
                </w:tcPr>
                <w:p w14:paraId="00F83A50">
                  <w:pPr>
                    <w:pStyle w:val="170"/>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cs="Times New Roman"/>
                      <w:color w:val="000000" w:themeColor="text1"/>
                      <w:spacing w:val="-1"/>
                      <w:sz w:val="21"/>
                      <w:szCs w:val="21"/>
                      <w:lang w:val="en-US" w:eastAsia="zh-CN"/>
                    </w:rPr>
                  </w:pPr>
                  <w:r>
                    <w:rPr>
                      <w:rFonts w:hint="eastAsia" w:ascii="Times New Roman" w:hAnsi="Times New Roman" w:cs="Times New Roman"/>
                      <w:color w:val="000000" w:themeColor="text1"/>
                      <w:spacing w:val="-1"/>
                      <w:sz w:val="21"/>
                      <w:szCs w:val="21"/>
                      <w:lang w:val="en-US" w:eastAsia="zh-CN"/>
                    </w:rPr>
                    <w:t>20</w:t>
                  </w:r>
                </w:p>
              </w:tc>
              <w:tc>
                <w:tcPr>
                  <w:tcW w:w="749" w:type="dxa"/>
                  <w:vMerge w:val="continue"/>
                  <w:tcBorders>
                    <w:tl2br w:val="nil"/>
                    <w:tr2bl w:val="nil"/>
                  </w:tcBorders>
                  <w:vAlign w:val="center"/>
                </w:tcPr>
                <w:p w14:paraId="3F729D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r>
          </w:tbl>
          <w:p w14:paraId="3E26D611">
            <w:pPr>
              <w:pStyle w:val="2"/>
              <w:keepNext/>
              <w:keepLines w:val="0"/>
              <w:pageBreakBefore w:val="0"/>
              <w:widowControl w:val="0"/>
              <w:kinsoku/>
              <w:wordWrap/>
              <w:overflowPunct w:val="0"/>
              <w:topLinePunct w:val="0"/>
              <w:autoSpaceDE/>
              <w:autoSpaceDN/>
              <w:bidi w:val="0"/>
              <w:adjustRightInd/>
              <w:snapToGrid w:val="0"/>
              <w:spacing w:before="157" w:beforeLines="50"/>
              <w:textAlignment w:val="auto"/>
              <w:rPr>
                <w:rFonts w:hint="default" w:ascii="Times New Roman" w:hAnsi="Times New Roman" w:eastAsia="宋体" w:cs="Times New Roman"/>
                <w:color w:val="000000" w:themeColor="text1"/>
                <w:sz w:val="21"/>
                <w:szCs w:val="21"/>
                <w:lang w:val="zh-CN"/>
              </w:rPr>
            </w:pPr>
            <w:r>
              <w:rPr>
                <w:rFonts w:hint="eastAsia" w:ascii="Times New Roman" w:hAnsi="Times New Roman" w:eastAsia="宋体" w:cs="Times New Roman"/>
                <w:color w:val="000000" w:themeColor="text1"/>
                <w:sz w:val="21"/>
                <w:szCs w:val="21"/>
                <w:lang w:val="en-US" w:eastAsia="zh-CN"/>
              </w:rPr>
              <w:t xml:space="preserve">表3-14 </w:t>
            </w:r>
            <w:r>
              <w:rPr>
                <w:rFonts w:hint="default" w:ascii="Times New Roman" w:hAnsi="Times New Roman" w:eastAsia="宋体" w:cs="Times New Roman"/>
                <w:color w:val="000000" w:themeColor="text1"/>
                <w:sz w:val="21"/>
                <w:szCs w:val="21"/>
                <w:lang w:val="zh-CN"/>
              </w:rPr>
              <w:t>项目</w:t>
            </w:r>
            <w:r>
              <w:rPr>
                <w:rFonts w:hint="default" w:ascii="Times New Roman" w:hAnsi="Times New Roman" w:eastAsia="宋体" w:cs="Times New Roman"/>
                <w:color w:val="000000" w:themeColor="text1"/>
                <w:sz w:val="21"/>
                <w:szCs w:val="21"/>
                <w:lang w:val="en-US" w:eastAsia="zh-CN"/>
              </w:rPr>
              <w:t>厂区内无组织</w:t>
            </w:r>
            <w:r>
              <w:rPr>
                <w:rFonts w:hint="default" w:ascii="Times New Roman" w:hAnsi="Times New Roman" w:eastAsia="宋体" w:cs="Times New Roman"/>
                <w:color w:val="000000" w:themeColor="text1"/>
                <w:sz w:val="21"/>
                <w:szCs w:val="21"/>
                <w:lang w:val="zh-CN"/>
              </w:rPr>
              <w:t>废气污染物排放控制标准</w:t>
            </w:r>
          </w:p>
          <w:tbl>
            <w:tblPr>
              <w:tblStyle w:val="33"/>
              <w:tblW w:w="4998" w:type="pct"/>
              <w:tblInd w:w="0" w:type="dxa"/>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Layout w:type="fixed"/>
              <w:tblCellMar>
                <w:top w:w="11" w:type="dxa"/>
                <w:left w:w="28" w:type="dxa"/>
                <w:bottom w:w="11" w:type="dxa"/>
                <w:right w:w="28" w:type="dxa"/>
              </w:tblCellMar>
            </w:tblPr>
            <w:tblGrid>
              <w:gridCol w:w="2165"/>
              <w:gridCol w:w="1475"/>
              <w:gridCol w:w="792"/>
              <w:gridCol w:w="841"/>
              <w:gridCol w:w="1004"/>
              <w:gridCol w:w="934"/>
              <w:gridCol w:w="1143"/>
            </w:tblGrid>
            <w:tr w14:paraId="2B8565B9">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11" w:type="dxa"/>
                  <w:left w:w="28" w:type="dxa"/>
                  <w:bottom w:w="11" w:type="dxa"/>
                  <w:right w:w="28" w:type="dxa"/>
                </w:tblCellMar>
              </w:tblPrEx>
              <w:trPr>
                <w:trHeight w:val="283" w:hRule="atLeast"/>
              </w:trPr>
              <w:tc>
                <w:tcPr>
                  <w:tcW w:w="1295" w:type="pct"/>
                  <w:vMerge w:val="restart"/>
                  <w:tcBorders>
                    <w:top w:val="single" w:color="auto" w:sz="12" w:space="0"/>
                    <w:bottom w:val="single" w:color="auto" w:sz="4" w:space="0"/>
                  </w:tcBorders>
                  <w:noWrap w:val="0"/>
                  <w:vAlign w:val="center"/>
                </w:tcPr>
                <w:p w14:paraId="4BC05847">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w:t>
                  </w:r>
                </w:p>
              </w:tc>
              <w:tc>
                <w:tcPr>
                  <w:tcW w:w="882" w:type="pct"/>
                  <w:vMerge w:val="restart"/>
                  <w:tcBorders>
                    <w:top w:val="single" w:color="auto" w:sz="12" w:space="0"/>
                    <w:bottom w:val="single" w:color="auto" w:sz="4" w:space="0"/>
                  </w:tcBorders>
                  <w:noWrap w:val="0"/>
                  <w:vAlign w:val="center"/>
                </w:tcPr>
                <w:p w14:paraId="3333A909">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类别</w:t>
                  </w:r>
                </w:p>
              </w:tc>
              <w:tc>
                <w:tcPr>
                  <w:tcW w:w="2821" w:type="pct"/>
                  <w:gridSpan w:val="5"/>
                  <w:tcBorders>
                    <w:top w:val="single" w:color="auto" w:sz="12" w:space="0"/>
                    <w:bottom w:val="single" w:color="auto" w:sz="4" w:space="0"/>
                  </w:tcBorders>
                  <w:noWrap w:val="0"/>
                  <w:vAlign w:val="center"/>
                </w:tcPr>
                <w:p w14:paraId="5D6D87B3">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评价指标</w:t>
                  </w:r>
                </w:p>
              </w:tc>
            </w:tr>
            <w:tr w14:paraId="5ACCA21E">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11" w:type="dxa"/>
                  <w:left w:w="28" w:type="dxa"/>
                  <w:bottom w:w="11" w:type="dxa"/>
                  <w:right w:w="28" w:type="dxa"/>
                </w:tblCellMar>
              </w:tblPrEx>
              <w:trPr>
                <w:trHeight w:val="283" w:hRule="atLeast"/>
              </w:trPr>
              <w:tc>
                <w:tcPr>
                  <w:tcW w:w="1295" w:type="pct"/>
                  <w:vMerge w:val="continue"/>
                  <w:tcBorders>
                    <w:top w:val="single" w:color="auto" w:sz="4" w:space="0"/>
                    <w:bottom w:val="single" w:color="auto" w:sz="4" w:space="0"/>
                  </w:tcBorders>
                  <w:noWrap w:val="0"/>
                  <w:vAlign w:val="center"/>
                </w:tcPr>
                <w:p w14:paraId="6E0A0482">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p>
              </w:tc>
              <w:tc>
                <w:tcPr>
                  <w:tcW w:w="882" w:type="pct"/>
                  <w:vMerge w:val="continue"/>
                  <w:tcBorders>
                    <w:top w:val="single" w:color="auto" w:sz="4" w:space="0"/>
                    <w:bottom w:val="single" w:color="auto" w:sz="4" w:space="0"/>
                  </w:tcBorders>
                  <w:noWrap w:val="0"/>
                  <w:vAlign w:val="center"/>
                </w:tcPr>
                <w:p w14:paraId="3AC08D3C">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lang w:eastAsia="zh-CN"/>
                    </w:rPr>
                  </w:pPr>
                </w:p>
              </w:tc>
              <w:tc>
                <w:tcPr>
                  <w:tcW w:w="474" w:type="pct"/>
                  <w:tcBorders>
                    <w:top w:val="single" w:color="auto" w:sz="4" w:space="0"/>
                    <w:bottom w:val="single" w:color="auto" w:sz="4" w:space="0"/>
                  </w:tcBorders>
                  <w:noWrap w:val="0"/>
                  <w:vAlign w:val="center"/>
                </w:tcPr>
                <w:p w14:paraId="6EB912EA">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503" w:type="pct"/>
                  <w:tcBorders>
                    <w:top w:val="single" w:color="auto" w:sz="4" w:space="0"/>
                    <w:bottom w:val="single" w:color="auto" w:sz="4" w:space="0"/>
                  </w:tcBorders>
                  <w:noWrap w:val="0"/>
                  <w:vAlign w:val="center"/>
                </w:tcPr>
                <w:p w14:paraId="6252E4B2">
                  <w:pPr>
                    <w:pStyle w:val="95"/>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排放高度（m）</w:t>
                  </w:r>
                </w:p>
              </w:tc>
              <w:tc>
                <w:tcPr>
                  <w:tcW w:w="600" w:type="pct"/>
                  <w:tcBorders>
                    <w:top w:val="single" w:color="auto" w:sz="4" w:space="0"/>
                    <w:bottom w:val="single" w:color="auto" w:sz="4" w:space="0"/>
                  </w:tcBorders>
                  <w:noWrap w:val="0"/>
                  <w:vAlign w:val="center"/>
                </w:tcPr>
                <w:p w14:paraId="1CDFC066">
                  <w:pPr>
                    <w:pStyle w:val="9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允许最高排放浓度</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mg/m</w:t>
                  </w:r>
                  <w:r>
                    <w:rPr>
                      <w:rFonts w:hint="default" w:ascii="Times New Roman" w:hAnsi="Times New Roman" w:eastAsia="宋体" w:cs="Times New Roman"/>
                      <w:b/>
                      <w:bCs/>
                      <w:color w:val="000000" w:themeColor="text1"/>
                      <w:sz w:val="21"/>
                      <w:szCs w:val="21"/>
                      <w:vertAlign w:val="superscript"/>
                    </w:rPr>
                    <w:t>3</w:t>
                  </w:r>
                  <w:r>
                    <w:rPr>
                      <w:rFonts w:hint="eastAsia" w:ascii="Times New Roman" w:hAnsi="Times New Roman" w:eastAsia="宋体" w:cs="Times New Roman"/>
                      <w:b/>
                      <w:bCs/>
                      <w:color w:val="000000" w:themeColor="text1"/>
                      <w:sz w:val="21"/>
                      <w:szCs w:val="21"/>
                      <w:lang w:eastAsia="zh-CN"/>
                    </w:rPr>
                    <w:t>）</w:t>
                  </w:r>
                </w:p>
              </w:tc>
              <w:tc>
                <w:tcPr>
                  <w:tcW w:w="559" w:type="pct"/>
                  <w:tcBorders>
                    <w:top w:val="single" w:color="auto" w:sz="4" w:space="0"/>
                    <w:bottom w:val="single" w:color="auto" w:sz="4" w:space="0"/>
                  </w:tcBorders>
                  <w:noWrap w:val="0"/>
                  <w:vAlign w:val="center"/>
                </w:tcPr>
                <w:p w14:paraId="72BB8DC5">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允许最高排放速率（kg/h）</w:t>
                  </w:r>
                </w:p>
              </w:tc>
              <w:tc>
                <w:tcPr>
                  <w:tcW w:w="684" w:type="pct"/>
                  <w:tcBorders>
                    <w:top w:val="single" w:color="auto" w:sz="4" w:space="0"/>
                    <w:bottom w:val="single" w:color="auto" w:sz="4" w:space="0"/>
                  </w:tcBorders>
                  <w:noWrap w:val="0"/>
                  <w:vAlign w:val="center"/>
                </w:tcPr>
                <w:p w14:paraId="4562E4AB">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无组织排放监测浓度限值</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mg/m</w:t>
                  </w:r>
                  <w:r>
                    <w:rPr>
                      <w:rFonts w:hint="default" w:ascii="Times New Roman" w:hAnsi="Times New Roman" w:eastAsia="宋体" w:cs="Times New Roman"/>
                      <w:b/>
                      <w:bCs/>
                      <w:color w:val="000000" w:themeColor="text1"/>
                      <w:sz w:val="21"/>
                      <w:szCs w:val="21"/>
                      <w:vertAlign w:val="superscript"/>
                    </w:rPr>
                    <w:t>3</w:t>
                  </w:r>
                  <w:r>
                    <w:rPr>
                      <w:rFonts w:hint="eastAsia" w:ascii="Times New Roman" w:hAnsi="Times New Roman" w:eastAsia="宋体" w:cs="Times New Roman"/>
                      <w:b/>
                      <w:bCs/>
                      <w:color w:val="000000" w:themeColor="text1"/>
                      <w:sz w:val="21"/>
                      <w:szCs w:val="21"/>
                      <w:lang w:eastAsia="zh-CN"/>
                    </w:rPr>
                    <w:t>）</w:t>
                  </w:r>
                </w:p>
              </w:tc>
            </w:tr>
            <w:tr w14:paraId="6736A076">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11" w:type="dxa"/>
                  <w:left w:w="28" w:type="dxa"/>
                  <w:bottom w:w="11" w:type="dxa"/>
                  <w:right w:w="28" w:type="dxa"/>
                </w:tblCellMar>
              </w:tblPrEx>
              <w:trPr>
                <w:trHeight w:val="484" w:hRule="atLeast"/>
              </w:trPr>
              <w:tc>
                <w:tcPr>
                  <w:tcW w:w="1295" w:type="pct"/>
                  <w:vMerge w:val="restart"/>
                  <w:tcBorders>
                    <w:top w:val="single" w:color="auto" w:sz="4" w:space="0"/>
                    <w:bottom w:val="single" w:color="auto" w:sz="4" w:space="0"/>
                  </w:tcBorders>
                  <w:noWrap w:val="0"/>
                  <w:vAlign w:val="center"/>
                </w:tcPr>
                <w:p w14:paraId="00787840">
                  <w:pPr>
                    <w:pStyle w:val="95"/>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eastAsia="宋体" w:cs="Times New Roman"/>
                      <w:color w:val="000000" w:themeColor="text1"/>
                      <w:sz w:val="21"/>
                      <w:szCs w:val="21"/>
                      <w:lang w:val="zh-CN"/>
                    </w:rPr>
                    <w:t>《挥发性有机物无组织排放控制标准》（GB 37822—2019）</w:t>
                  </w:r>
                </w:p>
              </w:tc>
              <w:tc>
                <w:tcPr>
                  <w:tcW w:w="882" w:type="pct"/>
                  <w:vMerge w:val="restart"/>
                  <w:tcBorders>
                    <w:top w:val="single" w:color="auto" w:sz="4" w:space="0"/>
                    <w:bottom w:val="single" w:color="auto" w:sz="4" w:space="0"/>
                  </w:tcBorders>
                  <w:noWrap w:val="0"/>
                  <w:vAlign w:val="center"/>
                </w:tcPr>
                <w:p w14:paraId="3CF78AD4">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lang w:val="en-US" w:eastAsia="zh-CN" w:bidi="ar-SA"/>
                    </w:rPr>
                  </w:pPr>
                  <w:r>
                    <w:rPr>
                      <w:rFonts w:hint="default" w:ascii="Times New Roman" w:hAnsi="Times New Roman" w:eastAsia="宋体" w:cs="Times New Roman"/>
                      <w:color w:val="000000" w:themeColor="text1"/>
                      <w:sz w:val="21"/>
                      <w:szCs w:val="21"/>
                      <w:lang w:val="zh-CN"/>
                    </w:rPr>
                    <w:t>厂区内VOCs无组织排放限值</w:t>
                  </w:r>
                </w:p>
              </w:tc>
              <w:tc>
                <w:tcPr>
                  <w:tcW w:w="474" w:type="pct"/>
                  <w:vMerge w:val="restart"/>
                  <w:tcBorders>
                    <w:top w:val="single" w:color="auto" w:sz="4" w:space="0"/>
                    <w:bottom w:val="single" w:color="auto" w:sz="4" w:space="0"/>
                  </w:tcBorders>
                  <w:noWrap w:val="0"/>
                  <w:vAlign w:val="center"/>
                </w:tcPr>
                <w:p w14:paraId="1E806E49">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lang w:val="en-US" w:eastAsia="zh-CN" w:bidi="ar-SA"/>
                    </w:rPr>
                  </w:pPr>
                  <w:r>
                    <w:rPr>
                      <w:rFonts w:hint="eastAsia" w:cs="Times New Roman"/>
                      <w:color w:val="000000" w:themeColor="text1"/>
                      <w:sz w:val="21"/>
                      <w:szCs w:val="21"/>
                      <w:lang w:val="en-US" w:eastAsia="zh-CN"/>
                    </w:rPr>
                    <w:t>非甲烷总烃</w:t>
                  </w:r>
                </w:p>
              </w:tc>
              <w:tc>
                <w:tcPr>
                  <w:tcW w:w="503" w:type="pct"/>
                  <w:vMerge w:val="restart"/>
                  <w:tcBorders>
                    <w:top w:val="single" w:color="auto" w:sz="4" w:space="0"/>
                    <w:bottom w:val="single" w:color="auto" w:sz="4" w:space="0"/>
                  </w:tcBorders>
                  <w:noWrap w:val="0"/>
                  <w:vAlign w:val="center"/>
                </w:tcPr>
                <w:p w14:paraId="092A08BF">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lang w:val="en-US" w:eastAsia="zh-CN" w:bidi="ar-SA"/>
                    </w:rPr>
                  </w:pPr>
                  <w:r>
                    <w:rPr>
                      <w:rFonts w:hint="eastAsia" w:cs="Times New Roman"/>
                      <w:color w:val="000000" w:themeColor="text1"/>
                      <w:sz w:val="21"/>
                      <w:szCs w:val="21"/>
                      <w:lang w:val="en-US" w:eastAsia="zh-CN"/>
                    </w:rPr>
                    <w:t>/</w:t>
                  </w:r>
                </w:p>
              </w:tc>
              <w:tc>
                <w:tcPr>
                  <w:tcW w:w="600" w:type="pct"/>
                  <w:vMerge w:val="restart"/>
                  <w:tcBorders>
                    <w:top w:val="single" w:color="auto" w:sz="4" w:space="0"/>
                    <w:bottom w:val="single" w:color="auto" w:sz="4" w:space="0"/>
                  </w:tcBorders>
                  <w:noWrap w:val="0"/>
                  <w:vAlign w:val="center"/>
                </w:tcPr>
                <w:p w14:paraId="2FC574C3">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lang w:val="en-US" w:eastAsia="zh-CN" w:bidi="ar-SA"/>
                    </w:rPr>
                  </w:pPr>
                  <w:r>
                    <w:rPr>
                      <w:rFonts w:hint="eastAsia" w:cs="Times New Roman"/>
                      <w:color w:val="000000" w:themeColor="text1"/>
                      <w:sz w:val="21"/>
                      <w:szCs w:val="21"/>
                      <w:lang w:val="en-US" w:eastAsia="zh-CN"/>
                    </w:rPr>
                    <w:t>/</w:t>
                  </w:r>
                </w:p>
              </w:tc>
              <w:tc>
                <w:tcPr>
                  <w:tcW w:w="559" w:type="pct"/>
                  <w:vMerge w:val="restart"/>
                  <w:tcBorders>
                    <w:top w:val="single" w:color="auto" w:sz="4" w:space="0"/>
                    <w:bottom w:val="single" w:color="auto" w:sz="4" w:space="0"/>
                  </w:tcBorders>
                  <w:noWrap w:val="0"/>
                  <w:vAlign w:val="center"/>
                </w:tcPr>
                <w:p w14:paraId="683CC530">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ascii="Times New Roman" w:hAnsi="Times New Roman" w:eastAsia="宋体" w:cs="Times New Roman"/>
                      <w:color w:val="000000" w:themeColor="text1"/>
                      <w:sz w:val="21"/>
                      <w:szCs w:val="21"/>
                      <w:lang w:val="en-US" w:eastAsia="zh-CN" w:bidi="ar-SA"/>
                    </w:rPr>
                  </w:pPr>
                  <w:r>
                    <w:rPr>
                      <w:rFonts w:hint="eastAsia" w:cs="Times New Roman"/>
                      <w:color w:val="000000" w:themeColor="text1"/>
                      <w:sz w:val="21"/>
                      <w:szCs w:val="21"/>
                      <w:lang w:val="en-US" w:eastAsia="zh-CN"/>
                    </w:rPr>
                    <w:t>/</w:t>
                  </w:r>
                </w:p>
              </w:tc>
              <w:tc>
                <w:tcPr>
                  <w:tcW w:w="684" w:type="pct"/>
                  <w:tcBorders>
                    <w:top w:val="single" w:color="auto" w:sz="4" w:space="0"/>
                    <w:bottom w:val="single" w:color="auto" w:sz="4" w:space="0"/>
                  </w:tcBorders>
                  <w:noWrap w:val="0"/>
                  <w:vAlign w:val="center"/>
                </w:tcPr>
                <w:p w14:paraId="57D06F60">
                  <w:pPr>
                    <w:pStyle w:val="14"/>
                    <w:keepNext w:val="0"/>
                    <w:keepLines w:val="0"/>
                    <w:pageBreakBefore w:val="0"/>
                    <w:widowControl/>
                    <w:tabs>
                      <w:tab w:val="left" w:pos="3345"/>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10</w:t>
                  </w:r>
                  <w:r>
                    <w:rPr>
                      <w:rFonts w:hint="eastAsia" w:ascii="Times New Roman" w:hAnsi="Times New Roman" w:eastAsia="宋体" w:cs="Times New Roman"/>
                      <w:color w:val="000000" w:themeColor="text1"/>
                      <w:sz w:val="21"/>
                      <w:szCs w:val="21"/>
                      <w:lang w:val="en-US" w:eastAsia="zh-CN" w:bidi="ar-SA"/>
                    </w:rPr>
                    <w:t>（1h均值）</w:t>
                  </w:r>
                </w:p>
              </w:tc>
            </w:tr>
            <w:tr w14:paraId="31AE8978">
              <w:tblPrEx>
                <w:tblBorders>
                  <w:top w:val="thinThickSmallGap" w:color="auto" w:sz="12" w:space="0"/>
                  <w:left w:val="none" w:color="auto" w:sz="0" w:space="0"/>
                  <w:bottom w:val="thinThickSmallGap" w:color="auto" w:sz="12" w:space="0"/>
                  <w:right w:val="none" w:color="auto" w:sz="0" w:space="0"/>
                  <w:insideH w:val="single" w:color="auto" w:sz="4" w:space="0"/>
                  <w:insideV w:val="single" w:color="auto" w:sz="4" w:space="0"/>
                </w:tblBorders>
                <w:tblCellMar>
                  <w:top w:w="11" w:type="dxa"/>
                  <w:left w:w="28" w:type="dxa"/>
                  <w:bottom w:w="11" w:type="dxa"/>
                  <w:right w:w="28" w:type="dxa"/>
                </w:tblCellMar>
              </w:tblPrEx>
              <w:trPr>
                <w:trHeight w:val="613" w:hRule="atLeast"/>
              </w:trPr>
              <w:tc>
                <w:tcPr>
                  <w:tcW w:w="1295" w:type="pct"/>
                  <w:vMerge w:val="continue"/>
                  <w:tcBorders>
                    <w:top w:val="single" w:color="auto" w:sz="4" w:space="0"/>
                    <w:bottom w:val="single" w:color="auto" w:sz="12" w:space="0"/>
                  </w:tcBorders>
                  <w:noWrap w:val="0"/>
                  <w:vAlign w:val="center"/>
                </w:tcPr>
                <w:p w14:paraId="7B7C5855">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lang w:val="zh-CN"/>
                    </w:rPr>
                  </w:pPr>
                </w:p>
              </w:tc>
              <w:tc>
                <w:tcPr>
                  <w:tcW w:w="882" w:type="pct"/>
                  <w:vMerge w:val="continue"/>
                  <w:tcBorders>
                    <w:top w:val="single" w:color="auto" w:sz="4" w:space="0"/>
                    <w:bottom w:val="single" w:color="auto" w:sz="12" w:space="0"/>
                  </w:tcBorders>
                  <w:noWrap w:val="0"/>
                  <w:vAlign w:val="center"/>
                </w:tcPr>
                <w:p w14:paraId="4E58E41D">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21"/>
                      <w:szCs w:val="21"/>
                      <w:lang w:val="zh-CN"/>
                    </w:rPr>
                  </w:pPr>
                </w:p>
              </w:tc>
              <w:tc>
                <w:tcPr>
                  <w:tcW w:w="474" w:type="pct"/>
                  <w:vMerge w:val="continue"/>
                  <w:tcBorders>
                    <w:top w:val="single" w:color="auto" w:sz="4" w:space="0"/>
                    <w:bottom w:val="single" w:color="auto" w:sz="12" w:space="0"/>
                  </w:tcBorders>
                  <w:noWrap w:val="0"/>
                  <w:vAlign w:val="center"/>
                </w:tcPr>
                <w:p w14:paraId="065CC182">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000000" w:themeColor="text1"/>
                      <w:sz w:val="21"/>
                      <w:szCs w:val="21"/>
                      <w:lang w:val="en-US" w:eastAsia="zh-CN"/>
                    </w:rPr>
                  </w:pPr>
                </w:p>
              </w:tc>
              <w:tc>
                <w:tcPr>
                  <w:tcW w:w="503" w:type="pct"/>
                  <w:vMerge w:val="continue"/>
                  <w:tcBorders>
                    <w:top w:val="single" w:color="auto" w:sz="4" w:space="0"/>
                    <w:bottom w:val="single" w:color="auto" w:sz="12" w:space="0"/>
                  </w:tcBorders>
                  <w:noWrap w:val="0"/>
                  <w:vAlign w:val="center"/>
                </w:tcPr>
                <w:p w14:paraId="28D46C1C">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000000" w:themeColor="text1"/>
                      <w:sz w:val="21"/>
                      <w:szCs w:val="21"/>
                      <w:lang w:val="en-US" w:eastAsia="zh-CN"/>
                    </w:rPr>
                  </w:pPr>
                </w:p>
              </w:tc>
              <w:tc>
                <w:tcPr>
                  <w:tcW w:w="600" w:type="pct"/>
                  <w:vMerge w:val="continue"/>
                  <w:tcBorders>
                    <w:top w:val="single" w:color="auto" w:sz="4" w:space="0"/>
                    <w:bottom w:val="single" w:color="auto" w:sz="12" w:space="0"/>
                  </w:tcBorders>
                  <w:noWrap w:val="0"/>
                  <w:vAlign w:val="center"/>
                </w:tcPr>
                <w:p w14:paraId="02769136">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000000" w:themeColor="text1"/>
                      <w:sz w:val="21"/>
                      <w:szCs w:val="21"/>
                      <w:lang w:val="en-US" w:eastAsia="zh-CN"/>
                    </w:rPr>
                  </w:pPr>
                </w:p>
              </w:tc>
              <w:tc>
                <w:tcPr>
                  <w:tcW w:w="559" w:type="pct"/>
                  <w:vMerge w:val="continue"/>
                  <w:tcBorders>
                    <w:top w:val="single" w:color="auto" w:sz="4" w:space="0"/>
                    <w:bottom w:val="single" w:color="auto" w:sz="12" w:space="0"/>
                  </w:tcBorders>
                  <w:noWrap w:val="0"/>
                  <w:vAlign w:val="center"/>
                </w:tcPr>
                <w:p w14:paraId="5DBB2DDA">
                  <w:pPr>
                    <w:pStyle w:val="95"/>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000000" w:themeColor="text1"/>
                      <w:sz w:val="21"/>
                      <w:szCs w:val="21"/>
                      <w:lang w:val="en-US" w:eastAsia="zh-CN"/>
                    </w:rPr>
                  </w:pPr>
                </w:p>
              </w:tc>
              <w:tc>
                <w:tcPr>
                  <w:tcW w:w="684" w:type="pct"/>
                  <w:tcBorders>
                    <w:top w:val="single" w:color="auto" w:sz="4" w:space="0"/>
                    <w:bottom w:val="single" w:color="auto" w:sz="12" w:space="0"/>
                  </w:tcBorders>
                  <w:noWrap w:val="0"/>
                  <w:vAlign w:val="center"/>
                </w:tcPr>
                <w:p w14:paraId="42A79AED">
                  <w:pPr>
                    <w:pStyle w:val="14"/>
                    <w:keepNext w:val="0"/>
                    <w:keepLines w:val="0"/>
                    <w:pageBreakBefore w:val="0"/>
                    <w:widowControl/>
                    <w:tabs>
                      <w:tab w:val="left" w:pos="3345"/>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bidi="ar-SA"/>
                    </w:rPr>
                  </w:pPr>
                  <w:r>
                    <w:rPr>
                      <w:rFonts w:hint="eastAsia" w:ascii="Times New Roman" w:hAnsi="Times New Roman" w:cs="Times New Roman"/>
                      <w:color w:val="000000" w:themeColor="text1"/>
                      <w:sz w:val="21"/>
                      <w:szCs w:val="21"/>
                      <w:lang w:val="en-US" w:eastAsia="zh-CN" w:bidi="ar-SA"/>
                    </w:rPr>
                    <w:t>30</w:t>
                  </w:r>
                  <w:r>
                    <w:rPr>
                      <w:rFonts w:hint="eastAsia" w:ascii="Times New Roman" w:hAnsi="Times New Roman" w:eastAsia="宋体" w:cs="Times New Roman"/>
                      <w:color w:val="000000" w:themeColor="text1"/>
                      <w:sz w:val="21"/>
                      <w:szCs w:val="21"/>
                      <w:lang w:val="en-US" w:eastAsia="zh-CN" w:bidi="ar-SA"/>
                    </w:rPr>
                    <w:t>（任意一次）</w:t>
                  </w:r>
                </w:p>
              </w:tc>
            </w:tr>
          </w:tbl>
          <w:p w14:paraId="43A390A3">
            <w:pPr>
              <w:adjustRightInd w:val="0"/>
              <w:snapToGrid w:val="0"/>
              <w:ind w:firstLine="482"/>
              <w:jc w:val="left"/>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rPr>
              <w:t>3、噪声</w:t>
            </w:r>
          </w:p>
          <w:p w14:paraId="754D5EA0">
            <w:pPr>
              <w:adjustRightInd w:val="0"/>
              <w:snapToGrid w:val="0"/>
              <w:ind w:firstLine="480"/>
              <w:jc w:val="left"/>
              <w:rPr>
                <w:rFonts w:hint="default" w:ascii="Times New Roman" w:hAnsi="Times New Roman" w:eastAsia="宋体" w:cs="Times New Roman"/>
                <w:color w:val="000000" w:themeColor="text1"/>
                <w:sz w:val="24"/>
                <w:lang w:val="en-US" w:eastAsia="zh-CN"/>
              </w:rPr>
            </w:pPr>
            <w:r>
              <w:rPr>
                <w:rFonts w:hint="eastAsia" w:ascii="Times New Roman" w:hAnsi="Times New Roman" w:eastAsia="宋体" w:cs="Times New Roman"/>
                <w:color w:val="000000" w:themeColor="text1"/>
                <w:sz w:val="24"/>
                <w:lang w:val="en-US" w:eastAsia="zh-CN"/>
              </w:rPr>
              <w:t>施工期噪声排放执行《建筑施工场界环境噪声排放标准》（GB12523-2011）；营运期</w:t>
            </w:r>
            <w:r>
              <w:rPr>
                <w:rFonts w:hint="default" w:ascii="Times New Roman" w:hAnsi="Times New Roman" w:eastAsia="宋体" w:cs="Times New Roman"/>
                <w:color w:val="000000" w:themeColor="text1"/>
                <w:sz w:val="24"/>
                <w:lang w:val="en-US" w:eastAsia="zh-CN"/>
              </w:rPr>
              <w:t>项目</w:t>
            </w:r>
            <w:r>
              <w:rPr>
                <w:rFonts w:hint="eastAsia" w:ascii="Times New Roman" w:hAnsi="Times New Roman" w:eastAsia="宋体" w:cs="Times New Roman"/>
                <w:color w:val="000000" w:themeColor="text1"/>
                <w:sz w:val="24"/>
                <w:lang w:val="en-US" w:eastAsia="zh-CN"/>
              </w:rPr>
              <w:t>厂</w:t>
            </w:r>
            <w:r>
              <w:rPr>
                <w:rFonts w:hint="default" w:ascii="Times New Roman" w:hAnsi="Times New Roman" w:eastAsia="宋体" w:cs="Times New Roman"/>
                <w:color w:val="000000" w:themeColor="text1"/>
                <w:sz w:val="24"/>
                <w:lang w:val="en-US" w:eastAsia="zh-CN"/>
              </w:rPr>
              <w:t>界噪声执行《工业企业厂界环境噪声排放标准》（GB12348-2008）中3类区标准限值。</w:t>
            </w:r>
          </w:p>
          <w:p w14:paraId="1FCC9EC7">
            <w:pPr>
              <w:spacing w:line="240" w:lineRule="auto"/>
              <w:ind w:firstLine="48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表3-1</w:t>
            </w:r>
            <w:r>
              <w:rPr>
                <w:rFonts w:hint="eastAsia" w:cs="Times New Roman"/>
                <w:b/>
                <w:color w:val="000000" w:themeColor="text1"/>
                <w:sz w:val="21"/>
                <w:szCs w:val="21"/>
                <w:lang w:val="en-US" w:eastAsia="zh-CN"/>
              </w:rPr>
              <w:t xml:space="preserve">5 </w:t>
            </w:r>
            <w:r>
              <w:rPr>
                <w:rFonts w:hint="default" w:ascii="Times New Roman" w:hAnsi="Times New Roman" w:eastAsia="宋体" w:cs="Times New Roman"/>
                <w:b/>
                <w:color w:val="000000" w:themeColor="text1"/>
                <w:sz w:val="21"/>
                <w:szCs w:val="21"/>
              </w:rPr>
              <w:t xml:space="preserve"> 项目</w:t>
            </w:r>
            <w:r>
              <w:rPr>
                <w:rFonts w:hint="eastAsia" w:cs="Times New Roman"/>
                <w:b/>
                <w:color w:val="000000" w:themeColor="text1"/>
                <w:sz w:val="21"/>
                <w:szCs w:val="21"/>
                <w:lang w:val="en-US" w:eastAsia="zh-CN"/>
              </w:rPr>
              <w:t>厂</w:t>
            </w:r>
            <w:r>
              <w:rPr>
                <w:rFonts w:hint="default" w:ascii="Times New Roman" w:hAnsi="Times New Roman" w:eastAsia="宋体" w:cs="Times New Roman"/>
                <w:b/>
                <w:color w:val="000000" w:themeColor="text1"/>
                <w:sz w:val="21"/>
                <w:szCs w:val="21"/>
              </w:rPr>
              <w:t>界噪声排放标准  单位：dB（A）</w:t>
            </w:r>
          </w:p>
          <w:tbl>
            <w:tblPr>
              <w:tblStyle w:val="33"/>
              <w:tblW w:w="499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707"/>
              <w:gridCol w:w="1507"/>
              <w:gridCol w:w="1689"/>
              <w:gridCol w:w="3451"/>
            </w:tblGrid>
            <w:tr w14:paraId="2675B556">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9" w:hRule="atLeast"/>
                <w:jc w:val="center"/>
              </w:trPr>
              <w:tc>
                <w:tcPr>
                  <w:tcW w:w="1021" w:type="pct"/>
                  <w:vAlign w:val="center"/>
                </w:tcPr>
                <w:p w14:paraId="727651A2">
                  <w:pPr>
                    <w:pStyle w:val="14"/>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901" w:type="pct"/>
                  <w:vAlign w:val="center"/>
                </w:tcPr>
                <w:p w14:paraId="18D83C84">
                  <w:pPr>
                    <w:pStyle w:val="14"/>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昼间</w:t>
                  </w:r>
                </w:p>
              </w:tc>
              <w:tc>
                <w:tcPr>
                  <w:tcW w:w="1010" w:type="pct"/>
                  <w:vAlign w:val="center"/>
                </w:tcPr>
                <w:p w14:paraId="003A81B1">
                  <w:pPr>
                    <w:pStyle w:val="14"/>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夜间</w:t>
                  </w:r>
                </w:p>
              </w:tc>
              <w:tc>
                <w:tcPr>
                  <w:tcW w:w="2065" w:type="pct"/>
                  <w:vAlign w:val="center"/>
                </w:tcPr>
                <w:p w14:paraId="5BA0842D">
                  <w:pPr>
                    <w:pStyle w:val="14"/>
                    <w:keepNext w:val="0"/>
                    <w:keepLines w:val="0"/>
                    <w:pageBreakBefore w:val="0"/>
                    <w:widowControl w:val="0"/>
                    <w:kinsoku/>
                    <w:wordWrap/>
                    <w:overflowPunct/>
                    <w:topLinePunct w:val="0"/>
                    <w:autoSpaceDE/>
                    <w:autoSpaceDN/>
                    <w:bidi w:val="0"/>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依据</w:t>
                  </w:r>
                </w:p>
              </w:tc>
            </w:tr>
            <w:tr w14:paraId="30A31E3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12" w:hRule="atLeast"/>
                <w:jc w:val="center"/>
              </w:trPr>
              <w:tc>
                <w:tcPr>
                  <w:tcW w:w="1021" w:type="pct"/>
                  <w:vAlign w:val="center"/>
                </w:tcPr>
                <w:p w14:paraId="02DD6C44">
                  <w:pPr>
                    <w:pStyle w:val="55"/>
                    <w:keepNext w:val="0"/>
                    <w:keepLines w:val="0"/>
                    <w:pageBreakBefore w:val="0"/>
                    <w:widowControl w:val="0"/>
                    <w:kinsoku/>
                    <w:wordWrap/>
                    <w:overflowPunct/>
                    <w:topLinePunct w:val="0"/>
                    <w:autoSpaceDE/>
                    <w:autoSpaceDN/>
                    <w:bidi w:val="0"/>
                    <w:ind w:left="0"/>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施工期</w:t>
                  </w:r>
                </w:p>
              </w:tc>
              <w:tc>
                <w:tcPr>
                  <w:tcW w:w="901" w:type="pct"/>
                  <w:vAlign w:val="center"/>
                </w:tcPr>
                <w:p w14:paraId="438B0D69">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70</w:t>
                  </w:r>
                </w:p>
              </w:tc>
              <w:tc>
                <w:tcPr>
                  <w:tcW w:w="1010" w:type="pct"/>
                  <w:vAlign w:val="center"/>
                </w:tcPr>
                <w:p w14:paraId="7AEEB7C4">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55</w:t>
                  </w:r>
                </w:p>
              </w:tc>
              <w:tc>
                <w:tcPr>
                  <w:tcW w:w="2065" w:type="pct"/>
                  <w:vAlign w:val="center"/>
                </w:tcPr>
                <w:p w14:paraId="045A5B74">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《建筑施工场界环境噪声 排放标准》（GB12523-2011）</w:t>
                  </w:r>
                </w:p>
              </w:tc>
            </w:tr>
            <w:tr w14:paraId="669CB590">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512" w:hRule="atLeast"/>
                <w:jc w:val="center"/>
              </w:trPr>
              <w:tc>
                <w:tcPr>
                  <w:tcW w:w="1021" w:type="pct"/>
                  <w:vAlign w:val="center"/>
                </w:tcPr>
                <w:p w14:paraId="0C38A716">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营运期</w:t>
                  </w:r>
                </w:p>
              </w:tc>
              <w:tc>
                <w:tcPr>
                  <w:tcW w:w="901" w:type="pct"/>
                  <w:vAlign w:val="center"/>
                </w:tcPr>
                <w:p w14:paraId="462C0A0D">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65</w:t>
                  </w:r>
                </w:p>
              </w:tc>
              <w:tc>
                <w:tcPr>
                  <w:tcW w:w="1010" w:type="pct"/>
                  <w:vAlign w:val="center"/>
                </w:tcPr>
                <w:p w14:paraId="7E7B9C9B">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55</w:t>
                  </w:r>
                </w:p>
              </w:tc>
              <w:tc>
                <w:tcPr>
                  <w:tcW w:w="2065" w:type="pct"/>
                  <w:vAlign w:val="center"/>
                </w:tcPr>
                <w:p w14:paraId="35A234C7">
                  <w:pPr>
                    <w:pStyle w:val="55"/>
                    <w:keepNext w:val="0"/>
                    <w:keepLines w:val="0"/>
                    <w:pageBreakBefore w:val="0"/>
                    <w:widowControl w:val="0"/>
                    <w:kinsoku/>
                    <w:wordWrap/>
                    <w:overflowPunct/>
                    <w:topLinePunct w:val="0"/>
                    <w:autoSpaceDE/>
                    <w:autoSpaceDN/>
                    <w:bidi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《工业企业厂界环境噪声排放标准》（GB12348-2008）3类标准</w:t>
                  </w:r>
                </w:p>
              </w:tc>
            </w:tr>
          </w:tbl>
          <w:p w14:paraId="7D88340F">
            <w:pPr>
              <w:spacing w:before="120" w:beforeLines="50"/>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4、固体废弃物</w:t>
            </w:r>
          </w:p>
          <w:p w14:paraId="5DC4AB89">
            <w:pPr>
              <w:adjustRightInd w:val="0"/>
              <w:snapToGrid w:val="0"/>
              <w:ind w:firstLine="480"/>
              <w:jc w:val="left"/>
              <w:rPr>
                <w:rFonts w:hint="default" w:ascii="Times New Roman" w:hAnsi="Times New Roman" w:eastAsia="宋体" w:cs="Times New Roman"/>
                <w:color w:val="000000" w:themeColor="text1"/>
                <w:kern w:val="0"/>
                <w:szCs w:val="21"/>
              </w:rPr>
            </w:pPr>
            <w:r>
              <w:rPr>
                <w:rFonts w:hint="eastAsia"/>
                <w:color w:val="000000" w:themeColor="text1"/>
                <w:sz w:val="24"/>
                <w:lang w:val="en-US" w:eastAsia="zh-CN"/>
              </w:rPr>
              <w:t>本项目</w:t>
            </w:r>
            <w:r>
              <w:rPr>
                <w:rFonts w:ascii="Times New Roman" w:hAnsi="Times New Roman"/>
                <w:color w:val="000000" w:themeColor="text1"/>
                <w:sz w:val="24"/>
              </w:rPr>
              <w:t>一般</w:t>
            </w:r>
            <w:r>
              <w:rPr>
                <w:rFonts w:hint="eastAsia"/>
                <w:color w:val="000000" w:themeColor="text1"/>
                <w:sz w:val="24"/>
                <w:lang w:val="en-US" w:eastAsia="zh-CN"/>
              </w:rPr>
              <w:t>工业</w:t>
            </w:r>
            <w:r>
              <w:rPr>
                <w:rFonts w:ascii="Times New Roman" w:hAnsi="Times New Roman"/>
                <w:color w:val="000000" w:themeColor="text1"/>
                <w:sz w:val="24"/>
              </w:rPr>
              <w:t>固</w:t>
            </w:r>
            <w:r>
              <w:rPr>
                <w:rFonts w:hint="eastAsia"/>
                <w:color w:val="000000" w:themeColor="text1"/>
                <w:sz w:val="24"/>
                <w:lang w:val="en-US" w:eastAsia="zh-CN"/>
              </w:rPr>
              <w:t>体</w:t>
            </w:r>
            <w:r>
              <w:rPr>
                <w:rFonts w:ascii="Times New Roman" w:hAnsi="Times New Roman"/>
                <w:color w:val="000000" w:themeColor="text1"/>
                <w:sz w:val="24"/>
              </w:rPr>
              <w:t>废</w:t>
            </w:r>
            <w:r>
              <w:rPr>
                <w:rFonts w:hint="eastAsia"/>
                <w:color w:val="000000" w:themeColor="text1"/>
                <w:sz w:val="24"/>
                <w:lang w:val="en-US" w:eastAsia="zh-CN"/>
              </w:rPr>
              <w:t>物贮存过程应满足相应防渗漏、防雨淋、防扬尘等环境保护要求</w:t>
            </w:r>
            <w:r>
              <w:rPr>
                <w:rFonts w:hint="eastAsia"/>
                <w:color w:val="000000" w:themeColor="text1"/>
                <w:sz w:val="24"/>
                <w:lang w:eastAsia="zh-CN"/>
              </w:rPr>
              <w:t>；</w:t>
            </w:r>
            <w:r>
              <w:rPr>
                <w:rFonts w:ascii="Times New Roman" w:hAnsi="Times New Roman"/>
                <w:color w:val="000000" w:themeColor="text1"/>
                <w:sz w:val="24"/>
              </w:rPr>
              <w:t>危险废物</w:t>
            </w:r>
            <w:r>
              <w:rPr>
                <w:rFonts w:hint="eastAsia" w:ascii="Times New Roman" w:hAnsi="Times New Roman"/>
                <w:color w:val="000000" w:themeColor="text1"/>
                <w:sz w:val="24"/>
                <w:lang w:val="en-US" w:eastAsia="zh-CN"/>
              </w:rPr>
              <w:t>暂存</w:t>
            </w:r>
            <w:r>
              <w:rPr>
                <w:rFonts w:ascii="Times New Roman" w:hAnsi="Times New Roman"/>
                <w:color w:val="000000" w:themeColor="text1"/>
                <w:sz w:val="24"/>
              </w:rPr>
              <w:t>执行《危险废物贮存污染控制标准》</w:t>
            </w:r>
            <w:r>
              <w:rPr>
                <w:rFonts w:hint="eastAsia"/>
                <w:color w:val="000000" w:themeColor="text1"/>
                <w:sz w:val="24"/>
                <w:lang w:eastAsia="zh-CN"/>
              </w:rPr>
              <w:t>（</w:t>
            </w:r>
            <w:r>
              <w:rPr>
                <w:rFonts w:ascii="Times New Roman" w:hAnsi="Times New Roman"/>
                <w:color w:val="000000" w:themeColor="text1"/>
                <w:sz w:val="24"/>
              </w:rPr>
              <w:t>GB18597-20</w:t>
            </w:r>
            <w:r>
              <w:rPr>
                <w:rFonts w:hint="eastAsia"/>
                <w:color w:val="000000" w:themeColor="text1"/>
                <w:sz w:val="24"/>
                <w:lang w:val="en-US" w:eastAsia="zh-CN"/>
              </w:rPr>
              <w:t>23</w:t>
            </w:r>
            <w:r>
              <w:rPr>
                <w:rFonts w:ascii="Times New Roman" w:hAnsi="Times New Roman"/>
                <w:color w:val="000000" w:themeColor="text1"/>
                <w:sz w:val="24"/>
              </w:rPr>
              <w:t>）</w:t>
            </w:r>
            <w:r>
              <w:rPr>
                <w:rFonts w:hint="default" w:ascii="Times New Roman" w:hAnsi="Times New Roman" w:eastAsia="宋体" w:cs="Times New Roman"/>
                <w:color w:val="000000" w:themeColor="text1"/>
              </w:rPr>
              <w:t>。</w:t>
            </w:r>
          </w:p>
        </w:tc>
      </w:tr>
      <w:tr w14:paraId="0BE7E0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987" w:hRule="atLeast"/>
          <w:jc w:val="center"/>
        </w:trPr>
        <w:tc>
          <w:tcPr>
            <w:tcW w:w="488" w:type="dxa"/>
            <w:tcBorders>
              <w:top w:val="single" w:color="auto" w:sz="4" w:space="0"/>
              <w:bottom w:val="single" w:color="auto" w:sz="4" w:space="0"/>
            </w:tcBorders>
          </w:tcPr>
          <w:p w14:paraId="7E30079C">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总量</w:t>
            </w:r>
          </w:p>
          <w:p w14:paraId="32CE8D8C">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b/>
                <w:bCs/>
                <w:color w:val="000000" w:themeColor="text1"/>
                <w:sz w:val="30"/>
                <w:szCs w:val="30"/>
              </w:rPr>
            </w:pPr>
            <w:r>
              <w:rPr>
                <w:rFonts w:hint="default" w:ascii="Times New Roman" w:hAnsi="Times New Roman" w:eastAsia="宋体" w:cs="Times New Roman"/>
                <w:b/>
                <w:bCs/>
                <w:color w:val="000000" w:themeColor="text1"/>
                <w:sz w:val="30"/>
                <w:szCs w:val="30"/>
              </w:rPr>
              <w:t>控制</w:t>
            </w:r>
          </w:p>
          <w:p w14:paraId="6E5490BC">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b/>
                <w:bCs/>
                <w:color w:val="000000" w:themeColor="text1"/>
                <w:sz w:val="30"/>
                <w:szCs w:val="30"/>
              </w:rPr>
              <w:t>指标</w:t>
            </w:r>
          </w:p>
        </w:tc>
        <w:tc>
          <w:tcPr>
            <w:tcW w:w="8573" w:type="dxa"/>
            <w:tcBorders>
              <w:top w:val="single" w:color="auto" w:sz="4" w:space="0"/>
              <w:bottom w:val="single" w:color="auto" w:sz="4" w:space="0"/>
            </w:tcBorders>
          </w:tcPr>
          <w:p w14:paraId="010D2C80">
            <w:pPr>
              <w:spacing w:line="360" w:lineRule="auto"/>
              <w:ind w:firstLine="480" w:firstLineChars="200"/>
              <w:rPr>
                <w:rFonts w:hint="default" w:ascii="Times New Roman" w:hAnsi="Times New Roman" w:eastAsia="宋体" w:cs="Times New Roman"/>
                <w:strike w:val="0"/>
                <w:dstrike w:val="0"/>
                <w:color w:val="000000" w:themeColor="text1"/>
                <w:sz w:val="24"/>
                <w:highlight w:val="none"/>
              </w:rPr>
            </w:pPr>
            <w:r>
              <w:rPr>
                <w:rFonts w:hint="default" w:ascii="Times New Roman" w:hAnsi="Times New Roman" w:eastAsia="宋体" w:cs="Times New Roman"/>
                <w:strike w:val="0"/>
                <w:dstrike w:val="0"/>
                <w:color w:val="000000" w:themeColor="text1"/>
                <w:sz w:val="24"/>
                <w:highlight w:val="none"/>
              </w:rPr>
              <w:t>根据国家实施主要污染物排放总量控制的相关要求及江西地方相关规定，纳入总量确认指标的为COD、NH</w:t>
            </w:r>
            <w:r>
              <w:rPr>
                <w:rFonts w:hint="default" w:ascii="Times New Roman" w:hAnsi="Times New Roman" w:eastAsia="宋体" w:cs="Times New Roman"/>
                <w:strike w:val="0"/>
                <w:dstrike w:val="0"/>
                <w:color w:val="000000" w:themeColor="text1"/>
                <w:sz w:val="24"/>
                <w:highlight w:val="none"/>
                <w:vertAlign w:val="subscript"/>
              </w:rPr>
              <w:t>3</w:t>
            </w:r>
            <w:r>
              <w:rPr>
                <w:rFonts w:hint="default" w:ascii="Times New Roman" w:hAnsi="Times New Roman" w:eastAsia="宋体" w:cs="Times New Roman"/>
                <w:strike w:val="0"/>
                <w:dstrike w:val="0"/>
                <w:color w:val="000000" w:themeColor="text1"/>
                <w:sz w:val="24"/>
                <w:highlight w:val="none"/>
              </w:rPr>
              <w:t>-N、</w:t>
            </w:r>
            <w:r>
              <w:rPr>
                <w:rFonts w:hint="eastAsia" w:ascii="Times New Roman" w:hAnsi="Times New Roman" w:eastAsia="宋体" w:cs="Times New Roman"/>
                <w:strike w:val="0"/>
                <w:dstrike w:val="0"/>
                <w:color w:val="000000" w:themeColor="text1"/>
                <w:sz w:val="24"/>
                <w:highlight w:val="none"/>
                <w:lang w:val="en-US" w:eastAsia="zh-CN"/>
              </w:rPr>
              <w:t>SO</w:t>
            </w:r>
            <w:r>
              <w:rPr>
                <w:rFonts w:hint="eastAsia" w:ascii="Times New Roman" w:hAnsi="Times New Roman" w:eastAsia="宋体" w:cs="Times New Roman"/>
                <w:strike w:val="0"/>
                <w:dstrike w:val="0"/>
                <w:color w:val="000000" w:themeColor="text1"/>
                <w:sz w:val="24"/>
                <w:highlight w:val="none"/>
                <w:vertAlign w:val="subscript"/>
                <w:lang w:val="en-US" w:eastAsia="zh-CN"/>
              </w:rPr>
              <w:t>2</w:t>
            </w:r>
            <w:r>
              <w:rPr>
                <w:rFonts w:hint="eastAsia" w:ascii="Times New Roman" w:hAnsi="Times New Roman" w:eastAsia="宋体" w:cs="Times New Roman"/>
                <w:strike w:val="0"/>
                <w:dstrike w:val="0"/>
                <w:color w:val="000000" w:themeColor="text1"/>
                <w:sz w:val="24"/>
                <w:highlight w:val="none"/>
                <w:lang w:val="en-US" w:eastAsia="zh-CN"/>
              </w:rPr>
              <w:t>、</w:t>
            </w:r>
            <w:r>
              <w:rPr>
                <w:rFonts w:hint="default" w:ascii="Times New Roman" w:hAnsi="Times New Roman" w:eastAsia="宋体" w:cs="Times New Roman"/>
                <w:strike w:val="0"/>
                <w:dstrike w:val="0"/>
                <w:color w:val="000000" w:themeColor="text1"/>
                <w:sz w:val="24"/>
                <w:highlight w:val="none"/>
              </w:rPr>
              <w:t>NOx、VOCs</w:t>
            </w:r>
            <w:r>
              <w:rPr>
                <w:rFonts w:hint="eastAsia" w:ascii="Times New Roman" w:hAnsi="Times New Roman" w:eastAsia="宋体" w:cs="Times New Roman"/>
                <w:strike w:val="0"/>
                <w:dstrike w:val="0"/>
                <w:color w:val="000000" w:themeColor="text1"/>
                <w:sz w:val="24"/>
                <w:highlight w:val="none"/>
                <w:lang w:eastAsia="zh-CN"/>
              </w:rPr>
              <w:t>、</w:t>
            </w:r>
            <w:r>
              <w:rPr>
                <w:rFonts w:hint="eastAsia" w:ascii="Times New Roman" w:hAnsi="Times New Roman" w:eastAsia="宋体" w:cs="Times New Roman"/>
                <w:strike w:val="0"/>
                <w:dstrike w:val="0"/>
                <w:color w:val="000000" w:themeColor="text1"/>
                <w:sz w:val="24"/>
                <w:highlight w:val="none"/>
                <w:lang w:val="en-US" w:eastAsia="zh-CN"/>
              </w:rPr>
              <w:t>颗粒物</w:t>
            </w:r>
            <w:r>
              <w:rPr>
                <w:rFonts w:hint="default" w:ascii="Times New Roman" w:hAnsi="Times New Roman" w:eastAsia="宋体" w:cs="Times New Roman"/>
                <w:strike w:val="0"/>
                <w:dstrike w:val="0"/>
                <w:color w:val="000000" w:themeColor="text1"/>
                <w:sz w:val="24"/>
                <w:highlight w:val="none"/>
              </w:rPr>
              <w:t xml:space="preserve">。       </w:t>
            </w:r>
          </w:p>
          <w:p w14:paraId="52D162F8">
            <w:pPr>
              <w:spacing w:line="360" w:lineRule="auto"/>
              <w:ind w:firstLine="480" w:firstLineChars="200"/>
              <w:rPr>
                <w:rFonts w:hint="default" w:ascii="Times New Roman" w:hAnsi="Times New Roman" w:eastAsia="宋体" w:cs="Times New Roman"/>
                <w:strike w:val="0"/>
                <w:dstrike w:val="0"/>
                <w:color w:val="000000" w:themeColor="text1"/>
                <w:sz w:val="24"/>
                <w:highlight w:val="none"/>
              </w:rPr>
            </w:pPr>
            <w:r>
              <w:rPr>
                <w:rFonts w:hint="default" w:ascii="Times New Roman" w:hAnsi="Times New Roman" w:eastAsia="宋体" w:cs="Times New Roman"/>
                <w:strike w:val="0"/>
                <w:dstrike w:val="0"/>
                <w:color w:val="000000" w:themeColor="text1"/>
                <w:sz w:val="24"/>
                <w:highlight w:val="none"/>
              </w:rPr>
              <w:t>项目</w:t>
            </w:r>
            <w:r>
              <w:rPr>
                <w:rFonts w:hint="eastAsia" w:cs="Times New Roman"/>
                <w:strike w:val="0"/>
                <w:dstrike w:val="0"/>
                <w:color w:val="000000" w:themeColor="text1"/>
                <w:sz w:val="24"/>
                <w:highlight w:val="none"/>
                <w:lang w:val="en-US" w:eastAsia="zh-CN"/>
              </w:rPr>
              <w:t>废水为地面清洗水</w:t>
            </w:r>
            <w:r>
              <w:rPr>
                <w:rFonts w:hint="default" w:ascii="Times New Roman" w:hAnsi="Times New Roman" w:eastAsia="宋体" w:cs="Times New Roman"/>
                <w:strike w:val="0"/>
                <w:dstrike w:val="0"/>
                <w:color w:val="000000" w:themeColor="text1"/>
                <w:sz w:val="24"/>
                <w:highlight w:val="none"/>
              </w:rPr>
              <w:t>，需申请COD</w:t>
            </w:r>
            <w:r>
              <w:rPr>
                <w:rFonts w:hint="eastAsia" w:cs="Times New Roman"/>
                <w:strike w:val="0"/>
                <w:dstrike w:val="0"/>
                <w:color w:val="000000" w:themeColor="text1"/>
                <w:sz w:val="24"/>
                <w:highlight w:val="none"/>
                <w:lang w:val="en-US" w:eastAsia="zh-CN"/>
              </w:rPr>
              <w:t>cr</w:t>
            </w:r>
            <w:r>
              <w:rPr>
                <w:rFonts w:hint="default" w:ascii="Times New Roman" w:hAnsi="Times New Roman" w:eastAsia="宋体" w:cs="Times New Roman"/>
                <w:strike w:val="0"/>
                <w:dstrike w:val="0"/>
                <w:color w:val="000000" w:themeColor="text1"/>
                <w:sz w:val="24"/>
                <w:highlight w:val="none"/>
              </w:rPr>
              <w:t>排放总量控制指标。</w:t>
            </w:r>
          </w:p>
          <w:p w14:paraId="6AEB304B">
            <w:pPr>
              <w:spacing w:line="360" w:lineRule="auto"/>
              <w:ind w:firstLine="480" w:firstLineChars="200"/>
              <w:jc w:val="left"/>
              <w:rPr>
                <w:rFonts w:hint="default" w:ascii="Times New Roman" w:hAnsi="Times New Roman" w:eastAsia="宋体" w:cs="Times New Roman"/>
                <w:strike w:val="0"/>
                <w:dstrike w:val="0"/>
                <w:color w:val="000000" w:themeColor="text1"/>
                <w:sz w:val="24"/>
                <w:highlight w:val="none"/>
                <w:lang w:val="en-US" w:eastAsia="zh-CN"/>
              </w:rPr>
            </w:pPr>
            <w:r>
              <w:rPr>
                <w:rFonts w:hint="default" w:ascii="Times New Roman" w:hAnsi="Times New Roman" w:eastAsia="宋体" w:cs="Times New Roman"/>
                <w:strike w:val="0"/>
                <w:dstrike w:val="0"/>
                <w:color w:val="000000" w:themeColor="text1"/>
                <w:sz w:val="24"/>
                <w:highlight w:val="none"/>
              </w:rPr>
              <w:t>本</w:t>
            </w:r>
            <w:r>
              <w:rPr>
                <w:rFonts w:hint="default" w:ascii="Times New Roman" w:hAnsi="Times New Roman" w:eastAsia="宋体" w:cs="Times New Roman"/>
                <w:strike w:val="0"/>
                <w:dstrike w:val="0"/>
                <w:color w:val="000000" w:themeColor="text1"/>
                <w:sz w:val="24"/>
                <w:highlight w:val="none"/>
                <w:lang w:val="en-US" w:eastAsia="zh-CN"/>
              </w:rPr>
              <w:t>项目</w:t>
            </w:r>
            <w:r>
              <w:rPr>
                <w:rFonts w:hint="eastAsia" w:ascii="Times New Roman" w:hAnsi="Times New Roman" w:eastAsia="宋体" w:cs="Times New Roman"/>
                <w:strike w:val="0"/>
                <w:dstrike w:val="0"/>
                <w:color w:val="000000" w:themeColor="text1"/>
                <w:sz w:val="24"/>
                <w:highlight w:val="none"/>
                <w:lang w:val="en-US" w:eastAsia="zh-CN"/>
              </w:rPr>
              <w:t>废气</w:t>
            </w:r>
            <w:r>
              <w:rPr>
                <w:rFonts w:hint="default" w:ascii="Times New Roman" w:hAnsi="Times New Roman" w:eastAsia="宋体" w:cs="Times New Roman"/>
                <w:strike w:val="0"/>
                <w:dstrike w:val="0"/>
                <w:color w:val="000000" w:themeColor="text1"/>
                <w:sz w:val="24"/>
                <w:highlight w:val="none"/>
                <w:lang w:val="en-US" w:eastAsia="zh-CN"/>
              </w:rPr>
              <w:t>TVOC</w:t>
            </w:r>
            <w:r>
              <w:rPr>
                <w:rFonts w:hint="eastAsia" w:ascii="Times New Roman" w:hAnsi="Times New Roman" w:eastAsia="宋体" w:cs="Times New Roman"/>
                <w:strike w:val="0"/>
                <w:dstrike w:val="0"/>
                <w:color w:val="000000" w:themeColor="text1"/>
                <w:sz w:val="24"/>
                <w:highlight w:val="none"/>
                <w:lang w:val="en-US" w:eastAsia="zh-CN"/>
              </w:rPr>
              <w:t>、颗粒物</w:t>
            </w:r>
            <w:r>
              <w:rPr>
                <w:rFonts w:hint="eastAsia" w:cs="Times New Roman"/>
                <w:strike w:val="0"/>
                <w:dstrike w:val="0"/>
                <w:color w:val="000000" w:themeColor="text1"/>
                <w:sz w:val="24"/>
                <w:highlight w:val="none"/>
                <w:lang w:val="en-US" w:eastAsia="zh-CN"/>
              </w:rPr>
              <w:t>、</w:t>
            </w:r>
            <w:r>
              <w:rPr>
                <w:rFonts w:hint="eastAsia" w:ascii="Times New Roman" w:hAnsi="Times New Roman" w:eastAsia="宋体" w:cs="Times New Roman"/>
                <w:strike w:val="0"/>
                <w:dstrike w:val="0"/>
                <w:color w:val="000000" w:themeColor="text1"/>
                <w:sz w:val="24"/>
                <w:highlight w:val="none"/>
                <w:lang w:val="en-US" w:eastAsia="zh-CN"/>
              </w:rPr>
              <w:t>SO</w:t>
            </w:r>
            <w:r>
              <w:rPr>
                <w:rFonts w:hint="eastAsia" w:ascii="Times New Roman" w:hAnsi="Times New Roman" w:eastAsia="宋体" w:cs="Times New Roman"/>
                <w:strike w:val="0"/>
                <w:dstrike w:val="0"/>
                <w:color w:val="000000" w:themeColor="text1"/>
                <w:sz w:val="24"/>
                <w:highlight w:val="none"/>
                <w:vertAlign w:val="subscript"/>
                <w:lang w:val="en-US" w:eastAsia="zh-CN"/>
              </w:rPr>
              <w:t>2</w:t>
            </w:r>
            <w:r>
              <w:rPr>
                <w:rFonts w:hint="eastAsia" w:ascii="Times New Roman" w:hAnsi="Times New Roman" w:eastAsia="宋体" w:cs="Times New Roman"/>
                <w:strike w:val="0"/>
                <w:dstrike w:val="0"/>
                <w:color w:val="000000" w:themeColor="text1"/>
                <w:sz w:val="24"/>
                <w:highlight w:val="none"/>
                <w:lang w:val="en-US" w:eastAsia="zh-CN"/>
              </w:rPr>
              <w:t>、</w:t>
            </w:r>
            <w:r>
              <w:rPr>
                <w:rFonts w:hint="default" w:ascii="Times New Roman" w:hAnsi="Times New Roman" w:eastAsia="宋体" w:cs="Times New Roman"/>
                <w:strike w:val="0"/>
                <w:dstrike w:val="0"/>
                <w:color w:val="000000" w:themeColor="text1"/>
                <w:sz w:val="24"/>
                <w:highlight w:val="none"/>
              </w:rPr>
              <w:t>NOx</w:t>
            </w:r>
            <w:r>
              <w:rPr>
                <w:rFonts w:hint="default" w:ascii="Times New Roman" w:hAnsi="Times New Roman" w:eastAsia="宋体" w:cs="Times New Roman"/>
                <w:strike w:val="0"/>
                <w:dstrike w:val="0"/>
                <w:color w:val="000000" w:themeColor="text1"/>
                <w:sz w:val="24"/>
                <w:highlight w:val="none"/>
                <w:lang w:val="en-US" w:eastAsia="zh-CN"/>
              </w:rPr>
              <w:t>总</w:t>
            </w:r>
            <w:r>
              <w:rPr>
                <w:rFonts w:hint="default" w:ascii="Times New Roman" w:hAnsi="Times New Roman" w:eastAsia="宋体" w:cs="Times New Roman"/>
                <w:strike w:val="0"/>
                <w:dstrike w:val="0"/>
                <w:color w:val="000000" w:themeColor="text1"/>
                <w:sz w:val="24"/>
                <w:highlight w:val="none"/>
              </w:rPr>
              <w:t>量</w:t>
            </w:r>
            <w:r>
              <w:rPr>
                <w:rFonts w:hint="eastAsia" w:ascii="Times New Roman" w:hAnsi="Times New Roman" w:eastAsia="宋体" w:cs="Times New Roman"/>
                <w:strike w:val="0"/>
                <w:dstrike w:val="0"/>
                <w:color w:val="000000" w:themeColor="text1"/>
                <w:sz w:val="24"/>
                <w:highlight w:val="none"/>
                <w:lang w:val="en-US" w:eastAsia="zh-CN"/>
              </w:rPr>
              <w:t>如下：</w:t>
            </w:r>
          </w:p>
          <w:p w14:paraId="546749FB">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auto"/>
              <w:rPr>
                <w:rFonts w:hint="default" w:ascii="宋体" w:hAnsi="宋体" w:eastAsia="宋体" w:cs="宋体"/>
                <w:color w:val="000000" w:themeColor="text1"/>
                <w:kern w:val="0"/>
                <w:sz w:val="24"/>
                <w:szCs w:val="24"/>
                <w:lang w:val="en-US" w:eastAsia="zh-CN" w:bidi="ar"/>
              </w:rPr>
            </w:pPr>
            <w:r>
              <w:rPr>
                <w:rFonts w:hint="default" w:ascii="Times New Roman" w:hAnsi="Times New Roman" w:eastAsia="宋体" w:cs="Times New Roman"/>
                <w:b/>
                <w:color w:val="000000" w:themeColor="text1"/>
                <w:sz w:val="21"/>
                <w:szCs w:val="21"/>
              </w:rPr>
              <w:t>表3-</w:t>
            </w:r>
            <w:r>
              <w:rPr>
                <w:rFonts w:hint="eastAsia" w:ascii="Times New Roman" w:hAnsi="Times New Roman" w:eastAsia="宋体" w:cs="Times New Roman"/>
                <w:b/>
                <w:color w:val="000000" w:themeColor="text1"/>
                <w:sz w:val="21"/>
                <w:szCs w:val="21"/>
                <w:lang w:val="en-US" w:eastAsia="zh-CN"/>
              </w:rPr>
              <w:t xml:space="preserve">15  </w:t>
            </w:r>
            <w:r>
              <w:rPr>
                <w:rFonts w:hint="default" w:ascii="Times New Roman" w:hAnsi="Times New Roman" w:eastAsia="宋体" w:cs="Times New Roman"/>
                <w:b/>
                <w:color w:val="000000" w:themeColor="text1"/>
                <w:sz w:val="21"/>
                <w:szCs w:val="21"/>
              </w:rPr>
              <w:t>项目</w:t>
            </w:r>
            <w:r>
              <w:rPr>
                <w:rFonts w:hint="eastAsia" w:ascii="Times New Roman" w:hAnsi="Times New Roman" w:eastAsia="宋体" w:cs="Times New Roman"/>
                <w:b/>
                <w:color w:val="000000" w:themeColor="text1"/>
                <w:sz w:val="21"/>
                <w:szCs w:val="21"/>
                <w:lang w:val="en-US" w:eastAsia="zh-CN"/>
              </w:rPr>
              <w:t>污染物总量控制指标</w:t>
            </w:r>
          </w:p>
          <w:tbl>
            <w:tblPr>
              <w:tblStyle w:val="3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2710"/>
              <w:gridCol w:w="2711"/>
            </w:tblGrid>
            <w:tr w14:paraId="5E490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5F2EB6DB">
                  <w:pPr>
                    <w:pStyle w:val="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eastAsia="宋体"/>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污染物</w:t>
                  </w:r>
                </w:p>
              </w:tc>
              <w:tc>
                <w:tcPr>
                  <w:tcW w:w="2710" w:type="dxa"/>
                  <w:tcBorders>
                    <w:tl2br w:val="nil"/>
                    <w:tr2bl w:val="nil"/>
                  </w:tcBorders>
                  <w:vAlign w:val="center"/>
                </w:tcPr>
                <w:p w14:paraId="7FE55830">
                  <w:pPr>
                    <w:pStyle w:val="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本项目排放量（t/a）</w:t>
                  </w:r>
                </w:p>
              </w:tc>
              <w:tc>
                <w:tcPr>
                  <w:tcW w:w="2711" w:type="dxa"/>
                  <w:tcBorders>
                    <w:tl2br w:val="nil"/>
                    <w:tr2bl w:val="nil"/>
                  </w:tcBorders>
                  <w:vAlign w:val="center"/>
                </w:tcPr>
                <w:p w14:paraId="254610BA">
                  <w:pPr>
                    <w:pStyle w:val="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宋体"/>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本项目总量控制指标（t/a）</w:t>
                  </w:r>
                </w:p>
              </w:tc>
            </w:tr>
            <w:tr w14:paraId="6CAC3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3AD990B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2710" w:type="dxa"/>
                  <w:tcBorders>
                    <w:tl2br w:val="nil"/>
                    <w:tr2bl w:val="nil"/>
                  </w:tcBorders>
                  <w:vAlign w:val="center"/>
                </w:tcPr>
                <w:p w14:paraId="51B9D09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0.986</w:t>
                  </w:r>
                </w:p>
              </w:tc>
              <w:tc>
                <w:tcPr>
                  <w:tcW w:w="2711" w:type="dxa"/>
                  <w:tcBorders>
                    <w:tl2br w:val="nil"/>
                    <w:tr2bl w:val="nil"/>
                  </w:tcBorders>
                  <w:vAlign w:val="center"/>
                </w:tcPr>
                <w:p w14:paraId="06A786F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0.986</w:t>
                  </w:r>
                </w:p>
              </w:tc>
            </w:tr>
            <w:tr w14:paraId="723D0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1799D506">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eastAsia="宋体"/>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SO</w:t>
                  </w:r>
                  <w:r>
                    <w:rPr>
                      <w:rFonts w:hint="eastAsia" w:ascii="Times New Roman" w:hAnsi="Times New Roman" w:eastAsia="宋体" w:cs="Times New Roman"/>
                      <w:b w:val="0"/>
                      <w:bCs w:val="0"/>
                      <w:color w:val="000000" w:themeColor="text1"/>
                      <w:sz w:val="21"/>
                      <w:szCs w:val="21"/>
                      <w:vertAlign w:val="subscript"/>
                      <w:lang w:val="en-US" w:eastAsia="zh-CN"/>
                    </w:rPr>
                    <w:t>2</w:t>
                  </w:r>
                </w:p>
              </w:tc>
              <w:tc>
                <w:tcPr>
                  <w:tcW w:w="2710" w:type="dxa"/>
                  <w:tcBorders>
                    <w:tl2br w:val="nil"/>
                    <w:tr2bl w:val="nil"/>
                  </w:tcBorders>
                  <w:vAlign w:val="center"/>
                </w:tcPr>
                <w:p w14:paraId="1BE7EC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c>
                <w:tcPr>
                  <w:tcW w:w="2711" w:type="dxa"/>
                  <w:tcBorders>
                    <w:tl2br w:val="nil"/>
                    <w:tr2bl w:val="nil"/>
                  </w:tcBorders>
                  <w:vAlign w:val="center"/>
                </w:tcPr>
                <w:p w14:paraId="533149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r>
            <w:tr w14:paraId="368FA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7A7FE4E2">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NOx</w:t>
                  </w:r>
                </w:p>
              </w:tc>
              <w:tc>
                <w:tcPr>
                  <w:tcW w:w="2710" w:type="dxa"/>
                  <w:tcBorders>
                    <w:tl2br w:val="nil"/>
                    <w:tr2bl w:val="nil"/>
                  </w:tcBorders>
                  <w:vAlign w:val="center"/>
                </w:tcPr>
                <w:p w14:paraId="20D1730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c>
                <w:tcPr>
                  <w:tcW w:w="2711" w:type="dxa"/>
                  <w:tcBorders>
                    <w:tl2br w:val="nil"/>
                    <w:tr2bl w:val="nil"/>
                  </w:tcBorders>
                  <w:vAlign w:val="center"/>
                </w:tcPr>
                <w:p w14:paraId="344CD8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r>
            <w:tr w14:paraId="170B9D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2C1EFDC7">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TVOC</w:t>
                  </w:r>
                </w:p>
              </w:tc>
              <w:tc>
                <w:tcPr>
                  <w:tcW w:w="2710" w:type="dxa"/>
                  <w:tcBorders>
                    <w:tl2br w:val="nil"/>
                    <w:tr2bl w:val="nil"/>
                  </w:tcBorders>
                  <w:vAlign w:val="center"/>
                </w:tcPr>
                <w:p w14:paraId="79E45747">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1.458</w:t>
                  </w:r>
                </w:p>
              </w:tc>
              <w:tc>
                <w:tcPr>
                  <w:tcW w:w="2711" w:type="dxa"/>
                  <w:tcBorders>
                    <w:tl2br w:val="nil"/>
                    <w:tr2bl w:val="nil"/>
                  </w:tcBorders>
                  <w:vAlign w:val="center"/>
                </w:tcPr>
                <w:p w14:paraId="1E24960F">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1.458</w:t>
                  </w:r>
                </w:p>
              </w:tc>
            </w:tr>
            <w:tr w14:paraId="5094D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0" w:type="dxa"/>
                  <w:tcBorders>
                    <w:tl2br w:val="nil"/>
                    <w:tr2bl w:val="nil"/>
                  </w:tcBorders>
                  <w:vAlign w:val="center"/>
                </w:tcPr>
                <w:p w14:paraId="1D0EC799">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CODcr</w:t>
                  </w:r>
                </w:p>
              </w:tc>
              <w:tc>
                <w:tcPr>
                  <w:tcW w:w="2710" w:type="dxa"/>
                  <w:tcBorders>
                    <w:tl2br w:val="nil"/>
                    <w:tr2bl w:val="nil"/>
                  </w:tcBorders>
                  <w:vAlign w:val="center"/>
                </w:tcPr>
                <w:p w14:paraId="412E6F35">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0.008</w:t>
                  </w:r>
                </w:p>
              </w:tc>
              <w:tc>
                <w:tcPr>
                  <w:tcW w:w="2711" w:type="dxa"/>
                  <w:tcBorders>
                    <w:tl2br w:val="nil"/>
                    <w:tr2bl w:val="nil"/>
                  </w:tcBorders>
                  <w:vAlign w:val="center"/>
                </w:tcPr>
                <w:p w14:paraId="29DCFA69">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0.008</w:t>
                  </w:r>
                </w:p>
              </w:tc>
            </w:tr>
          </w:tbl>
          <w:p w14:paraId="7C700A2A">
            <w:pPr>
              <w:ind w:firstLine="480"/>
              <w:rPr>
                <w:rFonts w:hint="default" w:ascii="Times New Roman" w:hAnsi="Times New Roman" w:eastAsia="宋体" w:cs="Times New Roman"/>
                <w:color w:val="000000" w:themeColor="text1"/>
              </w:rPr>
            </w:pPr>
          </w:p>
        </w:tc>
      </w:tr>
    </w:tbl>
    <w:p w14:paraId="66E6A998">
      <w:pPr>
        <w:pStyle w:val="20"/>
        <w:spacing w:before="0" w:beforeAutospacing="0" w:after="0" w:afterAutospacing="0" w:line="240" w:lineRule="auto"/>
        <w:jc w:val="center"/>
        <w:outlineLvl w:val="0"/>
        <w:rPr>
          <w:rFonts w:hint="default" w:ascii="Times New Roman" w:hAnsi="Times New Roman" w:eastAsia="宋体" w:cs="Times New Roman"/>
          <w:snapToGrid w:val="0"/>
          <w:color w:val="000000" w:themeColor="text1"/>
          <w:sz w:val="30"/>
          <w:szCs w:val="30"/>
        </w:rPr>
      </w:pPr>
      <w:r>
        <w:rPr>
          <w:rFonts w:hint="default" w:ascii="Times New Roman" w:hAnsi="Times New Roman" w:eastAsia="宋体" w:cs="Times New Roman"/>
          <w:snapToGrid w:val="0"/>
          <w:color w:val="000000" w:themeColor="text1"/>
          <w:sz w:val="36"/>
          <w:szCs w:val="36"/>
        </w:rPr>
        <w:br w:type="page"/>
      </w:r>
      <w:r>
        <w:rPr>
          <w:rFonts w:hint="default" w:ascii="Times New Roman" w:hAnsi="Times New Roman" w:eastAsia="宋体" w:cs="Times New Roman"/>
          <w:snapToGrid w:val="0"/>
          <w:color w:val="000000" w:themeColor="text1"/>
          <w:sz w:val="30"/>
          <w:szCs w:val="30"/>
        </w:rPr>
        <w:t>四、主要环境影响和保护措施</w:t>
      </w:r>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345"/>
      </w:tblGrid>
      <w:tr w14:paraId="50A53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563" w:type="dxa"/>
            <w:tcMar>
              <w:left w:w="28" w:type="dxa"/>
              <w:right w:w="28" w:type="dxa"/>
            </w:tcMar>
            <w:vAlign w:val="center"/>
          </w:tcPr>
          <w:p w14:paraId="23B5ECE3">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施工</w:t>
            </w:r>
          </w:p>
          <w:p w14:paraId="380CEE42">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期环</w:t>
            </w:r>
          </w:p>
          <w:p w14:paraId="4E12B088">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境保</w:t>
            </w:r>
          </w:p>
          <w:p w14:paraId="3C080F4B">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护措</w:t>
            </w:r>
          </w:p>
          <w:p w14:paraId="50A33EF3">
            <w:pPr>
              <w:adjustRightInd w:val="0"/>
              <w:snapToGrid w:val="0"/>
              <w:spacing w:line="240" w:lineRule="auto"/>
              <w:ind w:firstLine="0" w:firstLineChars="0"/>
              <w:jc w:val="center"/>
              <w:rPr>
                <w:rFonts w:hint="default" w:ascii="Times New Roman" w:hAnsi="Times New Roman" w:eastAsia="宋体" w:cs="Times New Roman"/>
                <w:bCs/>
                <w:color w:val="000000" w:themeColor="text1"/>
                <w:kern w:val="2"/>
                <w:sz w:val="21"/>
                <w:szCs w:val="21"/>
              </w:rPr>
            </w:pPr>
            <w:r>
              <w:rPr>
                <w:rFonts w:hint="default" w:ascii="Times New Roman" w:hAnsi="Times New Roman" w:eastAsia="宋体" w:cs="Times New Roman"/>
                <w:b/>
                <w:bCs w:val="0"/>
                <w:color w:val="000000" w:themeColor="text1"/>
                <w:szCs w:val="21"/>
              </w:rPr>
              <w:t>施施</w:t>
            </w:r>
          </w:p>
        </w:tc>
        <w:tc>
          <w:tcPr>
            <w:tcW w:w="8345" w:type="dxa"/>
            <w:vAlign w:val="center"/>
          </w:tcPr>
          <w:p w14:paraId="5C66D34B">
            <w:pPr>
              <w:keepNext w:val="0"/>
              <w:keepLines w:val="0"/>
              <w:widowControl/>
              <w:suppressLineNumbers w:val="0"/>
              <w:jc w:val="left"/>
              <w:rPr>
                <w:rFonts w:hint="default" w:ascii="Times New Roman" w:hAnsi="Times New Roman" w:cs="Times New Roman"/>
                <w:color w:val="000000" w:themeColor="text1"/>
                <w:lang w:val="en-US" w:eastAsia="zh-CN"/>
              </w:rPr>
            </w:pPr>
            <w:r>
              <w:rPr>
                <w:rFonts w:hint="default" w:ascii="Times New Roman" w:hAnsi="Times New Roman" w:cs="Times New Roman"/>
                <w:color w:val="000000" w:themeColor="text1"/>
                <w:lang w:val="en-US" w:eastAsia="zh-CN"/>
              </w:rPr>
              <w:t>本项目位于江西省九江市柴桑区赤湖工业园兴业大道，本次扩建</w:t>
            </w:r>
            <w:r>
              <w:rPr>
                <w:rFonts w:hint="default" w:ascii="Times New Roman" w:hAnsi="Times New Roman" w:eastAsia="Calibri" w:cs="Times New Roman"/>
                <w:color w:val="000000" w:themeColor="text1"/>
                <w:kern w:val="2"/>
                <w:sz w:val="24"/>
                <w:szCs w:val="24"/>
                <w:lang w:val="en-US" w:eastAsia="zh-CN" w:bidi="ar-SA"/>
              </w:rPr>
              <w:t>需扩建办公楼1</w:t>
            </w:r>
            <w:r>
              <w:rPr>
                <w:rFonts w:hint="eastAsia" w:eastAsia="Calibri" w:cs="Times New Roman"/>
                <w:color w:val="000000" w:themeColor="text1"/>
                <w:kern w:val="2"/>
                <w:sz w:val="24"/>
                <w:szCs w:val="24"/>
                <w:lang w:val="en-US" w:eastAsia="zh-CN" w:bidi="ar-SA"/>
              </w:rPr>
              <w:t>栋</w:t>
            </w:r>
            <w:r>
              <w:rPr>
                <w:rFonts w:hint="default" w:ascii="Times New Roman" w:hAnsi="Times New Roman" w:eastAsia="Calibri" w:cs="Times New Roman"/>
                <w:color w:val="000000" w:themeColor="text1"/>
                <w:kern w:val="2"/>
                <w:sz w:val="24"/>
                <w:szCs w:val="24"/>
                <w:lang w:val="en-US" w:eastAsia="zh-CN" w:bidi="ar-SA"/>
              </w:rPr>
              <w:t>、标准钢结构厂房3</w:t>
            </w:r>
            <w:r>
              <w:rPr>
                <w:rFonts w:hint="eastAsia" w:eastAsia="Calibri" w:cs="Times New Roman"/>
                <w:color w:val="000000" w:themeColor="text1"/>
                <w:kern w:val="2"/>
                <w:sz w:val="24"/>
                <w:szCs w:val="24"/>
                <w:lang w:val="en-US" w:eastAsia="zh-CN" w:bidi="ar-SA"/>
              </w:rPr>
              <w:t>栋</w:t>
            </w:r>
            <w:r>
              <w:rPr>
                <w:rFonts w:hint="default" w:ascii="Times New Roman" w:hAnsi="Times New Roman" w:eastAsia="Calibri" w:cs="Times New Roman"/>
                <w:color w:val="000000" w:themeColor="text1"/>
                <w:kern w:val="2"/>
                <w:sz w:val="24"/>
                <w:szCs w:val="24"/>
                <w:lang w:val="en-US" w:eastAsia="zh-CN" w:bidi="ar-SA"/>
              </w:rPr>
              <w:t>。</w:t>
            </w:r>
            <w:r>
              <w:rPr>
                <w:rFonts w:hint="default" w:ascii="Times New Roman" w:hAnsi="Times New Roman" w:cs="Times New Roman"/>
                <w:color w:val="000000" w:themeColor="text1"/>
                <w:lang w:val="en-US" w:eastAsia="zh-CN"/>
              </w:rPr>
              <w:t>施工期主要建设内容为生产车间、办公室等土建工程施工及内部装修和生产设备安装调试，厂区道路平整硬化、厂区绿化。</w:t>
            </w:r>
          </w:p>
          <w:p w14:paraId="330B68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1、废气防治措施</w:t>
            </w:r>
          </w:p>
          <w:p w14:paraId="3D1078F5">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为了减轻施工期废气对周边环境影响，本次评价提出以下防治措施：</w:t>
            </w:r>
          </w:p>
          <w:p w14:paraId="6E7C9FF2">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（1）对运输粉状物料的车辆，加盖遮挡物或者采用密闭运输的方式，减少沿途漏撒粉尘对环境的影响；</w:t>
            </w:r>
          </w:p>
          <w:p w14:paraId="48D850F3">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（2）对施工场地进行适量的洒水，可大大减少扬尘量；</w:t>
            </w:r>
          </w:p>
          <w:p w14:paraId="191865D0">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（3）减少建筑物料的露天堆放，尤其是粉状物料的堆放，在物料堆放处加盖遮挡物，避免扬尘的影响；</w:t>
            </w:r>
          </w:p>
          <w:p w14:paraId="2529FAE6">
            <w:pPr>
              <w:pStyle w:val="1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（4）在施工现场四周应修建不低于2.5m高围挡、围护防护墙或安装遮挡设施，实行封闭式施工；</w:t>
            </w:r>
          </w:p>
          <w:p w14:paraId="4CCF0CD8">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000000" w:themeColor="text1"/>
                <w:lang w:eastAsia="zh-CN"/>
              </w:rPr>
            </w:pPr>
            <w:r>
              <w:rPr>
                <w:rFonts w:hint="default" w:ascii="Times New Roman" w:hAnsi="Times New Roman" w:cs="Times New Roman"/>
                <w:color w:val="000000" w:themeColor="text1"/>
              </w:rPr>
              <w:t>（5）施工机械产生的尾气主要是石油燃烧的产物，主要成分为CO、NO</w:t>
            </w:r>
            <w:r>
              <w:rPr>
                <w:rFonts w:hint="default" w:ascii="Times New Roman" w:hAnsi="Times New Roman" w:cs="Times New Roman"/>
                <w:color w:val="000000" w:themeColor="text1"/>
                <w:vertAlign w:val="subscript"/>
              </w:rPr>
              <w:t>X</w:t>
            </w:r>
            <w:r>
              <w:rPr>
                <w:rFonts w:hint="default" w:ascii="Times New Roman" w:hAnsi="Times New Roman" w:cs="Times New Roman"/>
                <w:color w:val="000000" w:themeColor="text1"/>
              </w:rPr>
              <w:t>、</w:t>
            </w:r>
            <w:r>
              <w:rPr>
                <w:rFonts w:hint="default" w:ascii="Times New Roman" w:hAnsi="Times New Roman" w:cs="Times New Roman"/>
                <w:color w:val="000000" w:themeColor="text1"/>
                <w:lang w:val="en-US" w:eastAsia="zh-CN"/>
              </w:rPr>
              <w:t>T</w:t>
            </w:r>
            <w:r>
              <w:rPr>
                <w:rFonts w:hint="default" w:ascii="Times New Roman" w:hAnsi="Times New Roman" w:cs="Times New Roman"/>
                <w:color w:val="000000" w:themeColor="text1"/>
              </w:rPr>
              <w:t>HC等，该类气体属于无组织排放，产生量和施工机械的先进程度和数量有很大关系，建议采用先进的环保设备、优质柴油，通过空气的稀释扩散可大大降低对环境的影响</w:t>
            </w:r>
            <w:r>
              <w:rPr>
                <w:rFonts w:hint="default" w:ascii="Times New Roman" w:hAnsi="Times New Roman" w:cs="Times New Roman"/>
                <w:color w:val="000000" w:themeColor="text1"/>
                <w:lang w:eastAsia="zh-CN"/>
              </w:rPr>
              <w:t>；</w:t>
            </w:r>
          </w:p>
          <w:p w14:paraId="69851D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6）为有效抑制工地扬尘，应严格对标“八个百分百”，即“工地周边100%围挡、物料堆放100%覆盖、出入车辆100%冲洗、施工现场地面100%硬化、拆迁工地100%湿法作业、渣土车辆100%密闭运输、视频监控全覆盖以及新型扬尘监测设备”，要求建筑工地绿色施工。</w:t>
            </w:r>
          </w:p>
          <w:p w14:paraId="6FC6BA5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2、废水防治措施</w:t>
            </w:r>
          </w:p>
          <w:p w14:paraId="00C8AE41">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为了减轻施工期废水对周边环境的影响，本次评价提出以下防治措施：</w:t>
            </w:r>
          </w:p>
          <w:p w14:paraId="66BF9ECC">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①施工废水防治措施</w:t>
            </w:r>
          </w:p>
          <w:p w14:paraId="4461D8BC">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施工废水包括开挖、钻孔产生的泥浆水和各种施工机械设备运转的冷却及洗涤用水。前者含有大量的泥沙，后者则会有一定量的油污</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rPr>
              <w:t>同时在设备安装过程中，因调试、清洗设备，也会产生一定量的含油废水</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施工运输车辆进出厂区，在厂区进出口建设洗车平台，会产生洗车废水</w:t>
            </w:r>
            <w:r>
              <w:rPr>
                <w:rFonts w:hint="default" w:ascii="Times New Roman" w:hAnsi="Times New Roman" w:cs="Times New Roman"/>
                <w:color w:val="000000" w:themeColor="text1"/>
              </w:rPr>
              <w:t>。该部分废水产生量不大，通过在施工现场建造集水池、沉砂池、排水沟等水处理构筑物，对废水按不同的性质分类收集后处理，清洗废水主要含泥沙，经沉砂池后用于场地洒水、路面清洗</w:t>
            </w:r>
            <w:r>
              <w:rPr>
                <w:rFonts w:hint="default" w:ascii="Times New Roman" w:hAnsi="Times New Roman" w:cs="Times New Roman"/>
                <w:color w:val="000000" w:themeColor="text1"/>
                <w:lang w:eastAsia="zh-CN"/>
              </w:rPr>
              <w:t>、</w:t>
            </w:r>
            <w:r>
              <w:rPr>
                <w:rFonts w:hint="default" w:ascii="Times New Roman" w:hAnsi="Times New Roman" w:cs="Times New Roman"/>
                <w:color w:val="000000" w:themeColor="text1"/>
                <w:lang w:val="en-US" w:eastAsia="zh-CN"/>
              </w:rPr>
              <w:t>回用于运输车辆冲洗</w:t>
            </w:r>
            <w:r>
              <w:rPr>
                <w:rFonts w:hint="default" w:ascii="Times New Roman" w:hAnsi="Times New Roman" w:cs="Times New Roman"/>
                <w:color w:val="000000" w:themeColor="text1"/>
              </w:rPr>
              <w:t>等</w:t>
            </w:r>
            <w:r>
              <w:rPr>
                <w:rFonts w:hint="default" w:ascii="Times New Roman" w:hAnsi="Times New Roman" w:cs="Times New Roman"/>
                <w:color w:val="000000" w:themeColor="text1"/>
                <w:lang w:val="en-US" w:eastAsia="zh-CN"/>
              </w:rPr>
              <w:t>不外排</w:t>
            </w:r>
            <w:r>
              <w:rPr>
                <w:rFonts w:hint="default" w:ascii="Times New Roman" w:hAnsi="Times New Roman" w:cs="Times New Roman"/>
                <w:color w:val="000000" w:themeColor="text1"/>
              </w:rPr>
              <w:t>。</w:t>
            </w:r>
          </w:p>
          <w:p w14:paraId="285A7F2F">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②生活污水防治措施</w:t>
            </w:r>
          </w:p>
          <w:p w14:paraId="30A08392">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生活污水主要</w:t>
            </w:r>
            <w:r>
              <w:rPr>
                <w:rFonts w:hint="eastAsia" w:ascii="Times New Roman" w:eastAsia="宋体" w:cs="Times New Roman"/>
                <w:color w:val="000000" w:themeColor="text1"/>
                <w:lang w:eastAsia="zh-CN"/>
              </w:rPr>
              <w:t>由</w:t>
            </w:r>
            <w:r>
              <w:rPr>
                <w:rFonts w:hint="default" w:ascii="Times New Roman" w:hAnsi="Times New Roman" w:cs="Times New Roman"/>
                <w:color w:val="000000" w:themeColor="text1"/>
              </w:rPr>
              <w:t>施工人员的生活活动造成，主要包括清洗废水和冲厕水。</w:t>
            </w:r>
            <w:r>
              <w:rPr>
                <w:rFonts w:hint="default" w:ascii="Times New Roman" w:hAnsi="Times New Roman" w:cs="Times New Roman"/>
                <w:color w:val="000000" w:themeColor="text1"/>
                <w:lang w:val="en-US" w:eastAsia="zh-CN"/>
              </w:rPr>
              <w:t>本</w:t>
            </w:r>
            <w:r>
              <w:rPr>
                <w:rFonts w:hint="default" w:ascii="Times New Roman" w:hAnsi="Times New Roman" w:cs="Times New Roman"/>
                <w:color w:val="000000" w:themeColor="text1"/>
              </w:rPr>
              <w:t>项目施工人员生活污水</w:t>
            </w:r>
            <w:r>
              <w:rPr>
                <w:rFonts w:hint="default" w:ascii="Times New Roman" w:hAnsi="Times New Roman" w:cs="Times New Roman"/>
                <w:color w:val="000000" w:themeColor="text1"/>
                <w:lang w:val="en-US" w:eastAsia="zh-CN"/>
              </w:rPr>
              <w:t>经</w:t>
            </w:r>
            <w:r>
              <w:rPr>
                <w:rFonts w:hint="eastAsia" w:ascii="Times New Roman" w:hAnsi="Times New Roman" w:cs="Times New Roman"/>
                <w:color w:val="000000" w:themeColor="text1"/>
                <w:lang w:val="en-US" w:eastAsia="zh-CN"/>
              </w:rPr>
              <w:t>厂区现有</w:t>
            </w:r>
            <w:r>
              <w:rPr>
                <w:rFonts w:hint="default" w:ascii="Times New Roman" w:hAnsi="Times New Roman" w:cs="Times New Roman"/>
                <w:color w:val="000000" w:themeColor="text1"/>
                <w:lang w:val="en-GB"/>
              </w:rPr>
              <w:t>化粪池</w:t>
            </w:r>
            <w:r>
              <w:rPr>
                <w:rFonts w:hint="default" w:ascii="Times New Roman" w:hAnsi="Times New Roman" w:cs="Times New Roman"/>
                <w:color w:val="000000" w:themeColor="text1"/>
              </w:rPr>
              <w:t>预</w:t>
            </w:r>
            <w:r>
              <w:rPr>
                <w:rFonts w:hint="default" w:ascii="Times New Roman" w:hAnsi="Times New Roman" w:cs="Times New Roman"/>
                <w:color w:val="000000" w:themeColor="text1"/>
                <w:lang w:val="en-GB"/>
              </w:rPr>
              <w:t>处理</w:t>
            </w:r>
            <w:r>
              <w:rPr>
                <w:rFonts w:hint="eastAsia" w:ascii="Times New Roman" w:eastAsia="宋体" w:cs="Times New Roman"/>
                <w:color w:val="000000" w:themeColor="text1"/>
                <w:lang w:val="en-GB" w:eastAsia="zh-CN"/>
              </w:rPr>
              <w:t>达到</w:t>
            </w:r>
            <w:r>
              <w:rPr>
                <w:rFonts w:hint="default" w:ascii="Times New Roman" w:hAnsi="Times New Roman" w:cs="Times New Roman"/>
                <w:color w:val="000000" w:themeColor="text1"/>
                <w:lang w:val="en-GB" w:eastAsia="zh-CN"/>
              </w:rPr>
              <w:t>赤湖工业园污水处理厂接管标准</w:t>
            </w:r>
            <w:r>
              <w:rPr>
                <w:rFonts w:hint="default" w:ascii="Times New Roman" w:hAnsi="Times New Roman" w:cs="Times New Roman"/>
                <w:color w:val="000000" w:themeColor="text1"/>
              </w:rPr>
              <w:t>，经</w:t>
            </w:r>
            <w:r>
              <w:rPr>
                <w:rFonts w:hint="default" w:ascii="Times New Roman" w:hAnsi="Times New Roman" w:cs="Times New Roman"/>
                <w:color w:val="000000" w:themeColor="text1"/>
                <w:lang w:val="en-US" w:eastAsia="zh-CN"/>
              </w:rPr>
              <w:t>园区</w:t>
            </w:r>
            <w:r>
              <w:rPr>
                <w:rFonts w:hint="default" w:ascii="Times New Roman" w:hAnsi="Times New Roman" w:cs="Times New Roman"/>
                <w:color w:val="000000" w:themeColor="text1"/>
              </w:rPr>
              <w:t>污水管网排入</w:t>
            </w:r>
            <w:r>
              <w:rPr>
                <w:rFonts w:hint="default" w:ascii="Times New Roman" w:hAnsi="Times New Roman" w:cs="Times New Roman"/>
                <w:color w:val="000000" w:themeColor="text1"/>
                <w:lang w:val="en-US" w:eastAsia="zh-CN"/>
              </w:rPr>
              <w:t>赤湖工业园</w:t>
            </w:r>
            <w:r>
              <w:rPr>
                <w:rFonts w:hint="default" w:ascii="Times New Roman" w:hAnsi="Times New Roman" w:cs="Times New Roman"/>
                <w:color w:val="000000" w:themeColor="text1"/>
                <w:lang w:eastAsia="zh-CN"/>
              </w:rPr>
              <w:t>污水处理厂</w:t>
            </w:r>
            <w:r>
              <w:rPr>
                <w:rFonts w:hint="default" w:ascii="Times New Roman" w:hAnsi="Times New Roman" w:cs="Times New Roman"/>
                <w:color w:val="000000" w:themeColor="text1"/>
              </w:rPr>
              <w:t>进一步处理</w:t>
            </w:r>
            <w:r>
              <w:rPr>
                <w:rFonts w:hint="default" w:ascii="Times New Roman" w:hAnsi="Times New Roman" w:cs="Times New Roman"/>
                <w:color w:val="000000" w:themeColor="text1"/>
                <w:lang w:val="en-US" w:eastAsia="zh-CN"/>
              </w:rPr>
              <w:t>后</w:t>
            </w:r>
            <w:r>
              <w:rPr>
                <w:rFonts w:hint="default" w:ascii="Times New Roman" w:hAnsi="Times New Roman" w:cs="Times New Roman"/>
                <w:color w:val="000000" w:themeColor="text1"/>
              </w:rPr>
              <w:t>，满足《城镇污水处理厂污染物排放标准》（GB18918-2002）及其修改单</w:t>
            </w:r>
            <w:r>
              <w:rPr>
                <w:rFonts w:hint="default" w:ascii="Times New Roman" w:hAnsi="Times New Roman" w:cs="Times New Roman"/>
                <w:color w:val="000000" w:themeColor="text1"/>
                <w:lang w:val="en-US" w:eastAsia="zh-CN"/>
              </w:rPr>
              <w:t>中</w:t>
            </w:r>
            <w:r>
              <w:rPr>
                <w:rFonts w:hint="eastAsia" w:ascii="Times New Roman" w:eastAsia="宋体" w:cs="Times New Roman"/>
                <w:color w:val="000000" w:themeColor="text1"/>
                <w:lang w:eastAsia="zh-CN"/>
              </w:rPr>
              <w:t>一级A</w:t>
            </w:r>
            <w:r>
              <w:rPr>
                <w:rFonts w:hint="default" w:ascii="Times New Roman" w:hAnsi="Times New Roman" w:cs="Times New Roman"/>
                <w:color w:val="000000" w:themeColor="text1"/>
              </w:rPr>
              <w:t>标准排放，最终排入长江。</w:t>
            </w:r>
          </w:p>
          <w:p w14:paraId="70F552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3、噪声防治措施</w:t>
            </w:r>
          </w:p>
          <w:p w14:paraId="27AAC16D">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为了减轻施工期噪声对周边环境的影响，本次评价提出以下防治措施：</w:t>
            </w:r>
          </w:p>
          <w:p w14:paraId="4CECDFBE">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（1）合理安排施工期，减少施工噪声影响时间，禁止午休时间（12点至14点）及夜间（晚8点至次日早8点）施工；</w:t>
            </w:r>
          </w:p>
          <w:p w14:paraId="37EC1A45">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2）选用低噪声的施工机械及施工工艺，从根本上降低源强。经调查分析，选低噪型运载车在行驶过程中的噪声声级比同类水平其他车辆降低10~15dB（A），不同型号混凝土搅拌机声级可相差5dB（A）。同时要加强检查、维护和保养机械设备，保持润滑，紧固各部件，减少运行振动噪声。整体设备应安放稳固，并与地面保持良好接触，有条件的应使用减振机座，降低噪声；</w:t>
            </w:r>
          </w:p>
          <w:p w14:paraId="1FBE29E2">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（3）引进施工设备时将设备噪声作为一项重要的选取指标，尽量选用带有隔声、消声装置的设备，并加强对施工设备的保养，严格操作规范；</w:t>
            </w:r>
          </w:p>
          <w:p w14:paraId="750C3986">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（4）制定合理的运输线路，车辆运输应尽量避开居民区。</w:t>
            </w:r>
          </w:p>
          <w:p w14:paraId="5D4794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000000" w:themeColor="text1"/>
                <w:sz w:val="24"/>
              </w:rPr>
            </w:pPr>
            <w:r>
              <w:rPr>
                <w:rFonts w:hint="default" w:ascii="Times New Roman" w:hAnsi="Times New Roman" w:cs="Times New Roman"/>
                <w:b/>
                <w:bCs/>
                <w:color w:val="000000" w:themeColor="text1"/>
                <w:sz w:val="24"/>
              </w:rPr>
              <w:t>4、固体废物防治措施</w:t>
            </w:r>
          </w:p>
          <w:p w14:paraId="02682C28">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为了减轻施工期固废对周边环境的影响，本次评价提出以下防治措施：</w:t>
            </w:r>
          </w:p>
          <w:p w14:paraId="6F482777">
            <w:pPr>
              <w:pStyle w:val="5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00" w:themeColor="text1"/>
              </w:rPr>
            </w:pPr>
            <w:r>
              <w:rPr>
                <w:rFonts w:hint="default" w:ascii="Times New Roman" w:hAnsi="Times New Roman" w:cs="Times New Roman"/>
                <w:color w:val="000000" w:themeColor="text1"/>
              </w:rPr>
              <w:t>（1）建筑垃圾可用于厂区道路修整及平整场地，剩余部分不得与生活垃圾混装混运，应统一收集，交由市政渣土部门处理。</w:t>
            </w:r>
          </w:p>
          <w:p w14:paraId="44F36A24">
            <w:pPr>
              <w:ind w:firstLine="480"/>
              <w:rPr>
                <w:rFonts w:hint="default" w:ascii="Times New Roman" w:hAnsi="Times New Roman" w:eastAsia="宋体" w:cs="Times New Roman"/>
                <w:color w:val="000000" w:themeColor="text1"/>
              </w:rPr>
            </w:pPr>
            <w:r>
              <w:rPr>
                <w:rFonts w:hint="default" w:ascii="Times New Roman" w:hAnsi="Times New Roman" w:cs="Times New Roman"/>
                <w:color w:val="000000" w:themeColor="text1"/>
              </w:rPr>
              <w:t>（2）施工人员生活垃圾禁止随意堆弃，统一收集后，由环卫部门运至垃圾填埋场卫生填埋无害化处理，做到日产日清。</w:t>
            </w:r>
          </w:p>
        </w:tc>
      </w:tr>
      <w:tr w14:paraId="1D227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563" w:type="dxa"/>
            <w:tcMar>
              <w:left w:w="28" w:type="dxa"/>
              <w:right w:w="28" w:type="dxa"/>
            </w:tcMar>
            <w:vAlign w:val="center"/>
          </w:tcPr>
          <w:p w14:paraId="3AC04D55">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运营</w:t>
            </w:r>
          </w:p>
          <w:p w14:paraId="4E793727">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期环</w:t>
            </w:r>
          </w:p>
          <w:p w14:paraId="328A36C7">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境影</w:t>
            </w:r>
          </w:p>
          <w:p w14:paraId="4CC191B0">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响和</w:t>
            </w:r>
          </w:p>
          <w:p w14:paraId="2416FA95">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保护</w:t>
            </w:r>
          </w:p>
          <w:p w14:paraId="61B4316C">
            <w:pPr>
              <w:pStyle w:val="2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b/>
                <w:bCs w:val="0"/>
                <w:color w:val="000000" w:themeColor="text1"/>
                <w:szCs w:val="21"/>
              </w:rPr>
              <w:t>措施</w:t>
            </w:r>
          </w:p>
        </w:tc>
        <w:tc>
          <w:tcPr>
            <w:tcW w:w="8345" w:type="dxa"/>
            <w:vAlign w:val="center"/>
          </w:tcPr>
          <w:p w14:paraId="1F1E9610">
            <w:pPr>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运营期污染分析：</w:t>
            </w:r>
          </w:p>
          <w:p w14:paraId="32F16450">
            <w:pPr>
              <w:tabs>
                <w:tab w:val="left" w:pos="0"/>
              </w:tabs>
              <w:adjustRightInd w:val="0"/>
              <w:snapToGrid w:val="0"/>
              <w:ind w:firstLine="482"/>
              <w:jc w:val="left"/>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1、废水</w:t>
            </w:r>
          </w:p>
          <w:p w14:paraId="3526AFA6">
            <w:pPr>
              <w:pStyle w:val="5"/>
              <w:adjustRightInd w:val="0"/>
              <w:snapToGrid w:val="0"/>
              <w:spacing w:before="0" w:after="0" w:line="360" w:lineRule="auto"/>
              <w:ind w:firstLine="482"/>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1.1 废水污染源</w:t>
            </w:r>
          </w:p>
          <w:p w14:paraId="18072530">
            <w:pPr>
              <w:adjustRightInd w:val="0"/>
              <w:snapToGrid w:val="0"/>
              <w:ind w:firstLine="480"/>
              <w:jc w:val="left"/>
              <w:rPr>
                <w:rFonts w:hint="default" w:ascii="Times New Roman" w:hAnsi="Times New Roman" w:eastAsia="宋体" w:cs="Times New Roman"/>
                <w:color w:val="000000" w:themeColor="text1"/>
              </w:rPr>
            </w:pPr>
            <w:r>
              <w:rPr>
                <w:rFonts w:hint="eastAsia" w:cs="Times New Roman"/>
                <w:color w:val="000000" w:themeColor="text1"/>
                <w:lang w:eastAsia="zh-CN"/>
              </w:rPr>
              <w:t>本扩建项目</w:t>
            </w:r>
            <w:r>
              <w:rPr>
                <w:rFonts w:hint="eastAsia" w:cs="Times New Roman"/>
                <w:color w:val="000000" w:themeColor="text1"/>
                <w:lang w:val="en-US" w:eastAsia="zh-CN"/>
              </w:rPr>
              <w:t>循环水不外排，不新增人员，</w:t>
            </w:r>
            <w:r>
              <w:rPr>
                <w:rFonts w:hint="default" w:ascii="Times New Roman" w:hAnsi="Times New Roman" w:eastAsia="宋体" w:cs="Times New Roman"/>
                <w:color w:val="000000" w:themeColor="text1"/>
              </w:rPr>
              <w:t>主要污水为</w:t>
            </w:r>
            <w:r>
              <w:rPr>
                <w:rFonts w:hint="eastAsia" w:cs="Times New Roman"/>
                <w:color w:val="000000" w:themeColor="text1"/>
                <w:lang w:val="en-US" w:eastAsia="zh-CN"/>
              </w:rPr>
              <w:t>地面清洗</w:t>
            </w:r>
            <w:r>
              <w:rPr>
                <w:rFonts w:hint="default" w:ascii="Times New Roman" w:hAnsi="Times New Roman" w:eastAsia="宋体" w:cs="Times New Roman"/>
                <w:color w:val="000000" w:themeColor="text1"/>
              </w:rPr>
              <w:t>水。</w:t>
            </w:r>
          </w:p>
          <w:p w14:paraId="60D4ED7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Ansi="宋体"/>
                <w:b/>
                <w:bCs/>
                <w:color w:val="000000" w:themeColor="text1"/>
                <w:sz w:val="24"/>
              </w:rPr>
            </w:pPr>
            <w:r>
              <w:rPr>
                <w:rFonts w:hAnsi="宋体"/>
                <w:b/>
                <w:bCs/>
                <w:color w:val="000000" w:themeColor="text1"/>
                <w:sz w:val="24"/>
              </w:rPr>
              <w:t>（</w:t>
            </w:r>
            <w:r>
              <w:rPr>
                <w:b/>
                <w:bCs/>
                <w:color w:val="000000" w:themeColor="text1"/>
                <w:sz w:val="24"/>
              </w:rPr>
              <w:t>1</w:t>
            </w:r>
            <w:r>
              <w:rPr>
                <w:rFonts w:hAnsi="宋体"/>
                <w:b/>
                <w:bCs/>
                <w:color w:val="000000" w:themeColor="text1"/>
                <w:sz w:val="24"/>
              </w:rPr>
              <w:t>）</w:t>
            </w:r>
            <w:r>
              <w:rPr>
                <w:rFonts w:hint="eastAsia" w:hAnsi="宋体"/>
                <w:b/>
                <w:bCs/>
                <w:color w:val="000000" w:themeColor="text1"/>
                <w:sz w:val="24"/>
              </w:rPr>
              <w:t>冷却用水</w:t>
            </w:r>
          </w:p>
          <w:p w14:paraId="352800CE">
            <w:pPr>
              <w:spacing w:line="360" w:lineRule="auto"/>
              <w:ind w:firstLine="480" w:firstLineChars="200"/>
              <w:rPr>
                <w:rFonts w:hint="eastAsia" w:hAnsi="宋体"/>
                <w:color w:val="000000" w:themeColor="text1"/>
                <w:kern w:val="21"/>
                <w:sz w:val="24"/>
              </w:rPr>
            </w:pPr>
            <w:r>
              <w:rPr>
                <w:rFonts w:hint="eastAsia" w:hAnsi="宋体"/>
                <w:color w:val="000000" w:themeColor="text1"/>
                <w:kern w:val="21"/>
                <w:sz w:val="24"/>
                <w:lang w:val="en-US" w:eastAsia="zh-CN"/>
              </w:rPr>
              <w:t>本</w:t>
            </w:r>
            <w:r>
              <w:rPr>
                <w:rFonts w:hint="eastAsia" w:hAnsi="宋体"/>
                <w:color w:val="000000" w:themeColor="text1"/>
                <w:kern w:val="21"/>
                <w:sz w:val="24"/>
              </w:rPr>
              <w:t>项目</w:t>
            </w:r>
            <w:r>
              <w:rPr>
                <w:rFonts w:hint="eastAsia" w:hAnsi="宋体"/>
                <w:color w:val="000000" w:themeColor="text1"/>
                <w:kern w:val="21"/>
                <w:sz w:val="24"/>
                <w:lang w:val="en-US" w:eastAsia="zh-CN"/>
              </w:rPr>
              <w:t>产品</w:t>
            </w:r>
            <w:r>
              <w:rPr>
                <w:rFonts w:hint="eastAsia" w:hAnsi="宋体"/>
                <w:color w:val="000000" w:themeColor="text1"/>
                <w:kern w:val="21"/>
                <w:sz w:val="24"/>
              </w:rPr>
              <w:t>挤出成型后需要用水进行冷却，根据建设方提供资料，</w:t>
            </w:r>
            <w:r>
              <w:rPr>
                <w:rFonts w:hint="eastAsia" w:hAnsi="宋体"/>
                <w:color w:val="000000" w:themeColor="text1"/>
                <w:kern w:val="21"/>
                <w:sz w:val="24"/>
                <w:vertAlign w:val="baseline"/>
                <w:lang w:val="en-US" w:eastAsia="zh-CN"/>
              </w:rPr>
              <w:t>厂区内有循环水池（500</w:t>
            </w:r>
            <w:r>
              <w:rPr>
                <w:rFonts w:hint="eastAsia" w:hAnsi="宋体"/>
                <w:color w:val="000000" w:themeColor="text1"/>
                <w:kern w:val="21"/>
                <w:sz w:val="24"/>
              </w:rPr>
              <w:t>m</w:t>
            </w:r>
            <w:r>
              <w:rPr>
                <w:rFonts w:hint="eastAsia" w:hAnsi="宋体"/>
                <w:color w:val="000000" w:themeColor="text1"/>
                <w:kern w:val="21"/>
                <w:sz w:val="24"/>
                <w:vertAlign w:val="superscript"/>
              </w:rPr>
              <w:t xml:space="preserve"> 3</w:t>
            </w:r>
            <w:r>
              <w:rPr>
                <w:rFonts w:hint="eastAsia" w:hAnsi="宋体"/>
                <w:color w:val="000000" w:themeColor="text1"/>
                <w:kern w:val="21"/>
                <w:sz w:val="24"/>
                <w:vertAlign w:val="baseline"/>
                <w:lang w:val="en-US" w:eastAsia="zh-CN"/>
              </w:rPr>
              <w:t>），每天喷淋用水160</w:t>
            </w:r>
            <w:r>
              <w:rPr>
                <w:rFonts w:hint="eastAsia" w:hAnsi="宋体"/>
                <w:color w:val="000000" w:themeColor="text1"/>
                <w:kern w:val="21"/>
                <w:sz w:val="24"/>
              </w:rPr>
              <w:t>m</w:t>
            </w:r>
            <w:r>
              <w:rPr>
                <w:rFonts w:hint="eastAsia" w:hAnsi="宋体"/>
                <w:color w:val="000000" w:themeColor="text1"/>
                <w:kern w:val="21"/>
                <w:sz w:val="24"/>
                <w:vertAlign w:val="superscript"/>
              </w:rPr>
              <w:t xml:space="preserve"> 3</w:t>
            </w:r>
            <w:r>
              <w:rPr>
                <w:rFonts w:hint="eastAsia" w:hAnsi="宋体"/>
                <w:color w:val="000000" w:themeColor="text1"/>
                <w:kern w:val="21"/>
                <w:sz w:val="24"/>
                <w:vertAlign w:val="baseline"/>
                <w:lang w:val="en-US" w:eastAsia="zh-CN"/>
              </w:rPr>
              <w:t>，喷淋冷却后水和物料进入离心脱水机，</w:t>
            </w:r>
            <w:r>
              <w:rPr>
                <w:rFonts w:hint="eastAsia" w:cs="Times New Roman"/>
                <w:color w:val="000000" w:themeColor="text1"/>
                <w:lang w:val="en-US" w:eastAsia="zh-CN"/>
              </w:rPr>
              <w:t>脱出的水分进入设备下方隔离池（1m</w:t>
            </w:r>
            <w:r>
              <w:rPr>
                <w:rFonts w:hint="eastAsia" w:cs="Times New Roman"/>
                <w:color w:val="000000" w:themeColor="text1"/>
                <w:vertAlign w:val="superscript"/>
                <w:lang w:val="en-US" w:eastAsia="zh-CN"/>
              </w:rPr>
              <w:t>3</w:t>
            </w:r>
            <w:r>
              <w:rPr>
                <w:rFonts w:hint="eastAsia" w:cs="Times New Roman"/>
                <w:color w:val="000000" w:themeColor="text1"/>
                <w:lang w:val="en-US" w:eastAsia="zh-CN"/>
              </w:rPr>
              <w:t>），隔离池上方设置有300目的隔离网，将脱水废水中夹带的塑料粒收集返回挤出工序生产产品，隔离池下方的水通过泵回到循环水池，根据建设单位提供设计资料，本项目生产工艺中水循环使用，不外排，定期补充重新水即可。</w:t>
            </w:r>
            <w:r>
              <w:rPr>
                <w:rFonts w:hint="eastAsia" w:hAnsi="宋体"/>
                <w:color w:val="000000" w:themeColor="text1"/>
                <w:kern w:val="21"/>
                <w:sz w:val="24"/>
              </w:rPr>
              <w:t>喷淋冷却过程，循环过程中会有部分</w:t>
            </w:r>
            <w:r>
              <w:rPr>
                <w:rFonts w:hint="eastAsia" w:hAnsi="宋体"/>
                <w:color w:val="000000" w:themeColor="text1"/>
                <w:kern w:val="21"/>
                <w:sz w:val="24"/>
                <w:lang w:val="en-US" w:eastAsia="zh-CN"/>
              </w:rPr>
              <w:t>水进入脱水排放或者</w:t>
            </w:r>
            <w:r>
              <w:rPr>
                <w:rFonts w:hint="eastAsia" w:hAnsi="宋体"/>
                <w:color w:val="000000" w:themeColor="text1"/>
                <w:kern w:val="21"/>
                <w:sz w:val="24"/>
              </w:rPr>
              <w:t>以蒸汽的形式损耗，</w:t>
            </w:r>
            <w:r>
              <w:rPr>
                <w:rFonts w:hint="eastAsia" w:hAnsi="宋体"/>
                <w:color w:val="000000" w:themeColor="text1"/>
                <w:kern w:val="21"/>
                <w:sz w:val="24"/>
                <w:lang w:val="en-US" w:eastAsia="zh-CN"/>
              </w:rPr>
              <w:t>损耗量</w:t>
            </w:r>
            <w:r>
              <w:rPr>
                <w:rFonts w:hint="eastAsia" w:hAnsi="宋体"/>
                <w:color w:val="000000" w:themeColor="text1"/>
                <w:kern w:val="21"/>
                <w:sz w:val="24"/>
              </w:rPr>
              <w:t>为冷却水用量的</w:t>
            </w:r>
            <w:r>
              <w:rPr>
                <w:rFonts w:hint="eastAsia" w:hAnsi="宋体"/>
                <w:color w:val="000000" w:themeColor="text1"/>
                <w:kern w:val="21"/>
                <w:sz w:val="24"/>
                <w:lang w:val="en-US" w:eastAsia="zh-CN"/>
              </w:rPr>
              <w:t>2</w:t>
            </w:r>
            <w:r>
              <w:rPr>
                <w:rFonts w:hint="eastAsia" w:hAnsi="宋体"/>
                <w:color w:val="000000" w:themeColor="text1"/>
                <w:kern w:val="21"/>
                <w:sz w:val="24"/>
              </w:rPr>
              <w:t>%，</w:t>
            </w:r>
            <w:r>
              <w:rPr>
                <w:rFonts w:hint="default" w:ascii="Times New Roman" w:hAnsi="Times New Roman" w:eastAsia="宋体" w:cs="Times New Roman"/>
                <w:color w:val="000000" w:themeColor="text1"/>
                <w:sz w:val="24"/>
                <w:szCs w:val="24"/>
                <w:lang w:val="en-US" w:eastAsia="zh-CN"/>
              </w:rPr>
              <w:t>根据《工业循环水冷却设计规范》(GB/T50102-2014)4.1.4，</w:t>
            </w:r>
            <w:r>
              <w:rPr>
                <w:rFonts w:hint="eastAsia" w:ascii="Times New Roman" w:hAnsi="Times New Roman" w:eastAsia="宋体" w:cs="Times New Roman"/>
                <w:color w:val="000000" w:themeColor="text1"/>
                <w:sz w:val="24"/>
                <w:szCs w:val="24"/>
                <w:lang w:val="en-US" w:eastAsia="zh-CN"/>
              </w:rPr>
              <w:t>冷却过程中水分为蒸发损耗和风吹损耗，其中风吹</w:t>
            </w:r>
            <w:r>
              <w:rPr>
                <w:rFonts w:hint="default" w:ascii="Times New Roman" w:hAnsi="Times New Roman" w:eastAsia="宋体" w:cs="Times New Roman"/>
                <w:color w:val="000000" w:themeColor="text1"/>
                <w:sz w:val="24"/>
                <w:szCs w:val="24"/>
                <w:lang w:val="en-US" w:eastAsia="zh-CN"/>
              </w:rPr>
              <w:t>损耗量占循环水量的百分数可取1.5%~3.5%，本项目位于江西</w:t>
            </w:r>
            <w:r>
              <w:rPr>
                <w:rFonts w:hint="eastAsia" w:ascii="Times New Roman" w:hAnsi="Times New Roman" w:eastAsia="宋体" w:cs="Times New Roman"/>
                <w:color w:val="000000" w:themeColor="text1"/>
                <w:sz w:val="24"/>
                <w:szCs w:val="24"/>
                <w:lang w:val="en-US" w:eastAsia="zh-CN"/>
              </w:rPr>
              <w:t>九江</w:t>
            </w:r>
            <w:r>
              <w:rPr>
                <w:rFonts w:hint="default" w:ascii="Times New Roman" w:hAnsi="Times New Roman" w:eastAsia="宋体" w:cs="Times New Roman"/>
                <w:color w:val="000000" w:themeColor="text1"/>
                <w:sz w:val="24"/>
                <w:szCs w:val="24"/>
                <w:lang w:val="en-US" w:eastAsia="zh-CN"/>
              </w:rPr>
              <w:t>市</w:t>
            </w:r>
            <w:r>
              <w:rPr>
                <w:rFonts w:hint="eastAsia" w:ascii="Times New Roman" w:hAnsi="Times New Roman" w:eastAsia="宋体" w:cs="Times New Roman"/>
                <w:color w:val="000000" w:themeColor="text1"/>
                <w:sz w:val="24"/>
                <w:szCs w:val="24"/>
                <w:lang w:val="en-US" w:eastAsia="zh-CN"/>
              </w:rPr>
              <w:t>柴桑区</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九江市</w:t>
            </w:r>
            <w:r>
              <w:rPr>
                <w:rFonts w:hint="default" w:ascii="Times New Roman" w:hAnsi="Times New Roman" w:eastAsia="宋体" w:cs="Times New Roman"/>
                <w:color w:val="000000" w:themeColor="text1"/>
                <w:sz w:val="24"/>
                <w:szCs w:val="24"/>
                <w:lang w:val="en-US" w:eastAsia="zh-CN"/>
              </w:rPr>
              <w:t>年平均相对湿度80%</w:t>
            </w:r>
            <w:r>
              <w:rPr>
                <w:rFonts w:hint="eastAsia" w:ascii="Times New Roman" w:hAnsi="Times New Roman" w:eastAsia="宋体" w:cs="Times New Roman"/>
                <w:color w:val="000000" w:themeColor="text1"/>
                <w:sz w:val="24"/>
                <w:szCs w:val="24"/>
                <w:lang w:val="en-US" w:eastAsia="zh-CN"/>
              </w:rPr>
              <w:t>左右</w:t>
            </w:r>
            <w:r>
              <w:rPr>
                <w:rFonts w:hint="default" w:ascii="Times New Roman" w:hAnsi="Times New Roman" w:eastAsia="宋体" w:cs="Times New Roman"/>
                <w:color w:val="000000" w:themeColor="text1"/>
                <w:sz w:val="24"/>
                <w:szCs w:val="24"/>
                <w:lang w:val="en-US" w:eastAsia="zh-CN"/>
              </w:rPr>
              <w:t>，故取值2%即可。</w:t>
            </w:r>
          </w:p>
          <w:p w14:paraId="26A64394">
            <w:pPr>
              <w:spacing w:line="360" w:lineRule="auto"/>
              <w:ind w:firstLine="480" w:firstLineChars="200"/>
              <w:rPr>
                <w:rFonts w:hint="eastAsia" w:hAnsi="宋体"/>
                <w:color w:val="000000" w:themeColor="text1"/>
                <w:kern w:val="21"/>
                <w:sz w:val="24"/>
              </w:rPr>
            </w:pPr>
            <w:r>
              <w:rPr>
                <w:rFonts w:hint="eastAsia" w:hAnsi="宋体"/>
                <w:color w:val="000000" w:themeColor="text1"/>
                <w:kern w:val="21"/>
                <w:sz w:val="24"/>
                <w:lang w:val="en-US" w:eastAsia="zh-CN"/>
              </w:rPr>
              <w:t>综上所述，本项目</w:t>
            </w:r>
            <w:r>
              <w:rPr>
                <w:rFonts w:hint="eastAsia" w:hAnsi="宋体"/>
                <w:color w:val="000000" w:themeColor="text1"/>
                <w:kern w:val="21"/>
                <w:sz w:val="24"/>
              </w:rPr>
              <w:t>每天给</w:t>
            </w:r>
            <w:r>
              <w:rPr>
                <w:rFonts w:hint="eastAsia" w:hAnsi="宋体"/>
                <w:color w:val="000000" w:themeColor="text1"/>
                <w:kern w:val="21"/>
                <w:sz w:val="24"/>
                <w:lang w:val="en-US" w:eastAsia="zh-CN"/>
              </w:rPr>
              <w:t>水箱</w:t>
            </w:r>
            <w:r>
              <w:rPr>
                <w:rFonts w:hint="eastAsia" w:hAnsi="宋体"/>
                <w:color w:val="000000" w:themeColor="text1"/>
                <w:kern w:val="21"/>
                <w:sz w:val="24"/>
              </w:rPr>
              <w:t>补水</w:t>
            </w:r>
            <w:r>
              <w:rPr>
                <w:rFonts w:hint="eastAsia" w:hAnsi="宋体"/>
                <w:color w:val="000000" w:themeColor="text1"/>
                <w:kern w:val="21"/>
                <w:sz w:val="24"/>
                <w:lang w:val="en-US" w:eastAsia="zh-CN"/>
              </w:rPr>
              <w:t>3.2</w:t>
            </w:r>
            <w:r>
              <w:rPr>
                <w:rFonts w:hint="eastAsia" w:hAnsi="宋体"/>
                <w:color w:val="000000" w:themeColor="text1"/>
                <w:kern w:val="21"/>
                <w:sz w:val="24"/>
              </w:rPr>
              <w:t>m</w:t>
            </w:r>
            <w:r>
              <w:rPr>
                <w:rFonts w:hint="eastAsia" w:hAnsi="宋体"/>
                <w:color w:val="000000" w:themeColor="text1"/>
                <w:kern w:val="21"/>
                <w:sz w:val="24"/>
                <w:vertAlign w:val="superscript"/>
              </w:rPr>
              <w:t>3</w:t>
            </w:r>
            <w:r>
              <w:rPr>
                <w:rFonts w:hint="eastAsia" w:hAnsi="宋体"/>
                <w:color w:val="000000" w:themeColor="text1"/>
                <w:kern w:val="21"/>
                <w:sz w:val="24"/>
              </w:rPr>
              <w:t>/d，项目年工作</w:t>
            </w:r>
            <w:r>
              <w:rPr>
                <w:rFonts w:hint="eastAsia" w:hAnsi="宋体"/>
                <w:color w:val="000000" w:themeColor="text1"/>
                <w:kern w:val="21"/>
                <w:sz w:val="24"/>
                <w:lang w:val="en-US" w:eastAsia="zh-CN"/>
              </w:rPr>
              <w:t>300</w:t>
            </w:r>
            <w:r>
              <w:rPr>
                <w:rFonts w:hint="eastAsia" w:hAnsi="宋体"/>
                <w:color w:val="000000" w:themeColor="text1"/>
                <w:kern w:val="21"/>
                <w:sz w:val="24"/>
              </w:rPr>
              <w:t>d，则应补充新鲜水</w:t>
            </w:r>
            <w:r>
              <w:rPr>
                <w:rFonts w:hint="eastAsia" w:hAnsi="宋体"/>
                <w:color w:val="000000" w:themeColor="text1"/>
                <w:kern w:val="21"/>
                <w:sz w:val="24"/>
                <w:lang w:val="en-US" w:eastAsia="zh-CN"/>
              </w:rPr>
              <w:t>960</w:t>
            </w:r>
            <w:r>
              <w:rPr>
                <w:rFonts w:hint="eastAsia" w:hAnsi="宋体"/>
                <w:color w:val="000000" w:themeColor="text1"/>
                <w:kern w:val="21"/>
                <w:sz w:val="24"/>
              </w:rPr>
              <w:t>m</w:t>
            </w:r>
            <w:r>
              <w:rPr>
                <w:rFonts w:hint="eastAsia" w:hAnsi="宋体"/>
                <w:color w:val="000000" w:themeColor="text1"/>
                <w:kern w:val="21"/>
                <w:sz w:val="24"/>
                <w:vertAlign w:val="superscript"/>
              </w:rPr>
              <w:t>3</w:t>
            </w:r>
            <w:r>
              <w:rPr>
                <w:rFonts w:hint="eastAsia" w:hAnsi="宋体"/>
                <w:color w:val="000000" w:themeColor="text1"/>
                <w:kern w:val="21"/>
                <w:sz w:val="24"/>
              </w:rPr>
              <w:t>/a。</w:t>
            </w:r>
          </w:p>
          <w:p w14:paraId="0CA8F2D4">
            <w:pPr>
              <w:spacing w:line="360" w:lineRule="auto"/>
              <w:ind w:firstLine="480" w:firstLineChars="200"/>
              <w:rPr>
                <w:rFonts w:hint="default" w:ascii="Times New Roman" w:hAnsi="宋体" w:cs="Times New Roman"/>
                <w:color w:val="000000" w:themeColor="text1"/>
                <w:kern w:val="21"/>
                <w:sz w:val="24"/>
                <w:lang w:val="en-US" w:eastAsia="zh-CN"/>
              </w:rPr>
            </w:pPr>
            <w:r>
              <w:rPr>
                <w:rFonts w:hint="eastAsia" w:ascii="Times New Roman" w:hAnsi="宋体" w:cs="Times New Roman"/>
                <w:color w:val="000000" w:themeColor="text1"/>
                <w:kern w:val="21"/>
                <w:sz w:val="24"/>
                <w:lang w:val="en-US" w:eastAsia="zh-CN"/>
              </w:rPr>
              <w:t>本项目冷却水进入离心脱水机，脱出的水</w:t>
            </w:r>
            <w:r>
              <w:rPr>
                <w:rFonts w:hint="eastAsia" w:cs="Times New Roman"/>
                <w:color w:val="000000" w:themeColor="text1"/>
                <w:lang w:val="en-US" w:eastAsia="zh-CN"/>
              </w:rPr>
              <w:t>夹带有塑料粒，塑料粒子经隔离网回收，废水中将不再有塑料粒（本项目使用的切粒机切割的粒径为</w:t>
            </w:r>
            <w:r>
              <w:rPr>
                <w:rFonts w:hint="default" w:ascii="Times New Roman" w:hAnsi="Times New Roman" w:cs="Times New Roman"/>
                <w:color w:val="000000" w:themeColor="text1"/>
                <w:lang w:val="en-US" w:eastAsia="zh-CN"/>
              </w:rPr>
              <w:t>1</w:t>
            </w:r>
            <w:r>
              <w:rPr>
                <w:rFonts w:hint="default" w:ascii="Times New Roman" w:hAnsi="Times New Roman" w:eastAsia="宋体" w:cs="Times New Roman"/>
                <w:color w:val="000000" w:themeColor="text1"/>
                <w:lang w:val="en-US" w:eastAsia="zh-CN"/>
              </w:rPr>
              <w:t>~</w:t>
            </w:r>
            <w:r>
              <w:rPr>
                <w:rFonts w:hint="default" w:ascii="Times New Roman" w:hAnsi="Times New Roman" w:cs="Times New Roman"/>
                <w:color w:val="000000" w:themeColor="text1"/>
                <w:lang w:val="en-US" w:eastAsia="zh-CN"/>
              </w:rPr>
              <w:t>3</w:t>
            </w:r>
            <w:r>
              <w:rPr>
                <w:rFonts w:hint="eastAsia" w:ascii="Times New Roman" w:hAnsi="Times New Roman" w:cs="Times New Roman"/>
                <w:color w:val="000000" w:themeColor="text1"/>
                <w:lang w:val="en-US" w:eastAsia="zh-CN"/>
              </w:rPr>
              <w:t>cm，粒径较大</w:t>
            </w:r>
            <w:r>
              <w:rPr>
                <w:rFonts w:hint="eastAsia" w:cs="Times New Roman"/>
                <w:color w:val="000000" w:themeColor="text1"/>
                <w:lang w:val="en-US" w:eastAsia="zh-CN"/>
              </w:rPr>
              <w:t>），且项目生产的塑料粒子不溶于水，故冷却水中无特殊污染物，定期补充新水即可。因为塑料产品不溶于水，故本项目冷却用水对水质没特殊要求，循环冷却水不外排可行。</w:t>
            </w:r>
          </w:p>
          <w:p w14:paraId="4E04DD11">
            <w:pPr>
              <w:spacing w:line="360" w:lineRule="auto"/>
              <w:ind w:firstLine="482" w:firstLineChars="200"/>
              <w:rPr>
                <w:rFonts w:hint="default"/>
                <w:color w:val="000000" w:themeColor="text1"/>
              </w:rPr>
            </w:pPr>
            <w:r>
              <w:rPr>
                <w:rFonts w:hAnsi="宋体"/>
                <w:b/>
                <w:bCs/>
                <w:color w:val="000000" w:themeColor="text1"/>
                <w:sz w:val="24"/>
              </w:rPr>
              <w:t>（</w:t>
            </w:r>
            <w:r>
              <w:rPr>
                <w:b/>
                <w:bCs/>
                <w:color w:val="000000" w:themeColor="text1"/>
                <w:sz w:val="24"/>
              </w:rPr>
              <w:t>2</w:t>
            </w:r>
            <w:r>
              <w:rPr>
                <w:rFonts w:hAnsi="宋体"/>
                <w:b/>
                <w:bCs/>
                <w:color w:val="000000" w:themeColor="text1"/>
                <w:sz w:val="24"/>
              </w:rPr>
              <w:t>）</w:t>
            </w:r>
            <w:r>
              <w:rPr>
                <w:rFonts w:hint="eastAsia" w:hAnsi="宋体"/>
                <w:b/>
                <w:bCs/>
                <w:color w:val="000000" w:themeColor="text1"/>
                <w:sz w:val="24"/>
                <w:lang w:val="en-US" w:eastAsia="zh-CN"/>
              </w:rPr>
              <w:t>地面清洗</w:t>
            </w:r>
            <w:r>
              <w:rPr>
                <w:rFonts w:hint="eastAsia" w:hAnsi="宋体"/>
                <w:b/>
                <w:bCs/>
                <w:color w:val="000000" w:themeColor="text1"/>
                <w:sz w:val="24"/>
              </w:rPr>
              <w:t>用水</w:t>
            </w:r>
          </w:p>
          <w:p w14:paraId="5C9EDDB3">
            <w:pPr>
              <w:keepNext w:val="0"/>
              <w:keepLines w:val="0"/>
              <w:widowControl/>
              <w:suppressLineNumbers w:val="0"/>
              <w:jc w:val="both"/>
              <w:rPr>
                <w:rFonts w:hint="default" w:ascii="Times New Roman" w:hAnsi="Times New Roman" w:cs="Times New Roman"/>
                <w:color w:val="000000" w:themeColor="text1"/>
              </w:rPr>
            </w:pPr>
            <w:r>
              <w:rPr>
                <w:rFonts w:hint="default" w:ascii="Times New Roman" w:hAnsi="Times New Roman" w:cs="Times New Roman"/>
                <w:color w:val="000000" w:themeColor="text1"/>
                <w:sz w:val="24"/>
                <w:szCs w:val="24"/>
              </w:rPr>
              <w:t>项目生产车间地面</w:t>
            </w:r>
            <w:r>
              <w:rPr>
                <w:rFonts w:hint="eastAsia" w:ascii="Times New Roman" w:hAnsi="Times New Roman" w:cs="Times New Roman"/>
                <w:color w:val="000000" w:themeColor="text1"/>
                <w:sz w:val="24"/>
                <w:szCs w:val="24"/>
                <w:lang w:val="en-US" w:eastAsia="zh-CN"/>
              </w:rPr>
              <w:t>以及办公区域等</w:t>
            </w:r>
            <w:r>
              <w:rPr>
                <w:rFonts w:hint="default" w:ascii="Times New Roman" w:hAnsi="Times New Roman" w:cs="Times New Roman"/>
                <w:color w:val="000000" w:themeColor="text1"/>
                <w:sz w:val="24"/>
                <w:szCs w:val="24"/>
              </w:rPr>
              <w:t>每天</w:t>
            </w:r>
            <w:r>
              <w:rPr>
                <w:rFonts w:hint="eastAsia" w:ascii="Times New Roman" w:hAnsi="Times New Roman" w:cs="Times New Roman"/>
                <w:color w:val="000000" w:themeColor="text1"/>
                <w:sz w:val="24"/>
                <w:szCs w:val="24"/>
                <w:lang w:val="en-US" w:eastAsia="zh-CN"/>
              </w:rPr>
              <w:t>拖</w:t>
            </w:r>
            <w:r>
              <w:rPr>
                <w:rFonts w:hint="default" w:ascii="Times New Roman" w:hAnsi="Times New Roman" w:cs="Times New Roman"/>
                <w:color w:val="000000" w:themeColor="text1"/>
                <w:sz w:val="24"/>
                <w:szCs w:val="24"/>
                <w:lang w:val="en-US" w:eastAsia="zh-CN"/>
              </w:rPr>
              <w:t>洗</w:t>
            </w:r>
            <w:r>
              <w:rPr>
                <w:rFonts w:hint="default" w:ascii="Times New Roman" w:hAnsi="Times New Roman" w:cs="Times New Roman"/>
                <w:color w:val="000000" w:themeColor="text1"/>
                <w:sz w:val="24"/>
                <w:szCs w:val="24"/>
              </w:rPr>
              <w:t>一次，</w:t>
            </w:r>
            <w:r>
              <w:rPr>
                <w:rFonts w:hint="default" w:ascii="Times New Roman" w:hAnsi="Times New Roman" w:eastAsia="宋体" w:cs="Times New Roman"/>
                <w:color w:val="000000" w:themeColor="text1"/>
                <w:lang w:val="en-US" w:eastAsia="zh-CN"/>
              </w:rPr>
              <w:t>据《建筑给水排水设计手册》</w:t>
            </w:r>
            <w:r>
              <w:rPr>
                <w:rFonts w:hint="eastAsia" w:ascii="Times New Roman" w:hAnsi="Times New Roman" w:eastAsia="宋体" w:cs="Times New Roman"/>
                <w:color w:val="000000" w:themeColor="text1"/>
                <w:lang w:val="en-US" w:eastAsia="zh-CN"/>
              </w:rPr>
              <w:t>，</w:t>
            </w:r>
            <w:r>
              <w:rPr>
                <w:rFonts w:hint="default" w:ascii="Times New Roman" w:hAnsi="Times New Roman" w:eastAsia="宋体" w:cs="Times New Roman"/>
                <w:color w:val="000000" w:themeColor="text1"/>
                <w:lang w:val="en-US" w:eastAsia="zh-CN"/>
              </w:rPr>
              <w:t>场地冲洗废水用水量1.</w:t>
            </w:r>
            <w:r>
              <w:rPr>
                <w:rFonts w:hint="eastAsia" w:ascii="Times New Roman" w:hAnsi="Times New Roman" w:eastAsia="宋体" w:cs="Times New Roman"/>
                <w:color w:val="000000" w:themeColor="text1"/>
                <w:lang w:val="en-US" w:eastAsia="zh-CN"/>
              </w:rPr>
              <w:t>5</w:t>
            </w:r>
            <w:r>
              <w:rPr>
                <w:rFonts w:hint="default" w:ascii="Times New Roman" w:hAnsi="Times New Roman" w:eastAsia="宋体" w:cs="Times New Roman"/>
                <w:color w:val="000000" w:themeColor="text1"/>
                <w:lang w:val="en-US" w:eastAsia="zh-CN"/>
              </w:rPr>
              <w:t>L/m</w:t>
            </w:r>
            <w:r>
              <w:rPr>
                <w:rFonts w:hint="eastAsia" w:ascii="Times New Roman" w:hAnsi="Times New Roman" w:eastAsia="宋体" w:cs="Times New Roman"/>
                <w:color w:val="000000" w:themeColor="text1"/>
                <w:vertAlign w:val="superscript"/>
                <w:lang w:val="en-US" w:eastAsia="zh-CN"/>
              </w:rPr>
              <w:t>2</w:t>
            </w:r>
            <w:r>
              <w:rPr>
                <w:rFonts w:hint="default" w:ascii="Times New Roman" w:hAnsi="Times New Roman" w:eastAsia="宋体" w:cs="Times New Roman"/>
                <w:color w:val="000000" w:themeColor="text1"/>
                <w:lang w:val="en-US" w:eastAsia="zh-CN"/>
              </w:rPr>
              <w:t>次，</w:t>
            </w:r>
            <w:r>
              <w:rPr>
                <w:rFonts w:hint="eastAsia" w:ascii="Times New Roman" w:hAnsi="Times New Roman" w:eastAsia="宋体" w:cs="Times New Roman"/>
                <w:color w:val="000000" w:themeColor="text1"/>
                <w:lang w:val="en-US" w:eastAsia="zh-CN"/>
              </w:rPr>
              <w:t>本项目采用拖地的方式清理地面，地面清洗</w:t>
            </w:r>
            <w:r>
              <w:rPr>
                <w:rFonts w:hint="default" w:ascii="Times New Roman" w:hAnsi="Times New Roman" w:eastAsia="宋体" w:cs="Times New Roman"/>
                <w:color w:val="000000" w:themeColor="text1"/>
                <w:lang w:val="en-US" w:eastAsia="zh-CN"/>
              </w:rPr>
              <w:t>废水用水量1.</w:t>
            </w:r>
            <w:r>
              <w:rPr>
                <w:rFonts w:hint="eastAsia" w:ascii="Times New Roman" w:hAnsi="Times New Roman" w:eastAsia="宋体" w:cs="Times New Roman"/>
                <w:color w:val="000000" w:themeColor="text1"/>
                <w:lang w:val="en-US" w:eastAsia="zh-CN"/>
              </w:rPr>
              <w:t>0</w:t>
            </w:r>
            <w:r>
              <w:rPr>
                <w:rFonts w:hint="default" w:ascii="Times New Roman" w:hAnsi="Times New Roman" w:eastAsia="宋体" w:cs="Times New Roman"/>
                <w:color w:val="000000" w:themeColor="text1"/>
                <w:lang w:val="en-US" w:eastAsia="zh-CN"/>
              </w:rPr>
              <w:t>L/m</w:t>
            </w:r>
            <w:r>
              <w:rPr>
                <w:rFonts w:hint="eastAsia" w:ascii="Times New Roman" w:hAnsi="Times New Roman" w:eastAsia="宋体" w:cs="Times New Roman"/>
                <w:color w:val="000000" w:themeColor="text1"/>
                <w:vertAlign w:val="superscript"/>
                <w:lang w:val="en-US" w:eastAsia="zh-CN"/>
              </w:rPr>
              <w:t>2</w:t>
            </w:r>
            <w:r>
              <w:rPr>
                <w:rFonts w:hint="default" w:ascii="Times New Roman" w:hAnsi="Times New Roman" w:eastAsia="宋体" w:cs="Times New Roman"/>
                <w:color w:val="000000" w:themeColor="text1"/>
                <w:lang w:val="en-US" w:eastAsia="zh-CN"/>
              </w:rPr>
              <w:t>次，</w:t>
            </w:r>
            <w:r>
              <w:rPr>
                <w:rFonts w:hint="default" w:ascii="Times New Roman" w:hAnsi="Times New Roman" w:cs="Times New Roman"/>
                <w:color w:val="000000" w:themeColor="text1"/>
                <w:sz w:val="24"/>
                <w:szCs w:val="24"/>
              </w:rPr>
              <w:t>生产车间</w:t>
            </w:r>
            <w:r>
              <w:rPr>
                <w:rFonts w:hint="eastAsia" w:ascii="Times New Roman" w:hAnsi="Times New Roman" w:cs="Times New Roman"/>
                <w:color w:val="000000" w:themeColor="text1"/>
                <w:sz w:val="24"/>
                <w:szCs w:val="24"/>
                <w:lang w:val="en-US" w:eastAsia="zh-CN"/>
              </w:rPr>
              <w:t>需</w:t>
            </w:r>
            <w:r>
              <w:rPr>
                <w:rFonts w:hint="default" w:ascii="Times New Roman" w:hAnsi="Times New Roman" w:cs="Times New Roman"/>
                <w:color w:val="000000" w:themeColor="text1"/>
                <w:sz w:val="24"/>
                <w:szCs w:val="24"/>
                <w:lang w:val="en-US" w:eastAsia="zh-CN"/>
              </w:rPr>
              <w:t>清洗</w:t>
            </w:r>
            <w:r>
              <w:rPr>
                <w:rFonts w:hint="default" w:ascii="Times New Roman" w:hAnsi="Times New Roman" w:cs="Times New Roman"/>
                <w:color w:val="000000" w:themeColor="text1"/>
                <w:sz w:val="24"/>
                <w:szCs w:val="24"/>
              </w:rPr>
              <w:t>面积约为</w:t>
            </w:r>
            <w:r>
              <w:rPr>
                <w:rFonts w:hint="eastAsia" w:ascii="Times New Roman" w:hAnsi="Times New Roman" w:cs="Times New Roman"/>
                <w:color w:val="000000" w:themeColor="text1"/>
                <w:sz w:val="24"/>
                <w:szCs w:val="24"/>
                <w:lang w:val="en-US" w:eastAsia="zh-CN"/>
              </w:rPr>
              <w:t>500</w:t>
            </w:r>
            <w:r>
              <w:rPr>
                <w:rFonts w:hint="default" w:ascii="Times New Roman" w:hAnsi="Times New Roman" w:cs="Times New Roman"/>
                <w:color w:val="000000" w:themeColor="text1"/>
                <w:sz w:val="24"/>
                <w:szCs w:val="24"/>
              </w:rPr>
              <w:t>m</w:t>
            </w:r>
            <w:r>
              <w:rPr>
                <w:rFonts w:hint="default" w:ascii="Times New Roman" w:hAnsi="Times New Roman" w:cs="Times New Roman"/>
                <w:color w:val="000000" w:themeColor="text1"/>
                <w:sz w:val="24"/>
                <w:szCs w:val="24"/>
                <w:vertAlign w:val="superscript"/>
              </w:rPr>
              <w:t>2</w:t>
            </w:r>
            <w:r>
              <w:rPr>
                <w:rFonts w:hint="default" w:ascii="Times New Roman" w:hAnsi="Times New Roman" w:cs="Times New Roman"/>
                <w:color w:val="000000" w:themeColor="text1"/>
                <w:sz w:val="24"/>
                <w:szCs w:val="24"/>
              </w:rPr>
              <w:t>估算，用水量约为</w:t>
            </w:r>
            <w:r>
              <w:rPr>
                <w:rFonts w:hint="eastAsia" w:ascii="Times New Roman" w:hAnsi="Times New Roman" w:cs="Times New Roman"/>
                <w:color w:val="000000" w:themeColor="text1"/>
                <w:sz w:val="24"/>
                <w:szCs w:val="24"/>
                <w:lang w:val="en-US" w:eastAsia="zh-CN"/>
              </w:rPr>
              <w:t>0.5</w:t>
            </w:r>
            <w:r>
              <w:rPr>
                <w:rFonts w:hint="default" w:ascii="Times New Roman" w:hAnsi="Times New Roman" w:cs="Times New Roman"/>
                <w:color w:val="000000" w:themeColor="text1"/>
                <w:sz w:val="24"/>
                <w:szCs w:val="24"/>
              </w:rPr>
              <w:t>t/d，</w:t>
            </w:r>
            <w:r>
              <w:rPr>
                <w:rFonts w:hint="eastAsia" w:ascii="Times New Roman" w:hAnsi="Times New Roman" w:cs="Times New Roman"/>
                <w:color w:val="000000" w:themeColor="text1"/>
                <w:sz w:val="24"/>
                <w:szCs w:val="24"/>
                <w:lang w:val="en-US" w:eastAsia="zh-CN"/>
              </w:rPr>
              <w:t>150</w:t>
            </w:r>
            <w:r>
              <w:rPr>
                <w:rFonts w:hint="default" w:ascii="Times New Roman" w:hAnsi="Times New Roman" w:cs="Times New Roman"/>
                <w:color w:val="000000" w:themeColor="text1"/>
                <w:sz w:val="24"/>
                <w:szCs w:val="24"/>
              </w:rPr>
              <w:t>t/a</w:t>
            </w:r>
            <w:r>
              <w:rPr>
                <w:rFonts w:hint="default" w:ascii="Times New Roman" w:hAnsi="Times New Roman" w:cs="Times New Roman"/>
                <w:color w:val="000000" w:themeColor="text1"/>
                <w:sz w:val="24"/>
                <w:szCs w:val="24"/>
                <w:lang w:eastAsia="zh-CN"/>
              </w:rPr>
              <w:t>，</w:t>
            </w:r>
            <w:r>
              <w:rPr>
                <w:rFonts w:hint="default" w:ascii="Times New Roman" w:hAnsi="Times New Roman" w:cs="Times New Roman"/>
                <w:color w:val="000000" w:themeColor="text1"/>
                <w:sz w:val="24"/>
                <w:szCs w:val="24"/>
              </w:rPr>
              <w:t>废水产生系数按90%计，则地面</w:t>
            </w:r>
            <w:r>
              <w:rPr>
                <w:rFonts w:hint="default" w:ascii="Times New Roman" w:hAnsi="Times New Roman" w:cs="Times New Roman"/>
                <w:color w:val="000000" w:themeColor="text1"/>
                <w:sz w:val="24"/>
                <w:szCs w:val="24"/>
                <w:lang w:val="en-US" w:eastAsia="zh-CN"/>
              </w:rPr>
              <w:t>清洗</w:t>
            </w:r>
            <w:r>
              <w:rPr>
                <w:rFonts w:hint="default" w:ascii="Times New Roman" w:hAnsi="Times New Roman" w:cs="Times New Roman"/>
                <w:color w:val="000000" w:themeColor="text1"/>
                <w:sz w:val="24"/>
                <w:szCs w:val="24"/>
              </w:rPr>
              <w:t>废水产生量为</w:t>
            </w:r>
            <w:r>
              <w:rPr>
                <w:rFonts w:hint="eastAsia" w:ascii="Times New Roman" w:hAnsi="Times New Roman" w:cs="Times New Roman"/>
                <w:color w:val="000000" w:themeColor="text1"/>
                <w:sz w:val="24"/>
                <w:szCs w:val="24"/>
                <w:lang w:val="en-US" w:eastAsia="zh-CN"/>
              </w:rPr>
              <w:t>0.45</w:t>
            </w:r>
            <w:r>
              <w:rPr>
                <w:rFonts w:hint="default" w:ascii="Times New Roman" w:hAnsi="Times New Roman" w:cs="Times New Roman"/>
                <w:color w:val="000000" w:themeColor="text1"/>
                <w:sz w:val="24"/>
                <w:szCs w:val="24"/>
              </w:rPr>
              <w:t>t/d，</w:t>
            </w:r>
            <w:r>
              <w:rPr>
                <w:rFonts w:hint="eastAsia" w:ascii="Times New Roman" w:hAnsi="Times New Roman" w:cs="Times New Roman"/>
                <w:color w:val="000000" w:themeColor="text1"/>
                <w:sz w:val="24"/>
                <w:szCs w:val="24"/>
                <w:lang w:val="en-US" w:eastAsia="zh-CN"/>
              </w:rPr>
              <w:t>135</w:t>
            </w:r>
            <w:r>
              <w:rPr>
                <w:rFonts w:hint="default" w:ascii="Times New Roman" w:hAnsi="Times New Roman" w:cs="Times New Roman"/>
                <w:color w:val="000000" w:themeColor="text1"/>
                <w:sz w:val="24"/>
                <w:szCs w:val="24"/>
              </w:rPr>
              <w:t>t/a。</w:t>
            </w:r>
            <w:r>
              <w:rPr>
                <w:rFonts w:hint="eastAsia" w:ascii="Times New Roman" w:hAnsi="Times New Roman" w:cs="Times New Roman"/>
                <w:color w:val="000000" w:themeColor="text1"/>
                <w:sz w:val="24"/>
                <w:szCs w:val="24"/>
                <w:lang w:val="en-US" w:eastAsia="zh-CN"/>
              </w:rPr>
              <w:t>参考同类型企业</w:t>
            </w:r>
            <w:r>
              <w:rPr>
                <w:rFonts w:hint="eastAsia" w:cs="Times New Roman"/>
                <w:color w:val="000000" w:themeColor="text1"/>
                <w:sz w:val="24"/>
                <w:szCs w:val="24"/>
                <w:lang w:val="en-US" w:eastAsia="zh-CN"/>
              </w:rPr>
              <w:t>《九江茂康年产63000吨塑料改性高分子材料项目环境影响报告表》（本项目与该项目产品、原料、工艺一致，具有可类比性）</w:t>
            </w:r>
            <w:r>
              <w:rPr>
                <w:rFonts w:hint="eastAsia" w:ascii="Times New Roman" w:hAnsi="Times New Roman" w:cs="Times New Roman"/>
                <w:color w:val="000000" w:themeColor="text1"/>
                <w:sz w:val="24"/>
                <w:szCs w:val="24"/>
                <w:lang w:val="en-US" w:eastAsia="zh-CN"/>
              </w:rPr>
              <w:t>，</w:t>
            </w:r>
            <w:r>
              <w:rPr>
                <w:rFonts w:ascii="Times New Roman" w:hAnsi="Times New Roman"/>
                <w:color w:val="000000" w:themeColor="text1"/>
                <w:kern w:val="2"/>
                <w:lang w:val="en-US"/>
              </w:rPr>
              <w:t>此废水中主要污染物产生浓度</w:t>
            </w:r>
            <w:r>
              <w:rPr>
                <w:rFonts w:ascii="Times New Roman" w:hAnsi="Times New Roman"/>
                <w:color w:val="000000" w:themeColor="text1"/>
                <w:kern w:val="2"/>
                <w:lang w:val="en-US" w:eastAsia="zh-CN"/>
              </w:rPr>
              <w:t>为</w:t>
            </w:r>
            <w:r>
              <w:rPr>
                <w:rFonts w:hint="eastAsia" w:ascii="Times New Roman" w:hAnsi="Times New Roman"/>
                <w:color w:val="000000" w:themeColor="text1"/>
                <w:kern w:val="18"/>
              </w:rPr>
              <w:t>pH：6~9、</w:t>
            </w:r>
            <w:r>
              <w:rPr>
                <w:rFonts w:ascii="Times New Roman" w:hAnsi="Times New Roman"/>
                <w:color w:val="000000" w:themeColor="text1"/>
                <w:kern w:val="2"/>
                <w:lang w:val="en-US"/>
              </w:rPr>
              <w:t>COD：400mg/L、SS：500mg/L、BOD</w:t>
            </w:r>
            <w:r>
              <w:rPr>
                <w:rFonts w:ascii="Times New Roman" w:hAnsi="Times New Roman"/>
                <w:color w:val="000000" w:themeColor="text1"/>
                <w:kern w:val="2"/>
                <w:vertAlign w:val="subscript"/>
                <w:lang w:val="en-US"/>
              </w:rPr>
              <w:t>5</w:t>
            </w:r>
            <w:r>
              <w:rPr>
                <w:rFonts w:hint="eastAsia"/>
                <w:color w:val="000000" w:themeColor="text1"/>
                <w:kern w:val="2"/>
                <w:vertAlign w:val="subscript"/>
                <w:lang w:val="en-US" w:eastAsia="zh-CN"/>
              </w:rPr>
              <w:t>:</w:t>
            </w:r>
            <w:r>
              <w:rPr>
                <w:rFonts w:ascii="Times New Roman" w:hAnsi="Times New Roman"/>
                <w:color w:val="000000" w:themeColor="text1"/>
                <w:kern w:val="2"/>
                <w:lang w:val="en-US"/>
              </w:rPr>
              <w:t>300mg/L</w:t>
            </w:r>
            <w:r>
              <w:rPr>
                <w:rFonts w:hint="eastAsia"/>
                <w:color w:val="000000" w:themeColor="text1"/>
                <w:sz w:val="24"/>
              </w:rPr>
              <w:t>。</w:t>
            </w:r>
          </w:p>
          <w:p w14:paraId="62B35C4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default" w:ascii="Times New Roman" w:hAnsi="Times New Roman" w:cs="Times New Roman"/>
                <w:b/>
                <w:color w:val="000000" w:themeColor="text1"/>
                <w:kern w:val="0"/>
                <w:sz w:val="21"/>
                <w:szCs w:val="21"/>
                <w:lang w:val="en-US" w:eastAsia="zh-CN"/>
              </w:rPr>
              <w:t>1</w:t>
            </w:r>
            <w:r>
              <w:rPr>
                <w:rFonts w:hint="default" w:ascii="Times New Roman" w:hAnsi="Times New Roman" w:eastAsia="宋体" w:cs="Times New Roman"/>
                <w:b/>
                <w:color w:val="000000" w:themeColor="text1"/>
                <w:kern w:val="0"/>
                <w:sz w:val="21"/>
                <w:szCs w:val="21"/>
              </w:rPr>
              <w:t xml:space="preserve">  项目生产废水产排情况表</w:t>
            </w:r>
          </w:p>
          <w:tbl>
            <w:tblPr>
              <w:tblStyle w:val="3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7"/>
              <w:gridCol w:w="855"/>
              <w:gridCol w:w="1522"/>
              <w:gridCol w:w="1522"/>
              <w:gridCol w:w="1522"/>
              <w:gridCol w:w="1522"/>
            </w:tblGrid>
            <w:tr w14:paraId="401BF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7" w:type="dxa"/>
                  <w:vMerge w:val="restart"/>
                  <w:tcBorders>
                    <w:top w:val="single" w:color="auto" w:sz="12" w:space="0"/>
                    <w:left w:val="nil"/>
                  </w:tcBorders>
                  <w:vAlign w:val="center"/>
                </w:tcPr>
                <w:p w14:paraId="62855E95">
                  <w:pPr>
                    <w:pStyle w:val="50"/>
                    <w:spacing w:line="240" w:lineRule="auto"/>
                    <w:ind w:firstLine="0" w:firstLineChars="0"/>
                    <w:jc w:val="center"/>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项目</w:t>
                  </w:r>
                </w:p>
              </w:tc>
              <w:tc>
                <w:tcPr>
                  <w:tcW w:w="855" w:type="dxa"/>
                  <w:vMerge w:val="restart"/>
                  <w:tcBorders>
                    <w:top w:val="single" w:color="auto" w:sz="12" w:space="0"/>
                  </w:tcBorders>
                  <w:vAlign w:val="center"/>
                </w:tcPr>
                <w:p w14:paraId="5679413A">
                  <w:pPr>
                    <w:pStyle w:val="50"/>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废水量</w:t>
                  </w:r>
                </w:p>
                <w:p w14:paraId="0AFB97F5">
                  <w:pPr>
                    <w:pStyle w:val="50"/>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eastAsia" w:asci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m</w:t>
                  </w:r>
                  <w:r>
                    <w:rPr>
                      <w:rFonts w:hint="default" w:ascii="Times New Roman" w:hAnsi="Times New Roman" w:eastAsia="宋体" w:cs="Times New Roman"/>
                      <w:b/>
                      <w:bCs/>
                      <w:color w:val="000000" w:themeColor="text1"/>
                      <w:sz w:val="21"/>
                      <w:szCs w:val="21"/>
                      <w:vertAlign w:val="superscript"/>
                    </w:rPr>
                    <w:t>3</w:t>
                  </w:r>
                  <w:r>
                    <w:rPr>
                      <w:rFonts w:hint="eastAsia" w:ascii="Times New Roman" w:eastAsia="宋体" w:cs="Times New Roman"/>
                      <w:b/>
                      <w:bCs/>
                      <w:color w:val="000000" w:themeColor="text1"/>
                      <w:sz w:val="21"/>
                      <w:szCs w:val="21"/>
                      <w:vertAlign w:val="superscript"/>
                      <w:lang w:eastAsia="zh-CN"/>
                    </w:rPr>
                    <w:t>)</w:t>
                  </w:r>
                </w:p>
              </w:tc>
              <w:tc>
                <w:tcPr>
                  <w:tcW w:w="6088" w:type="dxa"/>
                  <w:gridSpan w:val="4"/>
                  <w:tcBorders>
                    <w:top w:val="single" w:color="auto" w:sz="12" w:space="0"/>
                    <w:right w:val="nil"/>
                  </w:tcBorders>
                  <w:vAlign w:val="center"/>
                </w:tcPr>
                <w:p w14:paraId="5A5890DC">
                  <w:pPr>
                    <w:widowControl/>
                    <w:ind w:firstLine="42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kern w:val="0"/>
                      <w:sz w:val="21"/>
                      <w:szCs w:val="21"/>
                    </w:rPr>
                    <w:t>污染物浓度 （mg/L）</w:t>
                  </w:r>
                </w:p>
              </w:tc>
            </w:tr>
            <w:tr w14:paraId="6DE5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7" w:type="dxa"/>
                  <w:vMerge w:val="continue"/>
                  <w:tcBorders>
                    <w:left w:val="nil"/>
                  </w:tcBorders>
                  <w:vAlign w:val="center"/>
                </w:tcPr>
                <w:p w14:paraId="04ABFEEF">
                  <w:pPr>
                    <w:pStyle w:val="50"/>
                    <w:spacing w:line="240" w:lineRule="auto"/>
                    <w:ind w:firstLine="0" w:firstLineChars="0"/>
                    <w:jc w:val="center"/>
                    <w:rPr>
                      <w:rFonts w:hint="default" w:ascii="Times New Roman" w:hAnsi="Times New Roman" w:eastAsia="宋体" w:cs="Times New Roman"/>
                      <w:b/>
                      <w:bCs/>
                      <w:color w:val="000000" w:themeColor="text1"/>
                    </w:rPr>
                  </w:pPr>
                </w:p>
              </w:tc>
              <w:tc>
                <w:tcPr>
                  <w:tcW w:w="855" w:type="dxa"/>
                  <w:vMerge w:val="continue"/>
                  <w:vAlign w:val="center"/>
                </w:tcPr>
                <w:p w14:paraId="118F253C">
                  <w:pPr>
                    <w:pStyle w:val="50"/>
                    <w:spacing w:line="240" w:lineRule="auto"/>
                    <w:ind w:firstLine="0" w:firstLineChars="0"/>
                    <w:jc w:val="center"/>
                    <w:rPr>
                      <w:rFonts w:hint="default" w:ascii="Times New Roman" w:hAnsi="Times New Roman" w:eastAsia="宋体" w:cs="Times New Roman"/>
                      <w:b/>
                      <w:bCs/>
                      <w:color w:val="000000" w:themeColor="text1"/>
                      <w:sz w:val="21"/>
                      <w:szCs w:val="21"/>
                    </w:rPr>
                  </w:pPr>
                </w:p>
              </w:tc>
              <w:tc>
                <w:tcPr>
                  <w:tcW w:w="1522" w:type="dxa"/>
                  <w:vAlign w:val="center"/>
                </w:tcPr>
                <w:p w14:paraId="1B5089D2">
                  <w:pPr>
                    <w:widowControl/>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kern w:val="0"/>
                      <w:sz w:val="21"/>
                      <w:szCs w:val="21"/>
                    </w:rPr>
                    <w:t>pH</w:t>
                  </w:r>
                </w:p>
              </w:tc>
              <w:tc>
                <w:tcPr>
                  <w:tcW w:w="1522" w:type="dxa"/>
                  <w:vAlign w:val="center"/>
                </w:tcPr>
                <w:p w14:paraId="28895DCF">
                  <w:pPr>
                    <w:pStyle w:val="50"/>
                    <w:spacing w:line="240" w:lineRule="auto"/>
                    <w:ind w:firstLine="0" w:firstLineChars="0"/>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kern w:val="0"/>
                      <w:sz w:val="21"/>
                      <w:szCs w:val="21"/>
                    </w:rPr>
                    <w:t>COD</w:t>
                  </w:r>
                  <w:r>
                    <w:rPr>
                      <w:rFonts w:hint="default" w:ascii="Times New Roman" w:hAnsi="Times New Roman" w:eastAsia="宋体" w:cs="Times New Roman"/>
                      <w:b/>
                      <w:bCs/>
                      <w:color w:val="000000" w:themeColor="text1"/>
                      <w:kern w:val="0"/>
                      <w:sz w:val="21"/>
                      <w:szCs w:val="21"/>
                      <w:vertAlign w:val="subscript"/>
                      <w:lang w:val="en-US" w:eastAsia="zh-CN"/>
                    </w:rPr>
                    <w:t>cr</w:t>
                  </w:r>
                </w:p>
              </w:tc>
              <w:tc>
                <w:tcPr>
                  <w:tcW w:w="1522" w:type="dxa"/>
                  <w:vAlign w:val="center"/>
                </w:tcPr>
                <w:p w14:paraId="42A32C6E">
                  <w:pPr>
                    <w:pStyle w:val="50"/>
                    <w:spacing w:line="240" w:lineRule="auto"/>
                    <w:ind w:firstLine="0" w:firstLineChars="0"/>
                    <w:jc w:val="center"/>
                    <w:rPr>
                      <w:rFonts w:hint="default" w:ascii="Times New Roman" w:hAnsi="Times New Roman" w:eastAsia="宋体" w:cs="Times New Roman"/>
                      <w:b/>
                      <w:bCs/>
                      <w:color w:val="000000" w:themeColor="text1"/>
                      <w:sz w:val="21"/>
                      <w:szCs w:val="21"/>
                      <w:lang w:val="en-US"/>
                    </w:rPr>
                  </w:pPr>
                  <w:r>
                    <w:rPr>
                      <w:rFonts w:hint="default" w:ascii="Times New Roman" w:hAnsi="Times New Roman" w:cs="Times New Roman"/>
                      <w:b/>
                      <w:bCs/>
                      <w:color w:val="000000" w:themeColor="text1"/>
                      <w:kern w:val="0"/>
                      <w:sz w:val="21"/>
                      <w:szCs w:val="21"/>
                      <w:lang w:val="en-US" w:eastAsia="zh-CN"/>
                    </w:rPr>
                    <w:t>BOD</w:t>
                  </w:r>
                  <w:r>
                    <w:rPr>
                      <w:rFonts w:hint="default" w:ascii="Times New Roman" w:hAnsi="Times New Roman" w:cs="Times New Roman"/>
                      <w:b/>
                      <w:bCs/>
                      <w:color w:val="000000" w:themeColor="text1"/>
                      <w:kern w:val="0"/>
                      <w:sz w:val="21"/>
                      <w:szCs w:val="21"/>
                      <w:vertAlign w:val="subscript"/>
                      <w:lang w:val="en-US" w:eastAsia="zh-CN"/>
                    </w:rPr>
                    <w:t>5</w:t>
                  </w:r>
                </w:p>
              </w:tc>
              <w:tc>
                <w:tcPr>
                  <w:tcW w:w="1522" w:type="dxa"/>
                  <w:vAlign w:val="center"/>
                </w:tcPr>
                <w:p w14:paraId="44B52C44">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val="en-US" w:eastAsia="zh-CN"/>
                    </w:rPr>
                  </w:pPr>
                  <w:r>
                    <w:rPr>
                      <w:rFonts w:hint="default" w:ascii="Times New Roman" w:hAnsi="Times New Roman" w:eastAsia="宋体" w:cs="Times New Roman"/>
                      <w:b/>
                      <w:bCs/>
                      <w:color w:val="000000" w:themeColor="text1"/>
                      <w:kern w:val="0"/>
                      <w:sz w:val="21"/>
                      <w:szCs w:val="21"/>
                    </w:rPr>
                    <w:t>SS</w:t>
                  </w:r>
                </w:p>
              </w:tc>
            </w:tr>
            <w:tr w14:paraId="5C86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17" w:type="dxa"/>
                  <w:tcBorders>
                    <w:left w:val="nil"/>
                    <w:bottom w:val="single" w:color="auto" w:sz="12" w:space="0"/>
                  </w:tcBorders>
                  <w:vAlign w:val="center"/>
                </w:tcPr>
                <w:p w14:paraId="3EED20E4">
                  <w:pPr>
                    <w:pStyle w:val="50"/>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z w:val="21"/>
                      <w:szCs w:val="21"/>
                      <w:lang w:val="en-US" w:eastAsia="zh-CN"/>
                    </w:rPr>
                    <w:t>地面清洗水</w:t>
                  </w:r>
                </w:p>
              </w:tc>
              <w:tc>
                <w:tcPr>
                  <w:tcW w:w="855" w:type="dxa"/>
                  <w:tcBorders>
                    <w:bottom w:val="single" w:color="auto" w:sz="12" w:space="0"/>
                  </w:tcBorders>
                  <w:vAlign w:val="center"/>
                </w:tcPr>
                <w:p w14:paraId="7F6DDE8A">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color w:val="000000" w:themeColor="text1"/>
                      <w:sz w:val="21"/>
                      <w:szCs w:val="21"/>
                      <w:lang w:val="en-US" w:eastAsia="zh-CN"/>
                    </w:rPr>
                    <w:t>135</w:t>
                  </w:r>
                </w:p>
              </w:tc>
              <w:tc>
                <w:tcPr>
                  <w:tcW w:w="1522" w:type="dxa"/>
                  <w:tcBorders>
                    <w:bottom w:val="single" w:color="auto" w:sz="12" w:space="0"/>
                  </w:tcBorders>
                  <w:vAlign w:val="center"/>
                </w:tcPr>
                <w:p w14:paraId="29F5C2DF">
                  <w:pPr>
                    <w:pStyle w:val="50"/>
                    <w:spacing w:line="240" w:lineRule="auto"/>
                    <w:ind w:firstLine="0" w:firstLineChars="0"/>
                    <w:jc w:val="center"/>
                    <w:rPr>
                      <w:rFonts w:hint="default"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default" w:ascii="Times New Roman" w:hAnsi="Times New Roman" w:eastAsia="宋体" w:cs="Times New Roman"/>
                      <w:color w:val="000000" w:themeColor="text1"/>
                      <w:kern w:val="0"/>
                      <w:sz w:val="21"/>
                      <w:szCs w:val="21"/>
                      <w:lang w:val="en-US" w:eastAsia="zh-CN"/>
                    </w:rPr>
                    <w:t>9</w:t>
                  </w:r>
                </w:p>
              </w:tc>
              <w:tc>
                <w:tcPr>
                  <w:tcW w:w="1522" w:type="dxa"/>
                  <w:tcBorders>
                    <w:bottom w:val="single" w:color="auto" w:sz="12" w:space="0"/>
                  </w:tcBorders>
                  <w:vAlign w:val="center"/>
                </w:tcPr>
                <w:p w14:paraId="38570F8A">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400</w:t>
                  </w:r>
                </w:p>
              </w:tc>
              <w:tc>
                <w:tcPr>
                  <w:tcW w:w="1522" w:type="dxa"/>
                  <w:tcBorders>
                    <w:bottom w:val="single" w:color="auto" w:sz="12" w:space="0"/>
                  </w:tcBorders>
                  <w:vAlign w:val="center"/>
                </w:tcPr>
                <w:p w14:paraId="084C50F2">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300</w:t>
                  </w:r>
                </w:p>
              </w:tc>
              <w:tc>
                <w:tcPr>
                  <w:tcW w:w="1522" w:type="dxa"/>
                  <w:tcBorders>
                    <w:bottom w:val="single" w:color="auto" w:sz="12" w:space="0"/>
                  </w:tcBorders>
                  <w:vAlign w:val="center"/>
                </w:tcPr>
                <w:p w14:paraId="2D3A5669">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500</w:t>
                  </w:r>
                </w:p>
              </w:tc>
            </w:tr>
          </w:tbl>
          <w:p w14:paraId="2C977744">
            <w:pPr>
              <w:pStyle w:val="5"/>
              <w:pageBreakBefore w:val="0"/>
              <w:widowControl w:val="0"/>
              <w:kinsoku/>
              <w:wordWrap/>
              <w:overflowPunct/>
              <w:topLinePunct w:val="0"/>
              <w:autoSpaceDE/>
              <w:autoSpaceDN/>
              <w:bidi w:val="0"/>
              <w:adjustRightInd w:val="0"/>
              <w:snapToGrid w:val="0"/>
              <w:spacing w:before="0" w:after="0" w:line="360" w:lineRule="auto"/>
              <w:ind w:firstLine="482"/>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1.2 废水收集处理措施及废水排放情况</w:t>
            </w:r>
          </w:p>
          <w:p w14:paraId="4AF3E8AF">
            <w:pPr>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bCs/>
                <w:color w:val="000000" w:themeColor="text1"/>
              </w:rPr>
            </w:pPr>
            <w:r>
              <w:rPr>
                <w:rFonts w:hint="eastAsia" w:cs="Times New Roman"/>
                <w:color w:val="000000" w:themeColor="text1"/>
                <w:lang w:val="en-US" w:eastAsia="zh-CN"/>
              </w:rPr>
              <w:t>地面清洗水经厂内化粪池处理后通过园区污水管网排放至赤湖工业园污水处理厂处理</w:t>
            </w:r>
            <w:r>
              <w:rPr>
                <w:rFonts w:hint="eastAsia" w:cs="Times New Roman"/>
                <w:color w:val="000000" w:themeColor="text1"/>
                <w:lang w:eastAsia="zh-CN"/>
              </w:rPr>
              <w:t>。</w:t>
            </w:r>
            <w:r>
              <w:rPr>
                <w:rFonts w:hint="default" w:ascii="Times New Roman" w:hAnsi="Times New Roman" w:eastAsia="宋体" w:cs="Times New Roman"/>
                <w:bCs/>
                <w:color w:val="000000" w:themeColor="text1"/>
              </w:rPr>
              <w:t>项目废水产排情况详见下表。</w:t>
            </w:r>
          </w:p>
          <w:p w14:paraId="47B2D4E4">
            <w:pPr>
              <w:pStyle w:val="125"/>
              <w:tabs>
                <w:tab w:val="left" w:pos="0"/>
              </w:tabs>
              <w:spacing w:line="0" w:lineRule="atLeast"/>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color w:val="000000" w:themeColor="text1"/>
                <w:kern w:val="0"/>
                <w:sz w:val="21"/>
                <w:szCs w:val="21"/>
              </w:rPr>
              <w:t>表4-</w:t>
            </w:r>
            <w:r>
              <w:rPr>
                <w:rFonts w:hint="eastAsia" w:cs="Times New Roman"/>
                <w:color w:val="000000" w:themeColor="text1"/>
                <w:kern w:val="0"/>
                <w:sz w:val="21"/>
                <w:szCs w:val="21"/>
                <w:lang w:val="en-US" w:eastAsia="zh-CN"/>
              </w:rPr>
              <w:t>2</w:t>
            </w:r>
            <w:r>
              <w:rPr>
                <w:rFonts w:hint="default" w:ascii="Times New Roman" w:hAnsi="Times New Roman" w:eastAsia="宋体" w:cs="Times New Roman"/>
                <w:color w:val="000000" w:themeColor="text1"/>
                <w:kern w:val="0"/>
                <w:sz w:val="21"/>
                <w:szCs w:val="21"/>
              </w:rPr>
              <w:t xml:space="preserve">  项目废水产排情况表</w:t>
            </w:r>
          </w:p>
          <w:tbl>
            <w:tblPr>
              <w:tblStyle w:val="33"/>
              <w:tblW w:w="775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443"/>
              <w:gridCol w:w="1782"/>
              <w:gridCol w:w="1076"/>
              <w:gridCol w:w="1282"/>
              <w:gridCol w:w="1076"/>
              <w:gridCol w:w="1099"/>
            </w:tblGrid>
            <w:tr w14:paraId="32BF565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96" w:hRule="atLeast"/>
                <w:jc w:val="center"/>
              </w:trPr>
              <w:tc>
                <w:tcPr>
                  <w:tcW w:w="3225" w:type="dxa"/>
                  <w:gridSpan w:val="2"/>
                  <w:tcBorders>
                    <w:tl2br w:val="nil"/>
                    <w:tr2bl w:val="nil"/>
                  </w:tcBorders>
                  <w:vAlign w:val="center"/>
                </w:tcPr>
                <w:p w14:paraId="7C19DD3D">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1076" w:type="dxa"/>
                  <w:tcBorders>
                    <w:tl2br w:val="nil"/>
                    <w:tr2bl w:val="nil"/>
                  </w:tcBorders>
                  <w:vAlign w:val="center"/>
                </w:tcPr>
                <w:p w14:paraId="0518FF2F">
                  <w:pPr>
                    <w:pStyle w:val="55"/>
                    <w:ind w:left="0"/>
                    <w:rPr>
                      <w:rFonts w:hint="default"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pH</w:t>
                  </w:r>
                </w:p>
              </w:tc>
              <w:tc>
                <w:tcPr>
                  <w:tcW w:w="1282" w:type="dxa"/>
                  <w:tcBorders>
                    <w:tl2br w:val="nil"/>
                    <w:tr2bl w:val="nil"/>
                  </w:tcBorders>
                  <w:vAlign w:val="center"/>
                </w:tcPr>
                <w:p w14:paraId="1CB73811">
                  <w:pPr>
                    <w:pStyle w:val="55"/>
                    <w:ind w:left="0" w:leftChars="0"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COD</w:t>
                  </w:r>
                  <w:r>
                    <w:rPr>
                      <w:rFonts w:hint="default" w:ascii="Times New Roman" w:hAnsi="Times New Roman" w:eastAsia="宋体" w:cs="Times New Roman"/>
                      <w:b/>
                      <w:bCs/>
                      <w:color w:val="000000" w:themeColor="text1"/>
                      <w:sz w:val="21"/>
                      <w:szCs w:val="21"/>
                      <w:vertAlign w:val="subscript"/>
                      <w:lang w:val="en-GB"/>
                    </w:rPr>
                    <w:t>cr</w:t>
                  </w:r>
                </w:p>
              </w:tc>
              <w:tc>
                <w:tcPr>
                  <w:tcW w:w="1076" w:type="dxa"/>
                  <w:tcBorders>
                    <w:tl2br w:val="nil"/>
                    <w:tr2bl w:val="nil"/>
                  </w:tcBorders>
                  <w:shd w:val="clear" w:color="auto" w:fill="auto"/>
                  <w:vAlign w:val="center"/>
                </w:tcPr>
                <w:p w14:paraId="3E5E05B7">
                  <w:pPr>
                    <w:pStyle w:val="50"/>
                    <w:spacing w:line="240" w:lineRule="auto"/>
                    <w:ind w:firstLine="0" w:firstLineChars="0"/>
                    <w:jc w:val="center"/>
                    <w:rPr>
                      <w:rFonts w:hint="default" w:ascii="Times New Roman" w:hAnsi="Times New Roman" w:eastAsia="宋体" w:cs="Times New Roman"/>
                      <w:b/>
                      <w:bCs/>
                      <w:color w:val="000000" w:themeColor="text1"/>
                      <w:kern w:val="2"/>
                      <w:sz w:val="21"/>
                      <w:szCs w:val="21"/>
                      <w:lang w:val="en-US" w:eastAsia="zh-CN" w:bidi="ar-SA"/>
                    </w:rPr>
                  </w:pPr>
                  <w:r>
                    <w:rPr>
                      <w:rFonts w:hint="eastAsia" w:cs="Times New Roman"/>
                      <w:b/>
                      <w:bCs/>
                      <w:color w:val="000000" w:themeColor="text1"/>
                      <w:kern w:val="0"/>
                      <w:sz w:val="21"/>
                      <w:szCs w:val="21"/>
                      <w:lang w:val="en-US" w:eastAsia="zh-CN"/>
                    </w:rPr>
                    <w:t>BOD</w:t>
                  </w:r>
                  <w:r>
                    <w:rPr>
                      <w:rFonts w:hint="eastAsia" w:cs="Times New Roman"/>
                      <w:b/>
                      <w:bCs/>
                      <w:color w:val="000000" w:themeColor="text1"/>
                      <w:kern w:val="0"/>
                      <w:sz w:val="21"/>
                      <w:szCs w:val="21"/>
                      <w:vertAlign w:val="subscript"/>
                      <w:lang w:val="en-US" w:eastAsia="zh-CN"/>
                    </w:rPr>
                    <w:t>5</w:t>
                  </w:r>
                </w:p>
              </w:tc>
              <w:tc>
                <w:tcPr>
                  <w:tcW w:w="1099" w:type="dxa"/>
                  <w:tcBorders>
                    <w:tl2br w:val="nil"/>
                    <w:tr2bl w:val="nil"/>
                  </w:tcBorders>
                  <w:shd w:val="clear" w:color="auto" w:fill="auto"/>
                  <w:vAlign w:val="center"/>
                </w:tcPr>
                <w:p w14:paraId="60332DA9">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val="en-US" w:eastAsia="zh-CN" w:bidi="ar-SA"/>
                    </w:rPr>
                  </w:pPr>
                  <w:r>
                    <w:rPr>
                      <w:rFonts w:hint="default" w:ascii="Times New Roman" w:hAnsi="Times New Roman" w:eastAsia="宋体" w:cs="Times New Roman"/>
                      <w:b/>
                      <w:bCs/>
                      <w:color w:val="000000" w:themeColor="text1"/>
                      <w:kern w:val="0"/>
                      <w:sz w:val="21"/>
                      <w:szCs w:val="21"/>
                    </w:rPr>
                    <w:t>SS</w:t>
                  </w:r>
                </w:p>
              </w:tc>
            </w:tr>
            <w:tr w14:paraId="0DDFE86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vMerge w:val="restart"/>
                  <w:tcBorders>
                    <w:tl2br w:val="nil"/>
                    <w:tr2bl w:val="nil"/>
                  </w:tcBorders>
                  <w:vAlign w:val="center"/>
                </w:tcPr>
                <w:p w14:paraId="12DBC337">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p w14:paraId="73C335AB">
                  <w:pPr>
                    <w:pStyle w:val="55"/>
                    <w:ind w:left="0"/>
                    <w:rPr>
                      <w:rFonts w:hint="default" w:ascii="Times New Roman" w:hAnsi="Times New Roman" w:eastAsia="宋体" w:cs="Times New Roman"/>
                      <w:color w:val="000000" w:themeColor="text1"/>
                    </w:rPr>
                  </w:pPr>
                  <w:r>
                    <w:rPr>
                      <w:rFonts w:hint="eastAsia" w:cs="Times New Roman"/>
                      <w:color w:val="000000" w:themeColor="text1"/>
                      <w:lang w:val="en-US" w:eastAsia="zh-CN"/>
                    </w:rPr>
                    <w:t>135</w:t>
                  </w:r>
                  <w:r>
                    <w:rPr>
                      <w:rFonts w:hint="default" w:ascii="Times New Roman" w:hAnsi="Times New Roman" w:eastAsia="宋体" w:cs="Times New Roman"/>
                      <w:color w:val="000000" w:themeColor="text1"/>
                    </w:rPr>
                    <w:t>m³/a</w:t>
                  </w:r>
                </w:p>
              </w:tc>
              <w:tc>
                <w:tcPr>
                  <w:tcW w:w="1782" w:type="dxa"/>
                  <w:tcBorders>
                    <w:tl2br w:val="nil"/>
                    <w:tr2bl w:val="nil"/>
                  </w:tcBorders>
                  <w:vAlign w:val="center"/>
                </w:tcPr>
                <w:p w14:paraId="545AE8BD">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产生浓度（mg/L）</w:t>
                  </w:r>
                </w:p>
              </w:tc>
              <w:tc>
                <w:tcPr>
                  <w:tcW w:w="1076" w:type="dxa"/>
                  <w:tcBorders>
                    <w:tl2br w:val="nil"/>
                    <w:tr2bl w:val="nil"/>
                  </w:tcBorders>
                  <w:vAlign w:val="center"/>
                </w:tcPr>
                <w:p w14:paraId="37EECA86">
                  <w:pPr>
                    <w:widowControl/>
                    <w:spacing w:line="240" w:lineRule="auto"/>
                    <w:ind w:firstLine="0" w:firstLineChars="0"/>
                    <w:jc w:val="center"/>
                    <w:rPr>
                      <w:rFonts w:hint="eastAsia" w:ascii="Times New Roman" w:hAnsi="Times New Roman" w:eastAsia="宋体" w:cs="Times New Roman"/>
                      <w:color w:val="000000" w:themeColor="text1"/>
                      <w:lang w:val="en-US" w:eastAsia="zh-CN"/>
                    </w:rPr>
                  </w:pPr>
                  <w:r>
                    <w:rPr>
                      <w:rFonts w:hint="eastAsia"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eastAsia" w:cs="Times New Roman"/>
                      <w:color w:val="000000" w:themeColor="text1"/>
                      <w:kern w:val="0"/>
                      <w:sz w:val="21"/>
                      <w:szCs w:val="21"/>
                      <w:lang w:val="en-US" w:eastAsia="zh-CN"/>
                    </w:rPr>
                    <w:t>9</w:t>
                  </w:r>
                </w:p>
              </w:tc>
              <w:tc>
                <w:tcPr>
                  <w:tcW w:w="1282" w:type="dxa"/>
                  <w:tcBorders>
                    <w:tl2br w:val="nil"/>
                    <w:tr2bl w:val="nil"/>
                  </w:tcBorders>
                  <w:vAlign w:val="center"/>
                </w:tcPr>
                <w:p w14:paraId="47CD8C42">
                  <w:pPr>
                    <w:pStyle w:val="50"/>
                    <w:spacing w:line="240" w:lineRule="auto"/>
                    <w:ind w:firstLine="0" w:firstLineChars="0"/>
                    <w:jc w:val="center"/>
                    <w:rPr>
                      <w:rFonts w:hint="default" w:ascii="Times New Roman" w:hAnsi="Times New Roman" w:eastAsia="宋体" w:cs="Times New Roman"/>
                      <w:color w:val="000000" w:themeColor="text1"/>
                      <w:lang w:val="en-US"/>
                    </w:rPr>
                  </w:pPr>
                  <w:r>
                    <w:rPr>
                      <w:rFonts w:hint="eastAsia" w:ascii="Times New Roman" w:eastAsia="宋体" w:cs="Times New Roman"/>
                      <w:color w:val="000000" w:themeColor="text1"/>
                      <w:sz w:val="21"/>
                      <w:szCs w:val="21"/>
                      <w:lang w:val="en-US" w:eastAsia="zh-CN"/>
                    </w:rPr>
                    <w:t>400</w:t>
                  </w:r>
                </w:p>
              </w:tc>
              <w:tc>
                <w:tcPr>
                  <w:tcW w:w="1076" w:type="dxa"/>
                  <w:tcBorders>
                    <w:tl2br w:val="nil"/>
                    <w:tr2bl w:val="nil"/>
                  </w:tcBorders>
                  <w:vAlign w:val="center"/>
                </w:tcPr>
                <w:p w14:paraId="71128AE1">
                  <w:pPr>
                    <w:pStyle w:val="50"/>
                    <w:spacing w:line="240" w:lineRule="auto"/>
                    <w:ind w:firstLine="0" w:firstLineChars="0"/>
                    <w:jc w:val="center"/>
                    <w:rPr>
                      <w:rFonts w:hint="default" w:ascii="Times New Roman" w:hAnsi="Times New Roman" w:eastAsia="宋体" w:cs="Times New Roman"/>
                      <w:color w:val="000000" w:themeColor="text1"/>
                      <w:lang w:val="en-US"/>
                    </w:rPr>
                  </w:pPr>
                  <w:r>
                    <w:rPr>
                      <w:rFonts w:hint="eastAsia" w:ascii="Times New Roman" w:eastAsia="宋体" w:cs="Times New Roman"/>
                      <w:color w:val="000000" w:themeColor="text1"/>
                      <w:sz w:val="21"/>
                      <w:szCs w:val="21"/>
                      <w:lang w:val="en-US" w:eastAsia="zh-CN"/>
                    </w:rPr>
                    <w:t>300</w:t>
                  </w:r>
                </w:p>
              </w:tc>
              <w:tc>
                <w:tcPr>
                  <w:tcW w:w="1099" w:type="dxa"/>
                  <w:tcBorders>
                    <w:tl2br w:val="nil"/>
                    <w:tr2bl w:val="nil"/>
                  </w:tcBorders>
                  <w:vAlign w:val="center"/>
                </w:tcPr>
                <w:p w14:paraId="085F4AEA">
                  <w:pPr>
                    <w:pStyle w:val="50"/>
                    <w:spacing w:line="240" w:lineRule="auto"/>
                    <w:ind w:firstLine="0" w:firstLineChars="0"/>
                    <w:jc w:val="center"/>
                    <w:rPr>
                      <w:rFonts w:hint="default" w:ascii="Times New Roman" w:hAnsi="Times New Roman" w:eastAsia="宋体" w:cs="Times New Roman"/>
                      <w:color w:val="000000" w:themeColor="text1"/>
                      <w:lang w:val="en-US"/>
                    </w:rPr>
                  </w:pPr>
                  <w:r>
                    <w:rPr>
                      <w:rFonts w:hint="eastAsia" w:ascii="Times New Roman" w:eastAsia="宋体" w:cs="Times New Roman"/>
                      <w:color w:val="000000" w:themeColor="text1"/>
                      <w:sz w:val="21"/>
                      <w:szCs w:val="21"/>
                      <w:lang w:val="en-US" w:eastAsia="zh-CN"/>
                    </w:rPr>
                    <w:t>500</w:t>
                  </w:r>
                </w:p>
              </w:tc>
            </w:tr>
            <w:tr w14:paraId="76AC147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vMerge w:val="continue"/>
                  <w:tcBorders>
                    <w:tl2br w:val="nil"/>
                    <w:tr2bl w:val="nil"/>
                  </w:tcBorders>
                  <w:vAlign w:val="center"/>
                </w:tcPr>
                <w:p w14:paraId="6BB4D30B">
                  <w:pPr>
                    <w:pStyle w:val="55"/>
                    <w:ind w:left="0"/>
                    <w:rPr>
                      <w:rFonts w:hint="default" w:ascii="Times New Roman" w:hAnsi="Times New Roman" w:eastAsia="宋体" w:cs="Times New Roman"/>
                      <w:color w:val="000000" w:themeColor="text1"/>
                    </w:rPr>
                  </w:pPr>
                </w:p>
              </w:tc>
              <w:tc>
                <w:tcPr>
                  <w:tcW w:w="1782" w:type="dxa"/>
                  <w:tcBorders>
                    <w:tl2br w:val="nil"/>
                    <w:tr2bl w:val="nil"/>
                  </w:tcBorders>
                  <w:vAlign w:val="center"/>
                </w:tcPr>
                <w:p w14:paraId="0DD29EAB">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产生量（t/a）</w:t>
                  </w:r>
                </w:p>
              </w:tc>
              <w:tc>
                <w:tcPr>
                  <w:tcW w:w="1076" w:type="dxa"/>
                  <w:tcBorders>
                    <w:tl2br w:val="nil"/>
                    <w:tr2bl w:val="nil"/>
                  </w:tcBorders>
                  <w:vAlign w:val="center"/>
                </w:tcPr>
                <w:p w14:paraId="766F4833">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282" w:type="dxa"/>
                  <w:tcBorders>
                    <w:tl2br w:val="nil"/>
                    <w:tr2bl w:val="nil"/>
                  </w:tcBorders>
                  <w:vAlign w:val="center"/>
                </w:tcPr>
                <w:p w14:paraId="1F6E0585">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0.054</w:t>
                  </w:r>
                </w:p>
              </w:tc>
              <w:tc>
                <w:tcPr>
                  <w:tcW w:w="1076" w:type="dxa"/>
                  <w:tcBorders>
                    <w:tl2br w:val="nil"/>
                    <w:tr2bl w:val="nil"/>
                  </w:tcBorders>
                  <w:vAlign w:val="center"/>
                </w:tcPr>
                <w:p w14:paraId="6F1DB35F">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0.041</w:t>
                  </w:r>
                </w:p>
              </w:tc>
              <w:tc>
                <w:tcPr>
                  <w:tcW w:w="1099" w:type="dxa"/>
                  <w:tcBorders>
                    <w:tl2br w:val="nil"/>
                    <w:tr2bl w:val="nil"/>
                  </w:tcBorders>
                  <w:vAlign w:val="center"/>
                </w:tcPr>
                <w:p w14:paraId="05932030">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0.075</w:t>
                  </w:r>
                </w:p>
              </w:tc>
            </w:tr>
            <w:tr w14:paraId="32562D74">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tcBorders>
                    <w:tl2br w:val="nil"/>
                    <w:tr2bl w:val="nil"/>
                  </w:tcBorders>
                  <w:vAlign w:val="center"/>
                </w:tcPr>
                <w:p w14:paraId="2705322E">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处理措施</w:t>
                  </w:r>
                </w:p>
              </w:tc>
              <w:tc>
                <w:tcPr>
                  <w:tcW w:w="6315" w:type="dxa"/>
                  <w:gridSpan w:val="5"/>
                  <w:tcBorders>
                    <w:tl2br w:val="nil"/>
                    <w:tr2bl w:val="nil"/>
                  </w:tcBorders>
                  <w:vAlign w:val="center"/>
                </w:tcPr>
                <w:p w14:paraId="027083A4">
                  <w:pPr>
                    <w:pStyle w:val="5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化粪池</w:t>
                  </w:r>
                </w:p>
              </w:tc>
            </w:tr>
            <w:tr w14:paraId="757F1D4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tcBorders>
                    <w:tl2br w:val="nil"/>
                    <w:tr2bl w:val="nil"/>
                  </w:tcBorders>
                  <w:vAlign w:val="center"/>
                </w:tcPr>
                <w:p w14:paraId="3C7DB0AA">
                  <w:pPr>
                    <w:pStyle w:val="55"/>
                    <w:ind w:left="0"/>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处理效率</w:t>
                  </w:r>
                </w:p>
              </w:tc>
              <w:tc>
                <w:tcPr>
                  <w:tcW w:w="1782" w:type="dxa"/>
                  <w:tcBorders>
                    <w:tl2br w:val="nil"/>
                    <w:tr2bl w:val="nil"/>
                  </w:tcBorders>
                  <w:vAlign w:val="center"/>
                </w:tcPr>
                <w:p w14:paraId="7C951FED">
                  <w:pPr>
                    <w:pStyle w:val="55"/>
                    <w:ind w:left="0"/>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076" w:type="dxa"/>
                  <w:tcBorders>
                    <w:tl2br w:val="nil"/>
                    <w:tr2bl w:val="nil"/>
                  </w:tcBorders>
                  <w:vAlign w:val="center"/>
                </w:tcPr>
                <w:p w14:paraId="3B663562">
                  <w:pPr>
                    <w:pStyle w:val="50"/>
                    <w:spacing w:line="240" w:lineRule="auto"/>
                    <w:ind w:firstLine="0" w:firstLineChars="0"/>
                    <w:jc w:val="center"/>
                    <w:rPr>
                      <w:rFonts w:hint="default" w:ascii="Times New Roman" w:eastAsia="宋体" w:cs="Times New Roman"/>
                      <w:color w:val="000000" w:themeColor="text1"/>
                      <w:kern w:val="0"/>
                      <w:sz w:val="21"/>
                      <w:szCs w:val="21"/>
                      <w:lang w:val="en-US" w:eastAsia="zh-CN"/>
                    </w:rPr>
                  </w:pPr>
                  <w:r>
                    <w:rPr>
                      <w:rFonts w:hint="eastAsia" w:ascii="Times New Roman" w:eastAsia="宋体" w:cs="Times New Roman"/>
                      <w:color w:val="000000" w:themeColor="text1"/>
                      <w:kern w:val="0"/>
                      <w:sz w:val="21"/>
                      <w:szCs w:val="21"/>
                      <w:lang w:val="en-US" w:eastAsia="zh-CN"/>
                    </w:rPr>
                    <w:t>/</w:t>
                  </w:r>
                </w:p>
              </w:tc>
              <w:tc>
                <w:tcPr>
                  <w:tcW w:w="1282" w:type="dxa"/>
                  <w:tcBorders>
                    <w:tl2br w:val="nil"/>
                    <w:tr2bl w:val="nil"/>
                  </w:tcBorders>
                  <w:vAlign w:val="center"/>
                </w:tcPr>
                <w:p w14:paraId="5E62E397">
                  <w:pPr>
                    <w:pStyle w:val="5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70</w:t>
                  </w:r>
                </w:p>
              </w:tc>
              <w:tc>
                <w:tcPr>
                  <w:tcW w:w="1076" w:type="dxa"/>
                  <w:tcBorders>
                    <w:tl2br w:val="nil"/>
                    <w:tr2bl w:val="nil"/>
                  </w:tcBorders>
                  <w:vAlign w:val="center"/>
                </w:tcPr>
                <w:p w14:paraId="41BE8805">
                  <w:pPr>
                    <w:pStyle w:val="5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70</w:t>
                  </w:r>
                </w:p>
              </w:tc>
              <w:tc>
                <w:tcPr>
                  <w:tcW w:w="1099" w:type="dxa"/>
                  <w:tcBorders>
                    <w:tl2br w:val="nil"/>
                    <w:tr2bl w:val="nil"/>
                  </w:tcBorders>
                  <w:vAlign w:val="center"/>
                </w:tcPr>
                <w:p w14:paraId="53E95731">
                  <w:pPr>
                    <w:pStyle w:val="50"/>
                    <w:spacing w:line="240" w:lineRule="auto"/>
                    <w:ind w:firstLine="0" w:firstLineChars="0"/>
                    <w:jc w:val="center"/>
                    <w:rPr>
                      <w:rFonts w:hint="default" w:asci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90</w:t>
                  </w:r>
                </w:p>
              </w:tc>
            </w:tr>
            <w:tr w14:paraId="1466A780">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vMerge w:val="restart"/>
                  <w:tcBorders>
                    <w:tl2br w:val="nil"/>
                    <w:tr2bl w:val="nil"/>
                  </w:tcBorders>
                  <w:vAlign w:val="center"/>
                </w:tcPr>
                <w:p w14:paraId="7970DE7F">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p w14:paraId="015EEDCD">
                  <w:pPr>
                    <w:pStyle w:val="55"/>
                    <w:ind w:left="0"/>
                    <w:rPr>
                      <w:rFonts w:hint="default" w:ascii="Times New Roman" w:hAnsi="Times New Roman" w:eastAsia="宋体" w:cs="Times New Roman"/>
                      <w:color w:val="000000" w:themeColor="text1"/>
                    </w:rPr>
                  </w:pPr>
                  <w:r>
                    <w:rPr>
                      <w:rFonts w:hint="eastAsia" w:cs="Times New Roman"/>
                      <w:color w:val="000000" w:themeColor="text1"/>
                      <w:lang w:val="en-US" w:eastAsia="zh-CN"/>
                    </w:rPr>
                    <w:t>135</w:t>
                  </w:r>
                  <w:r>
                    <w:rPr>
                      <w:rFonts w:hint="default" w:ascii="Times New Roman" w:hAnsi="Times New Roman" w:eastAsia="宋体" w:cs="Times New Roman"/>
                      <w:color w:val="000000" w:themeColor="text1"/>
                    </w:rPr>
                    <w:t>m³/a</w:t>
                  </w:r>
                </w:p>
              </w:tc>
              <w:tc>
                <w:tcPr>
                  <w:tcW w:w="1782" w:type="dxa"/>
                  <w:tcBorders>
                    <w:tl2br w:val="nil"/>
                    <w:tr2bl w:val="nil"/>
                  </w:tcBorders>
                  <w:vAlign w:val="center"/>
                </w:tcPr>
                <w:p w14:paraId="4DBB32BD">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排放浓度（mg/L）</w:t>
                  </w:r>
                </w:p>
              </w:tc>
              <w:tc>
                <w:tcPr>
                  <w:tcW w:w="1076" w:type="dxa"/>
                  <w:tcBorders>
                    <w:tl2br w:val="nil"/>
                    <w:tr2bl w:val="nil"/>
                  </w:tcBorders>
                  <w:vAlign w:val="center"/>
                </w:tcPr>
                <w:p w14:paraId="05BD6A4C">
                  <w:pPr>
                    <w:pStyle w:val="50"/>
                    <w:spacing w:line="240" w:lineRule="auto"/>
                    <w:ind w:firstLine="0" w:firstLineChars="0"/>
                    <w:jc w:val="center"/>
                    <w:rPr>
                      <w:rFonts w:hint="default" w:ascii="Times New Roman" w:hAnsi="Times New Roman" w:eastAsia="宋体" w:cs="Times New Roman"/>
                      <w:color w:val="000000" w:themeColor="text1"/>
                      <w:sz w:val="21"/>
                      <w:szCs w:val="21"/>
                    </w:rPr>
                  </w:pPr>
                  <w:r>
                    <w:rPr>
                      <w:rFonts w:hint="eastAsia" w:asci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eastAsia" w:ascii="Times New Roman" w:eastAsia="宋体" w:cs="Times New Roman"/>
                      <w:color w:val="000000" w:themeColor="text1"/>
                      <w:kern w:val="0"/>
                      <w:sz w:val="21"/>
                      <w:szCs w:val="21"/>
                      <w:lang w:val="en-US" w:eastAsia="zh-CN"/>
                    </w:rPr>
                    <w:t>9</w:t>
                  </w:r>
                </w:p>
              </w:tc>
              <w:tc>
                <w:tcPr>
                  <w:tcW w:w="1282" w:type="dxa"/>
                  <w:tcBorders>
                    <w:tl2br w:val="nil"/>
                    <w:tr2bl w:val="nil"/>
                  </w:tcBorders>
                  <w:vAlign w:val="center"/>
                </w:tcPr>
                <w:p w14:paraId="45D505BB">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120</w:t>
                  </w:r>
                </w:p>
              </w:tc>
              <w:tc>
                <w:tcPr>
                  <w:tcW w:w="1076" w:type="dxa"/>
                  <w:tcBorders>
                    <w:tl2br w:val="nil"/>
                    <w:tr2bl w:val="nil"/>
                  </w:tcBorders>
                  <w:vAlign w:val="center"/>
                </w:tcPr>
                <w:p w14:paraId="4569F99B">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90</w:t>
                  </w:r>
                </w:p>
              </w:tc>
              <w:tc>
                <w:tcPr>
                  <w:tcW w:w="1099" w:type="dxa"/>
                  <w:tcBorders>
                    <w:tl2br w:val="nil"/>
                    <w:tr2bl w:val="nil"/>
                  </w:tcBorders>
                  <w:vAlign w:val="center"/>
                </w:tcPr>
                <w:p w14:paraId="4C90B9F5">
                  <w:pPr>
                    <w:pStyle w:val="5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eastAsia="宋体" w:cs="Times New Roman"/>
                      <w:color w:val="000000" w:themeColor="text1"/>
                      <w:sz w:val="21"/>
                      <w:szCs w:val="21"/>
                      <w:lang w:val="en-US" w:eastAsia="zh-CN"/>
                    </w:rPr>
                    <w:t>50</w:t>
                  </w:r>
                </w:p>
              </w:tc>
            </w:tr>
            <w:tr w14:paraId="7424B2B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1443" w:type="dxa"/>
                  <w:vMerge w:val="continue"/>
                  <w:tcBorders>
                    <w:tl2br w:val="nil"/>
                    <w:tr2bl w:val="nil"/>
                  </w:tcBorders>
                  <w:vAlign w:val="center"/>
                </w:tcPr>
                <w:p w14:paraId="66AF15A1">
                  <w:pPr>
                    <w:pStyle w:val="55"/>
                    <w:ind w:left="0"/>
                    <w:rPr>
                      <w:rFonts w:hint="default" w:ascii="Times New Roman" w:hAnsi="Times New Roman" w:eastAsia="宋体" w:cs="Times New Roman"/>
                      <w:color w:val="000000" w:themeColor="text1"/>
                    </w:rPr>
                  </w:pPr>
                </w:p>
              </w:tc>
              <w:tc>
                <w:tcPr>
                  <w:tcW w:w="1782" w:type="dxa"/>
                  <w:tcBorders>
                    <w:tl2br w:val="nil"/>
                    <w:tr2bl w:val="nil"/>
                  </w:tcBorders>
                  <w:vAlign w:val="center"/>
                </w:tcPr>
                <w:p w14:paraId="0C56E485">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排放量（t/a）</w:t>
                  </w:r>
                </w:p>
              </w:tc>
              <w:tc>
                <w:tcPr>
                  <w:tcW w:w="1076" w:type="dxa"/>
                  <w:tcBorders>
                    <w:tl2br w:val="nil"/>
                    <w:tr2bl w:val="nil"/>
                  </w:tcBorders>
                  <w:vAlign w:val="center"/>
                </w:tcPr>
                <w:p w14:paraId="2D32AB4F">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282" w:type="dxa"/>
                  <w:tcBorders>
                    <w:tl2br w:val="nil"/>
                    <w:tr2bl w:val="nil"/>
                  </w:tcBorders>
                  <w:vAlign w:val="center"/>
                </w:tcPr>
                <w:p w14:paraId="0112B28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0.016</w:t>
                  </w:r>
                </w:p>
              </w:tc>
              <w:tc>
                <w:tcPr>
                  <w:tcW w:w="1076" w:type="dxa"/>
                  <w:tcBorders>
                    <w:tl2br w:val="nil"/>
                    <w:tr2bl w:val="nil"/>
                  </w:tcBorders>
                  <w:vAlign w:val="center"/>
                </w:tcPr>
                <w:p w14:paraId="5FF1A1F6">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0.012</w:t>
                  </w:r>
                </w:p>
              </w:tc>
              <w:tc>
                <w:tcPr>
                  <w:tcW w:w="1099" w:type="dxa"/>
                  <w:tcBorders>
                    <w:tl2br w:val="nil"/>
                    <w:tr2bl w:val="nil"/>
                  </w:tcBorders>
                  <w:vAlign w:val="center"/>
                </w:tcPr>
                <w:p w14:paraId="0A6CD13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0.007</w:t>
                  </w:r>
                </w:p>
              </w:tc>
            </w:tr>
            <w:tr w14:paraId="6292090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23" w:hRule="atLeast"/>
                <w:jc w:val="center"/>
              </w:trPr>
              <w:tc>
                <w:tcPr>
                  <w:tcW w:w="3225" w:type="dxa"/>
                  <w:gridSpan w:val="2"/>
                  <w:tcBorders>
                    <w:tl2br w:val="nil"/>
                    <w:tr2bl w:val="nil"/>
                  </w:tcBorders>
                  <w:vAlign w:val="center"/>
                </w:tcPr>
                <w:p w14:paraId="47F55564">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污水处理厂进水水质标准要求（mg/L）</w:t>
                  </w:r>
                </w:p>
              </w:tc>
              <w:tc>
                <w:tcPr>
                  <w:tcW w:w="1076" w:type="dxa"/>
                  <w:tcBorders>
                    <w:tl2br w:val="nil"/>
                    <w:tr2bl w:val="nil"/>
                  </w:tcBorders>
                  <w:vAlign w:val="center"/>
                </w:tcPr>
                <w:p w14:paraId="66AD43B3">
                  <w:pPr>
                    <w:pStyle w:val="55"/>
                    <w:ind w:left="0"/>
                    <w:rPr>
                      <w:rFonts w:hint="default" w:ascii="Times New Roman" w:hAnsi="Times New Roman" w:eastAsia="宋体" w:cs="Times New Roman"/>
                      <w:color w:val="000000" w:themeColor="text1"/>
                    </w:rPr>
                  </w:pPr>
                  <w:r>
                    <w:rPr>
                      <w:rFonts w:hint="eastAsia" w:asci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eastAsia" w:ascii="Times New Roman" w:eastAsia="宋体" w:cs="Times New Roman"/>
                      <w:color w:val="000000" w:themeColor="text1"/>
                      <w:kern w:val="0"/>
                      <w:sz w:val="21"/>
                      <w:szCs w:val="21"/>
                      <w:lang w:val="en-US" w:eastAsia="zh-CN"/>
                    </w:rPr>
                    <w:t>9</w:t>
                  </w:r>
                </w:p>
              </w:tc>
              <w:tc>
                <w:tcPr>
                  <w:tcW w:w="1282" w:type="dxa"/>
                  <w:tcBorders>
                    <w:tl2br w:val="nil"/>
                    <w:tr2bl w:val="nil"/>
                  </w:tcBorders>
                  <w:vAlign w:val="center"/>
                </w:tcPr>
                <w:p w14:paraId="03E1C5A3">
                  <w:pPr>
                    <w:pStyle w:val="55"/>
                    <w:ind w:left="0" w:leftChars="0" w:firstLine="0" w:firstLineChars="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500</w:t>
                  </w:r>
                </w:p>
              </w:tc>
              <w:tc>
                <w:tcPr>
                  <w:tcW w:w="1076" w:type="dxa"/>
                  <w:tcBorders>
                    <w:tl2br w:val="nil"/>
                    <w:tr2bl w:val="nil"/>
                  </w:tcBorders>
                  <w:vAlign w:val="center"/>
                </w:tcPr>
                <w:p w14:paraId="629C2287">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300</w:t>
                  </w:r>
                </w:p>
              </w:tc>
              <w:tc>
                <w:tcPr>
                  <w:tcW w:w="1099" w:type="dxa"/>
                  <w:tcBorders>
                    <w:tl2br w:val="nil"/>
                    <w:tr2bl w:val="nil"/>
                  </w:tcBorders>
                  <w:vAlign w:val="center"/>
                </w:tcPr>
                <w:p w14:paraId="5B1A6BA0">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400</w:t>
                  </w:r>
                </w:p>
              </w:tc>
            </w:tr>
            <w:tr w14:paraId="029230E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23" w:hRule="atLeast"/>
                <w:jc w:val="center"/>
              </w:trPr>
              <w:tc>
                <w:tcPr>
                  <w:tcW w:w="3225" w:type="dxa"/>
                  <w:gridSpan w:val="2"/>
                  <w:tcBorders>
                    <w:tl2br w:val="nil"/>
                    <w:tr2bl w:val="nil"/>
                  </w:tcBorders>
                  <w:vAlign w:val="center"/>
                </w:tcPr>
                <w:p w14:paraId="11D8B1B6">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污水处理厂出水水质标准要求（mg/L）</w:t>
                  </w:r>
                </w:p>
              </w:tc>
              <w:tc>
                <w:tcPr>
                  <w:tcW w:w="1076" w:type="dxa"/>
                  <w:tcBorders>
                    <w:tl2br w:val="nil"/>
                    <w:tr2bl w:val="nil"/>
                  </w:tcBorders>
                  <w:vAlign w:val="center"/>
                </w:tcPr>
                <w:p w14:paraId="4B87072F">
                  <w:pPr>
                    <w:pStyle w:val="55"/>
                    <w:ind w:left="0"/>
                    <w:rPr>
                      <w:rFonts w:hint="default" w:ascii="Times New Roman" w:hAnsi="Times New Roman" w:eastAsia="宋体" w:cs="Times New Roman"/>
                      <w:color w:val="000000" w:themeColor="text1"/>
                    </w:rPr>
                  </w:pPr>
                  <w:r>
                    <w:rPr>
                      <w:rFonts w:hint="eastAsia" w:asci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eastAsia" w:ascii="Times New Roman" w:eastAsia="宋体" w:cs="Times New Roman"/>
                      <w:color w:val="000000" w:themeColor="text1"/>
                      <w:kern w:val="0"/>
                      <w:sz w:val="21"/>
                      <w:szCs w:val="21"/>
                      <w:lang w:val="en-US" w:eastAsia="zh-CN"/>
                    </w:rPr>
                    <w:t>9</w:t>
                  </w:r>
                </w:p>
              </w:tc>
              <w:tc>
                <w:tcPr>
                  <w:tcW w:w="1282" w:type="dxa"/>
                  <w:tcBorders>
                    <w:tl2br w:val="nil"/>
                    <w:tr2bl w:val="nil"/>
                  </w:tcBorders>
                  <w:vAlign w:val="center"/>
                </w:tcPr>
                <w:p w14:paraId="343BE77E">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60</w:t>
                  </w:r>
                </w:p>
              </w:tc>
              <w:tc>
                <w:tcPr>
                  <w:tcW w:w="1076" w:type="dxa"/>
                  <w:tcBorders>
                    <w:tl2br w:val="nil"/>
                    <w:tr2bl w:val="nil"/>
                  </w:tcBorders>
                  <w:vAlign w:val="center"/>
                </w:tcPr>
                <w:p w14:paraId="7A60C933">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20</w:t>
                  </w:r>
                </w:p>
              </w:tc>
              <w:tc>
                <w:tcPr>
                  <w:tcW w:w="1099" w:type="dxa"/>
                  <w:tcBorders>
                    <w:tl2br w:val="nil"/>
                    <w:tr2bl w:val="nil"/>
                  </w:tcBorders>
                  <w:vAlign w:val="center"/>
                </w:tcPr>
                <w:p w14:paraId="04EC66D4">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20</w:t>
                  </w:r>
                </w:p>
              </w:tc>
            </w:tr>
            <w:tr w14:paraId="1F59E4C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3225" w:type="dxa"/>
                  <w:gridSpan w:val="2"/>
                  <w:tcBorders>
                    <w:tl2br w:val="nil"/>
                    <w:tr2bl w:val="nil"/>
                  </w:tcBorders>
                  <w:vAlign w:val="center"/>
                </w:tcPr>
                <w:p w14:paraId="4E202637">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污染物产生量（t/a）</w:t>
                  </w:r>
                </w:p>
              </w:tc>
              <w:tc>
                <w:tcPr>
                  <w:tcW w:w="1076" w:type="dxa"/>
                  <w:tcBorders>
                    <w:tl2br w:val="nil"/>
                    <w:tr2bl w:val="nil"/>
                  </w:tcBorders>
                  <w:vAlign w:val="center"/>
                </w:tcPr>
                <w:p w14:paraId="5B28877E">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282" w:type="dxa"/>
                  <w:tcBorders>
                    <w:tl2br w:val="nil"/>
                    <w:tr2bl w:val="nil"/>
                  </w:tcBorders>
                  <w:vAlign w:val="center"/>
                </w:tcPr>
                <w:p w14:paraId="158195F5">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0.054</w:t>
                  </w:r>
                </w:p>
              </w:tc>
              <w:tc>
                <w:tcPr>
                  <w:tcW w:w="1076" w:type="dxa"/>
                  <w:tcBorders>
                    <w:tl2br w:val="nil"/>
                    <w:tr2bl w:val="nil"/>
                  </w:tcBorders>
                  <w:vAlign w:val="center"/>
                </w:tcPr>
                <w:p w14:paraId="7C57B476">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0.041</w:t>
                  </w:r>
                </w:p>
              </w:tc>
              <w:tc>
                <w:tcPr>
                  <w:tcW w:w="1099" w:type="dxa"/>
                  <w:tcBorders>
                    <w:tl2br w:val="nil"/>
                    <w:tr2bl w:val="nil"/>
                  </w:tcBorders>
                  <w:vAlign w:val="center"/>
                </w:tcPr>
                <w:p w14:paraId="450EF88E">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0.075</w:t>
                  </w:r>
                </w:p>
              </w:tc>
            </w:tr>
            <w:tr w14:paraId="59E2328D">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7" w:hRule="atLeast"/>
                <w:jc w:val="center"/>
              </w:trPr>
              <w:tc>
                <w:tcPr>
                  <w:tcW w:w="3225" w:type="dxa"/>
                  <w:gridSpan w:val="2"/>
                  <w:tcBorders>
                    <w:tl2br w:val="nil"/>
                    <w:tr2bl w:val="nil"/>
                  </w:tcBorders>
                  <w:vAlign w:val="center"/>
                </w:tcPr>
                <w:p w14:paraId="3AC6ADF5">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污染物削减量（t/a）</w:t>
                  </w:r>
                </w:p>
              </w:tc>
              <w:tc>
                <w:tcPr>
                  <w:tcW w:w="1076" w:type="dxa"/>
                  <w:tcBorders>
                    <w:tl2br w:val="nil"/>
                    <w:tr2bl w:val="nil"/>
                  </w:tcBorders>
                  <w:vAlign w:val="center"/>
                </w:tcPr>
                <w:p w14:paraId="06EAF225">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282" w:type="dxa"/>
                  <w:tcBorders>
                    <w:tl2br w:val="nil"/>
                    <w:tr2bl w:val="nil"/>
                  </w:tcBorders>
                  <w:vAlign w:val="center"/>
                </w:tcPr>
                <w:p w14:paraId="468CFF4F">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0.046</w:t>
                  </w:r>
                </w:p>
              </w:tc>
              <w:tc>
                <w:tcPr>
                  <w:tcW w:w="1076" w:type="dxa"/>
                  <w:tcBorders>
                    <w:tl2br w:val="nil"/>
                    <w:tr2bl w:val="nil"/>
                  </w:tcBorders>
                  <w:vAlign w:val="center"/>
                </w:tcPr>
                <w:p w14:paraId="62A77E41">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0.038</w:t>
                  </w:r>
                </w:p>
              </w:tc>
              <w:tc>
                <w:tcPr>
                  <w:tcW w:w="1099" w:type="dxa"/>
                  <w:tcBorders>
                    <w:tl2br w:val="nil"/>
                    <w:tr2bl w:val="nil"/>
                  </w:tcBorders>
                  <w:vAlign w:val="center"/>
                </w:tcPr>
                <w:p w14:paraId="32C7109F">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0.072</w:t>
                  </w:r>
                </w:p>
              </w:tc>
            </w:tr>
            <w:tr w14:paraId="1A06746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15" w:hRule="atLeast"/>
                <w:jc w:val="center"/>
              </w:trPr>
              <w:tc>
                <w:tcPr>
                  <w:tcW w:w="3225" w:type="dxa"/>
                  <w:gridSpan w:val="2"/>
                  <w:tcBorders>
                    <w:tl2br w:val="nil"/>
                    <w:tr2bl w:val="nil"/>
                  </w:tcBorders>
                  <w:vAlign w:val="center"/>
                </w:tcPr>
                <w:p w14:paraId="4EAE93EC">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最终排放量（t/a）</w:t>
                  </w:r>
                </w:p>
              </w:tc>
              <w:tc>
                <w:tcPr>
                  <w:tcW w:w="1076" w:type="dxa"/>
                  <w:tcBorders>
                    <w:tl2br w:val="nil"/>
                    <w:tr2bl w:val="nil"/>
                  </w:tcBorders>
                  <w:vAlign w:val="center"/>
                </w:tcPr>
                <w:p w14:paraId="5882C57A">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282" w:type="dxa"/>
                  <w:tcBorders>
                    <w:tl2br w:val="nil"/>
                    <w:tr2bl w:val="nil"/>
                  </w:tcBorders>
                  <w:vAlign w:val="center"/>
                </w:tcPr>
                <w:p w14:paraId="30585ADA">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0.008</w:t>
                  </w:r>
                </w:p>
              </w:tc>
              <w:tc>
                <w:tcPr>
                  <w:tcW w:w="1076" w:type="dxa"/>
                  <w:tcBorders>
                    <w:tl2br w:val="nil"/>
                    <w:tr2bl w:val="nil"/>
                  </w:tcBorders>
                  <w:vAlign w:val="center"/>
                </w:tcPr>
                <w:p w14:paraId="6A3E3C3A">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0.003</w:t>
                  </w:r>
                </w:p>
              </w:tc>
              <w:tc>
                <w:tcPr>
                  <w:tcW w:w="1099" w:type="dxa"/>
                  <w:tcBorders>
                    <w:tl2br w:val="nil"/>
                    <w:tr2bl w:val="nil"/>
                  </w:tcBorders>
                  <w:vAlign w:val="center"/>
                </w:tcPr>
                <w:p w14:paraId="66B3913D">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0.003</w:t>
                  </w:r>
                </w:p>
              </w:tc>
            </w:tr>
          </w:tbl>
          <w:p w14:paraId="646266DB">
            <w:pPr>
              <w:adjustRightInd w:val="0"/>
              <w:snapToGrid w:val="0"/>
              <w:ind w:firstLine="472" w:firstLineChars="196"/>
              <w:jc w:val="left"/>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1.3废水排放口基本情况</w:t>
            </w:r>
          </w:p>
          <w:p w14:paraId="4240E244">
            <w:pPr>
              <w:snapToGrid w:val="0"/>
              <w:ind w:firstLine="480"/>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项目废水排放口基本情况如下所示：</w:t>
            </w:r>
          </w:p>
          <w:p w14:paraId="012534B3">
            <w:pPr>
              <w:widowControl w:val="0"/>
              <w:tabs>
                <w:tab w:val="left" w:pos="0"/>
              </w:tabs>
              <w:spacing w:line="240" w:lineRule="auto"/>
              <w:ind w:left="0" w:leftChars="0" w:firstLine="0" w:firstLineChars="0"/>
              <w:jc w:val="center"/>
              <w:rPr>
                <w:rFonts w:ascii="Times New Roman" w:hAnsi="Times New Roman" w:eastAsia="宋体" w:cs="Times New Roman"/>
                <w:b/>
                <w:strike w:val="0"/>
                <w:dstrike w:val="0"/>
                <w:color w:val="000000" w:themeColor="text1"/>
                <w:kern w:val="2"/>
                <w:sz w:val="21"/>
                <w:szCs w:val="28"/>
                <w:highlight w:val="none"/>
                <w:lang w:val="en-US" w:eastAsia="zh-CN" w:bidi="ar-SA"/>
              </w:rPr>
            </w:pPr>
            <w:r>
              <w:rPr>
                <w:rFonts w:ascii="Times New Roman" w:hAnsi="Times New Roman" w:eastAsia="宋体" w:cs="Times New Roman"/>
                <w:b/>
                <w:strike w:val="0"/>
                <w:dstrike w:val="0"/>
                <w:color w:val="000000" w:themeColor="text1"/>
                <w:kern w:val="2"/>
                <w:sz w:val="21"/>
                <w:szCs w:val="28"/>
                <w:highlight w:val="none"/>
                <w:lang w:val="en-US" w:eastAsia="zh-CN" w:bidi="ar-SA"/>
              </w:rPr>
              <w:t>表4-</w:t>
            </w:r>
            <w:r>
              <w:rPr>
                <w:rFonts w:hint="eastAsia" w:cs="Times New Roman"/>
                <w:b/>
                <w:strike w:val="0"/>
                <w:dstrike w:val="0"/>
                <w:color w:val="000000" w:themeColor="text1"/>
                <w:kern w:val="2"/>
                <w:sz w:val="21"/>
                <w:szCs w:val="28"/>
                <w:highlight w:val="none"/>
                <w:lang w:val="en-US" w:eastAsia="zh-CN" w:bidi="ar-SA"/>
              </w:rPr>
              <w:t xml:space="preserve">3   </w:t>
            </w:r>
            <w:r>
              <w:rPr>
                <w:rFonts w:ascii="Times New Roman" w:hAnsi="Times New Roman" w:eastAsia="宋体" w:cs="Times New Roman"/>
                <w:b/>
                <w:strike w:val="0"/>
                <w:dstrike w:val="0"/>
                <w:color w:val="000000" w:themeColor="text1"/>
                <w:kern w:val="2"/>
                <w:sz w:val="21"/>
                <w:szCs w:val="28"/>
                <w:highlight w:val="none"/>
                <w:lang w:val="en-US" w:eastAsia="zh-CN" w:bidi="ar-SA"/>
              </w:rPr>
              <w:t>污染物排放信息表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3"/>
              <w:gridCol w:w="489"/>
              <w:gridCol w:w="935"/>
              <w:gridCol w:w="1039"/>
              <w:gridCol w:w="665"/>
              <w:gridCol w:w="1182"/>
              <w:gridCol w:w="794"/>
              <w:gridCol w:w="709"/>
              <w:gridCol w:w="799"/>
              <w:gridCol w:w="1293"/>
            </w:tblGrid>
            <w:tr w14:paraId="5D344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7" w:type="pct"/>
                  <w:vMerge w:val="restart"/>
                  <w:noWrap w:val="0"/>
                  <w:vAlign w:val="center"/>
                </w:tcPr>
                <w:p w14:paraId="5AADC5B8">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序号</w:t>
                  </w:r>
                </w:p>
              </w:tc>
              <w:tc>
                <w:tcPr>
                  <w:tcW w:w="301" w:type="pct"/>
                  <w:vMerge w:val="restart"/>
                  <w:noWrap w:val="0"/>
                  <w:vAlign w:val="center"/>
                </w:tcPr>
                <w:p w14:paraId="19D6C222">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废水</w:t>
                  </w:r>
                </w:p>
                <w:p w14:paraId="5677D73D">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类别</w:t>
                  </w:r>
                </w:p>
              </w:tc>
              <w:tc>
                <w:tcPr>
                  <w:tcW w:w="575" w:type="pct"/>
                  <w:vMerge w:val="restart"/>
                  <w:noWrap w:val="0"/>
                  <w:vAlign w:val="center"/>
                </w:tcPr>
                <w:p w14:paraId="2DA53F5C">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污染物</w:t>
                  </w:r>
                </w:p>
                <w:p w14:paraId="5D00C880">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种类</w:t>
                  </w:r>
                </w:p>
              </w:tc>
              <w:tc>
                <w:tcPr>
                  <w:tcW w:w="639" w:type="pct"/>
                  <w:vMerge w:val="restart"/>
                  <w:noWrap w:val="0"/>
                  <w:vAlign w:val="center"/>
                </w:tcPr>
                <w:p w14:paraId="6F44514A">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排放</w:t>
                  </w:r>
                </w:p>
                <w:p w14:paraId="486FA9DD">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去向</w:t>
                  </w:r>
                </w:p>
              </w:tc>
              <w:tc>
                <w:tcPr>
                  <w:tcW w:w="409" w:type="pct"/>
                  <w:vMerge w:val="restart"/>
                  <w:noWrap w:val="0"/>
                  <w:vAlign w:val="center"/>
                </w:tcPr>
                <w:p w14:paraId="2C3880BC">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排放</w:t>
                  </w:r>
                </w:p>
                <w:p w14:paraId="5FF8B8B7">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规律</w:t>
                  </w:r>
                </w:p>
              </w:tc>
              <w:tc>
                <w:tcPr>
                  <w:tcW w:w="1215" w:type="pct"/>
                  <w:gridSpan w:val="2"/>
                  <w:noWrap w:val="0"/>
                  <w:vAlign w:val="center"/>
                </w:tcPr>
                <w:p w14:paraId="27EC5BB8">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污染治理设施</w:t>
                  </w:r>
                </w:p>
              </w:tc>
              <w:tc>
                <w:tcPr>
                  <w:tcW w:w="436" w:type="pct"/>
                  <w:vMerge w:val="restart"/>
                  <w:noWrap w:val="0"/>
                  <w:vAlign w:val="center"/>
                </w:tcPr>
                <w:p w14:paraId="7D4137AE">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排放口编号</w:t>
                  </w:r>
                </w:p>
              </w:tc>
              <w:tc>
                <w:tcPr>
                  <w:tcW w:w="491" w:type="pct"/>
                  <w:vMerge w:val="restart"/>
                  <w:noWrap w:val="0"/>
                  <w:vAlign w:val="center"/>
                </w:tcPr>
                <w:p w14:paraId="33D3CADA">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zh-CN" w:bidi="ar-SA"/>
                    </w:rPr>
                    <w:t>排放口设置是否符合要求</w:t>
                  </w:r>
                </w:p>
              </w:tc>
              <w:tc>
                <w:tcPr>
                  <w:tcW w:w="794" w:type="pct"/>
                  <w:vMerge w:val="restart"/>
                  <w:noWrap w:val="0"/>
                  <w:vAlign w:val="center"/>
                </w:tcPr>
                <w:p w14:paraId="4736AAFA">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en-US" w:bidi="ar-SA"/>
                    </w:rPr>
                    <w:t>排放口</w:t>
                  </w:r>
                </w:p>
                <w:p w14:paraId="04D6000C">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en-US" w:bidi="ar-SA"/>
                    </w:rPr>
                  </w:pPr>
                  <w:r>
                    <w:rPr>
                      <w:rFonts w:ascii="Times New Roman" w:hAnsi="Times New Roman" w:eastAsia="宋体" w:cs="Times New Roman"/>
                      <w:b/>
                      <w:bCs/>
                      <w:strike w:val="0"/>
                      <w:dstrike w:val="0"/>
                      <w:color w:val="000000" w:themeColor="text1"/>
                      <w:kern w:val="0"/>
                      <w:sz w:val="21"/>
                      <w:szCs w:val="20"/>
                      <w:highlight w:val="none"/>
                      <w:lang w:val="en-US" w:eastAsia="en-US" w:bidi="ar-SA"/>
                    </w:rPr>
                    <w:t>类型</w:t>
                  </w:r>
                </w:p>
              </w:tc>
            </w:tr>
            <w:tr w14:paraId="29EA6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37" w:type="pct"/>
                  <w:vMerge w:val="continue"/>
                  <w:noWrap w:val="0"/>
                  <w:vAlign w:val="center"/>
                </w:tcPr>
                <w:p w14:paraId="0A420C7E">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301" w:type="pct"/>
                  <w:vMerge w:val="continue"/>
                  <w:noWrap w:val="0"/>
                  <w:vAlign w:val="center"/>
                </w:tcPr>
                <w:p w14:paraId="2C6DB7F5">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575" w:type="pct"/>
                  <w:vMerge w:val="continue"/>
                  <w:noWrap w:val="0"/>
                  <w:vAlign w:val="center"/>
                </w:tcPr>
                <w:p w14:paraId="34FC89B1">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639" w:type="pct"/>
                  <w:vMerge w:val="continue"/>
                  <w:noWrap w:val="0"/>
                  <w:vAlign w:val="center"/>
                </w:tcPr>
                <w:p w14:paraId="3F32946D">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409" w:type="pct"/>
                  <w:vMerge w:val="continue"/>
                  <w:noWrap w:val="0"/>
                  <w:vAlign w:val="center"/>
                </w:tcPr>
                <w:p w14:paraId="74AE610C">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618" w:type="pct"/>
                  <w:noWrap w:val="0"/>
                  <w:vAlign w:val="center"/>
                </w:tcPr>
                <w:p w14:paraId="39C8958C">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en-US" w:bidi="ar-SA"/>
                    </w:rPr>
                  </w:pPr>
                  <w:r>
                    <w:rPr>
                      <w:rFonts w:ascii="Times New Roman" w:hAnsi="Times New Roman" w:eastAsia="宋体" w:cs="Times New Roman"/>
                      <w:b/>
                      <w:bCs/>
                      <w:strike w:val="0"/>
                      <w:dstrike w:val="0"/>
                      <w:color w:val="000000" w:themeColor="text1"/>
                      <w:kern w:val="0"/>
                      <w:sz w:val="21"/>
                      <w:szCs w:val="20"/>
                      <w:highlight w:val="none"/>
                      <w:lang w:val="en-US" w:eastAsia="en-US" w:bidi="ar-SA"/>
                    </w:rPr>
                    <w:t>污染治理设施名称</w:t>
                  </w:r>
                </w:p>
              </w:tc>
              <w:tc>
                <w:tcPr>
                  <w:tcW w:w="596" w:type="pct"/>
                  <w:noWrap w:val="0"/>
                  <w:vAlign w:val="center"/>
                </w:tcPr>
                <w:p w14:paraId="731C32BB">
                  <w:pPr>
                    <w:widowControl w:val="0"/>
                    <w:adjustRightInd w:val="0"/>
                    <w:snapToGrid w:val="0"/>
                    <w:spacing w:beforeLines="0" w:afterLines="0" w:line="240" w:lineRule="auto"/>
                    <w:ind w:left="0" w:firstLine="0" w:firstLineChars="0"/>
                    <w:jc w:val="center"/>
                    <w:rPr>
                      <w:rFonts w:ascii="Times New Roman" w:hAnsi="Times New Roman" w:eastAsia="宋体" w:cs="Times New Roman"/>
                      <w:b/>
                      <w:bCs/>
                      <w:strike w:val="0"/>
                      <w:dstrike w:val="0"/>
                      <w:color w:val="000000" w:themeColor="text1"/>
                      <w:kern w:val="0"/>
                      <w:sz w:val="21"/>
                      <w:szCs w:val="20"/>
                      <w:highlight w:val="none"/>
                      <w:lang w:val="en-US" w:eastAsia="zh-CN" w:bidi="ar-SA"/>
                    </w:rPr>
                  </w:pPr>
                  <w:r>
                    <w:rPr>
                      <w:rFonts w:ascii="Times New Roman" w:hAnsi="Times New Roman" w:eastAsia="宋体" w:cs="Times New Roman"/>
                      <w:b/>
                      <w:bCs/>
                      <w:strike w:val="0"/>
                      <w:dstrike w:val="0"/>
                      <w:color w:val="000000" w:themeColor="text1"/>
                      <w:kern w:val="0"/>
                      <w:sz w:val="21"/>
                      <w:szCs w:val="20"/>
                      <w:highlight w:val="none"/>
                      <w:lang w:val="en-US" w:eastAsia="en-US" w:bidi="ar-SA"/>
                    </w:rPr>
                    <w:t>污染治理设施工艺</w:t>
                  </w:r>
                </w:p>
              </w:tc>
              <w:tc>
                <w:tcPr>
                  <w:tcW w:w="436" w:type="pct"/>
                  <w:vMerge w:val="continue"/>
                  <w:noWrap w:val="0"/>
                  <w:vAlign w:val="center"/>
                </w:tcPr>
                <w:p w14:paraId="2C50E478">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491" w:type="pct"/>
                  <w:vMerge w:val="continue"/>
                  <w:noWrap w:val="0"/>
                  <w:vAlign w:val="center"/>
                </w:tcPr>
                <w:p w14:paraId="61F95A23">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c>
                <w:tcPr>
                  <w:tcW w:w="794" w:type="pct"/>
                  <w:vMerge w:val="continue"/>
                  <w:noWrap w:val="0"/>
                  <w:vAlign w:val="center"/>
                </w:tcPr>
                <w:p w14:paraId="625B70CE">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p>
              </w:tc>
            </w:tr>
            <w:tr w14:paraId="2C1D22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137" w:type="pct"/>
                  <w:noWrap w:val="0"/>
                  <w:vAlign w:val="center"/>
                </w:tcPr>
                <w:p w14:paraId="03FFB1B9">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r>
                    <w:rPr>
                      <w:rFonts w:ascii="Times New Roman" w:hAnsi="Times New Roman" w:eastAsia="宋体" w:cs="Times New Roman"/>
                      <w:strike w:val="0"/>
                      <w:dstrike w:val="0"/>
                      <w:color w:val="000000" w:themeColor="text1"/>
                      <w:kern w:val="0"/>
                      <w:sz w:val="21"/>
                      <w:szCs w:val="20"/>
                      <w:highlight w:val="none"/>
                      <w:lang w:val="en-US" w:eastAsia="en-US" w:bidi="ar-SA"/>
                    </w:rPr>
                    <w:t>1</w:t>
                  </w:r>
                </w:p>
              </w:tc>
              <w:tc>
                <w:tcPr>
                  <w:tcW w:w="301" w:type="pct"/>
                  <w:noWrap w:val="0"/>
                  <w:vAlign w:val="center"/>
                </w:tcPr>
                <w:p w14:paraId="47D23D06">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en-US" w:bidi="ar-SA"/>
                    </w:rPr>
                  </w:pPr>
                  <w:r>
                    <w:rPr>
                      <w:rFonts w:hint="eastAsia" w:ascii="Times New Roman" w:hAnsi="Times New Roman" w:eastAsia="宋体" w:cs="Times New Roman"/>
                      <w:strike w:val="0"/>
                      <w:dstrike w:val="0"/>
                      <w:color w:val="000000" w:themeColor="text1"/>
                      <w:kern w:val="0"/>
                      <w:sz w:val="21"/>
                      <w:szCs w:val="20"/>
                      <w:highlight w:val="none"/>
                      <w:lang w:val="en-US" w:eastAsia="zh-CN" w:bidi="ar-SA"/>
                    </w:rPr>
                    <w:t>地面清洗水</w:t>
                  </w:r>
                </w:p>
              </w:tc>
              <w:tc>
                <w:tcPr>
                  <w:tcW w:w="575" w:type="pct"/>
                  <w:noWrap w:val="0"/>
                  <w:vAlign w:val="center"/>
                </w:tcPr>
                <w:p w14:paraId="4F3807E7">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PH、CODcr、BOD</w:t>
                  </w:r>
                  <w:r>
                    <w:rPr>
                      <w:rFonts w:ascii="Times New Roman" w:hAnsi="Times New Roman" w:eastAsia="宋体" w:cs="Times New Roman"/>
                      <w:strike w:val="0"/>
                      <w:dstrike w:val="0"/>
                      <w:color w:val="000000" w:themeColor="text1"/>
                      <w:kern w:val="0"/>
                      <w:sz w:val="21"/>
                      <w:szCs w:val="20"/>
                      <w:highlight w:val="none"/>
                      <w:vertAlign w:val="subscript"/>
                      <w:lang w:val="en-US" w:eastAsia="zh-CN" w:bidi="ar-SA"/>
                    </w:rPr>
                    <w:t>5</w:t>
                  </w:r>
                  <w:r>
                    <w:rPr>
                      <w:rFonts w:ascii="Times New Roman" w:hAnsi="Times New Roman" w:eastAsia="宋体" w:cs="Times New Roman"/>
                      <w:strike w:val="0"/>
                      <w:dstrike w:val="0"/>
                      <w:color w:val="000000" w:themeColor="text1"/>
                      <w:kern w:val="0"/>
                      <w:sz w:val="21"/>
                      <w:szCs w:val="20"/>
                      <w:highlight w:val="none"/>
                      <w:lang w:val="en-US" w:eastAsia="zh-CN" w:bidi="ar-SA"/>
                    </w:rPr>
                    <w:t>、SS</w:t>
                  </w:r>
                </w:p>
              </w:tc>
              <w:tc>
                <w:tcPr>
                  <w:tcW w:w="639" w:type="pct"/>
                  <w:noWrap w:val="0"/>
                  <w:vAlign w:val="center"/>
                </w:tcPr>
                <w:p w14:paraId="38C567E7">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hint="eastAsia" w:ascii="Times New Roman" w:hAnsi="Times New Roman" w:eastAsia="宋体" w:cs="Times New Roman"/>
                      <w:strike w:val="0"/>
                      <w:dstrike w:val="0"/>
                      <w:color w:val="000000" w:themeColor="text1"/>
                      <w:kern w:val="0"/>
                      <w:sz w:val="21"/>
                      <w:szCs w:val="20"/>
                      <w:highlight w:val="none"/>
                      <w:lang w:val="en-US" w:eastAsia="zh-CN" w:bidi="ar-SA"/>
                    </w:rPr>
                    <w:t>赤湖工业园污水处理厂</w:t>
                  </w:r>
                </w:p>
              </w:tc>
              <w:tc>
                <w:tcPr>
                  <w:tcW w:w="409" w:type="pct"/>
                  <w:noWrap w:val="0"/>
                  <w:vAlign w:val="center"/>
                </w:tcPr>
                <w:p w14:paraId="3897803B">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间断排放，排放期间流量不稳定，但有周期性规律</w:t>
                  </w:r>
                </w:p>
              </w:tc>
              <w:tc>
                <w:tcPr>
                  <w:tcW w:w="618" w:type="pct"/>
                  <w:noWrap w:val="0"/>
                  <w:vAlign w:val="center"/>
                </w:tcPr>
                <w:p w14:paraId="481243ED">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化粪池</w:t>
                  </w:r>
                </w:p>
              </w:tc>
              <w:tc>
                <w:tcPr>
                  <w:tcW w:w="596" w:type="pct"/>
                  <w:noWrap w:val="0"/>
                  <w:vAlign w:val="center"/>
                </w:tcPr>
                <w:p w14:paraId="53D3B558">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化粪池</w:t>
                  </w:r>
                </w:p>
              </w:tc>
              <w:tc>
                <w:tcPr>
                  <w:tcW w:w="436" w:type="pct"/>
                  <w:noWrap w:val="0"/>
                  <w:vAlign w:val="center"/>
                </w:tcPr>
                <w:p w14:paraId="385D7A99">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DW001</w:t>
                  </w:r>
                </w:p>
              </w:tc>
              <w:tc>
                <w:tcPr>
                  <w:tcW w:w="491" w:type="pct"/>
                  <w:noWrap w:val="0"/>
                  <w:vAlign w:val="center"/>
                </w:tcPr>
                <w:p w14:paraId="474AC1C4">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sym w:font="Wingdings 2" w:char="F052"/>
                  </w:r>
                  <w:r>
                    <w:rPr>
                      <w:rFonts w:ascii="Times New Roman" w:hAnsi="Times New Roman" w:eastAsia="宋体" w:cs="Times New Roman"/>
                      <w:strike w:val="0"/>
                      <w:dstrike w:val="0"/>
                      <w:color w:val="000000" w:themeColor="text1"/>
                      <w:kern w:val="0"/>
                      <w:sz w:val="21"/>
                      <w:szCs w:val="20"/>
                      <w:highlight w:val="none"/>
                      <w:lang w:val="en-US" w:eastAsia="zh-CN" w:bidi="ar-SA"/>
                    </w:rPr>
                    <w:t>是</w:t>
                  </w:r>
                </w:p>
                <w:p w14:paraId="007DD2BB">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sym w:font="Wingdings 2" w:char="F0A3"/>
                  </w:r>
                  <w:r>
                    <w:rPr>
                      <w:rFonts w:ascii="Times New Roman" w:hAnsi="Times New Roman" w:eastAsia="宋体" w:cs="Times New Roman"/>
                      <w:strike w:val="0"/>
                      <w:dstrike w:val="0"/>
                      <w:color w:val="000000" w:themeColor="text1"/>
                      <w:kern w:val="0"/>
                      <w:sz w:val="21"/>
                      <w:szCs w:val="20"/>
                      <w:highlight w:val="none"/>
                      <w:lang w:val="en-US" w:eastAsia="zh-CN" w:bidi="ar-SA"/>
                    </w:rPr>
                    <w:t>否</w:t>
                  </w:r>
                </w:p>
              </w:tc>
              <w:tc>
                <w:tcPr>
                  <w:tcW w:w="794" w:type="pct"/>
                  <w:noWrap w:val="0"/>
                  <w:vAlign w:val="center"/>
                </w:tcPr>
                <w:p w14:paraId="79735BA9">
                  <w:pPr>
                    <w:widowControl w:val="0"/>
                    <w:adjustRightInd w:val="0"/>
                    <w:snapToGrid w:val="0"/>
                    <w:spacing w:beforeLines="0" w:afterLines="0" w:line="240" w:lineRule="auto"/>
                    <w:ind w:left="0" w:firstLine="0" w:firstLineChars="0"/>
                    <w:jc w:val="center"/>
                    <w:rPr>
                      <w:rFonts w:ascii="Times New Roman" w:hAnsi="Times New Roman" w:eastAsia="宋体" w:cs="Times New Roman"/>
                      <w:strike w:val="0"/>
                      <w:dstrike w:val="0"/>
                      <w:color w:val="000000" w:themeColor="text1"/>
                      <w:kern w:val="0"/>
                      <w:sz w:val="21"/>
                      <w:szCs w:val="20"/>
                      <w:highlight w:val="none"/>
                      <w:lang w:val="en-US" w:eastAsia="zh-CN" w:bidi="ar-SA"/>
                    </w:rPr>
                  </w:pPr>
                  <w:r>
                    <w:rPr>
                      <w:rFonts w:ascii="Times New Roman" w:hAnsi="Times New Roman" w:eastAsia="宋体" w:cs="Times New Roman"/>
                      <w:strike w:val="0"/>
                      <w:dstrike w:val="0"/>
                      <w:color w:val="000000" w:themeColor="text1"/>
                      <w:kern w:val="0"/>
                      <w:sz w:val="21"/>
                      <w:szCs w:val="20"/>
                      <w:highlight w:val="none"/>
                      <w:lang w:val="en-US" w:eastAsia="zh-CN" w:bidi="ar-SA"/>
                    </w:rPr>
                    <w:t>一般排放口</w:t>
                  </w:r>
                </w:p>
              </w:tc>
            </w:tr>
          </w:tbl>
          <w:p w14:paraId="33C85A60">
            <w:pPr>
              <w:pStyle w:val="125"/>
              <w:keepNext w:val="0"/>
              <w:keepLines w:val="0"/>
              <w:pageBreakBefore w:val="0"/>
              <w:widowControl w:val="0"/>
              <w:tabs>
                <w:tab w:val="left" w:pos="0"/>
              </w:tabs>
              <w:kinsoku/>
              <w:wordWrap/>
              <w:overflowPunct/>
              <w:topLinePunct w:val="0"/>
              <w:autoSpaceDE/>
              <w:autoSpaceDN/>
              <w:bidi w:val="0"/>
              <w:adjustRightInd/>
              <w:snapToGrid/>
              <w:spacing w:before="157" w:beforeLines="50" w:line="240" w:lineRule="auto"/>
              <w:textAlignment w:val="auto"/>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color w:val="000000" w:themeColor="text1"/>
                <w:kern w:val="0"/>
                <w:sz w:val="21"/>
                <w:szCs w:val="21"/>
              </w:rPr>
              <w:t>表4-</w:t>
            </w:r>
            <w:r>
              <w:rPr>
                <w:rFonts w:hint="eastAsia" w:cs="Times New Roman"/>
                <w:color w:val="000000" w:themeColor="text1"/>
                <w:kern w:val="0"/>
                <w:sz w:val="21"/>
                <w:szCs w:val="21"/>
                <w:lang w:val="en-US" w:eastAsia="zh-CN"/>
              </w:rPr>
              <w:t xml:space="preserve">4  </w:t>
            </w:r>
            <w:r>
              <w:rPr>
                <w:rFonts w:hint="default" w:ascii="Times New Roman" w:hAnsi="Times New Roman" w:eastAsia="宋体" w:cs="Times New Roman"/>
                <w:bCs/>
                <w:color w:val="000000" w:themeColor="text1"/>
                <w:sz w:val="21"/>
                <w:szCs w:val="21"/>
              </w:rPr>
              <w:t>废水排放口基本情况表</w:t>
            </w:r>
          </w:p>
          <w:tbl>
            <w:tblPr>
              <w:tblStyle w:val="33"/>
              <w:tblW w:w="511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1"/>
              <w:gridCol w:w="942"/>
              <w:gridCol w:w="885"/>
              <w:gridCol w:w="1000"/>
              <w:gridCol w:w="373"/>
              <w:gridCol w:w="612"/>
              <w:gridCol w:w="671"/>
              <w:gridCol w:w="804"/>
              <w:gridCol w:w="825"/>
              <w:gridCol w:w="1314"/>
            </w:tblGrid>
            <w:tr w14:paraId="6B2BF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535" w:type="pct"/>
                  <w:vMerge w:val="restart"/>
                  <w:tcBorders>
                    <w:tl2br w:val="nil"/>
                    <w:tr2bl w:val="nil"/>
                  </w:tcBorders>
                  <w:noWrap w:val="0"/>
                  <w:vAlign w:val="center"/>
                </w:tcPr>
                <w:p w14:paraId="4129A461">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排放口编号</w:t>
                  </w:r>
                </w:p>
              </w:tc>
              <w:tc>
                <w:tcPr>
                  <w:tcW w:w="1098" w:type="pct"/>
                  <w:gridSpan w:val="2"/>
                  <w:tcBorders>
                    <w:tl2br w:val="nil"/>
                    <w:tr2bl w:val="nil"/>
                  </w:tcBorders>
                  <w:noWrap w:val="0"/>
                  <w:vAlign w:val="center"/>
                </w:tcPr>
                <w:p w14:paraId="4A790BEA">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排放口地理坐标</w:t>
                  </w:r>
                </w:p>
              </w:tc>
              <w:tc>
                <w:tcPr>
                  <w:tcW w:w="601" w:type="pct"/>
                  <w:vMerge w:val="restart"/>
                  <w:tcBorders>
                    <w:tl2br w:val="nil"/>
                    <w:tr2bl w:val="nil"/>
                  </w:tcBorders>
                  <w:noWrap w:val="0"/>
                  <w:vAlign w:val="center"/>
                </w:tcPr>
                <w:p w14:paraId="0B61046D">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废水排放量/（万t/a）</w:t>
                  </w:r>
                </w:p>
              </w:tc>
              <w:tc>
                <w:tcPr>
                  <w:tcW w:w="224" w:type="pct"/>
                  <w:vMerge w:val="restart"/>
                  <w:tcBorders>
                    <w:tl2br w:val="nil"/>
                    <w:tr2bl w:val="nil"/>
                  </w:tcBorders>
                  <w:noWrap w:val="0"/>
                  <w:vAlign w:val="center"/>
                </w:tcPr>
                <w:p w14:paraId="24764ECD">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排放去向</w:t>
                  </w:r>
                </w:p>
              </w:tc>
              <w:tc>
                <w:tcPr>
                  <w:tcW w:w="367" w:type="pct"/>
                  <w:vMerge w:val="restart"/>
                  <w:tcBorders>
                    <w:tl2br w:val="nil"/>
                    <w:tr2bl w:val="nil"/>
                  </w:tcBorders>
                  <w:noWrap w:val="0"/>
                  <w:vAlign w:val="center"/>
                </w:tcPr>
                <w:p w14:paraId="563D759F">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排放规律</w:t>
                  </w:r>
                </w:p>
              </w:tc>
              <w:tc>
                <w:tcPr>
                  <w:tcW w:w="403" w:type="pct"/>
                  <w:vMerge w:val="restart"/>
                  <w:tcBorders>
                    <w:tl2br w:val="nil"/>
                    <w:tr2bl w:val="nil"/>
                  </w:tcBorders>
                  <w:noWrap w:val="0"/>
                  <w:vAlign w:val="center"/>
                </w:tcPr>
                <w:p w14:paraId="537D0058">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间歇排放时段</w:t>
                  </w:r>
                </w:p>
              </w:tc>
              <w:tc>
                <w:tcPr>
                  <w:tcW w:w="1769" w:type="pct"/>
                  <w:gridSpan w:val="3"/>
                  <w:tcBorders>
                    <w:tl2br w:val="nil"/>
                    <w:tr2bl w:val="nil"/>
                  </w:tcBorders>
                  <w:noWrap w:val="0"/>
                  <w:vAlign w:val="center"/>
                </w:tcPr>
                <w:p w14:paraId="6B8FC6EB">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受纳污水处理厂信息名称</w:t>
                  </w:r>
                </w:p>
              </w:tc>
            </w:tr>
            <w:tr w14:paraId="0816FC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21" w:hRule="atLeast"/>
                <w:jc w:val="center"/>
              </w:trPr>
              <w:tc>
                <w:tcPr>
                  <w:tcW w:w="535" w:type="pct"/>
                  <w:vMerge w:val="continue"/>
                  <w:tcBorders>
                    <w:tl2br w:val="nil"/>
                    <w:tr2bl w:val="nil"/>
                  </w:tcBorders>
                  <w:noWrap w:val="0"/>
                  <w:vAlign w:val="center"/>
                </w:tcPr>
                <w:p w14:paraId="6A09F7E8">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p>
              </w:tc>
              <w:tc>
                <w:tcPr>
                  <w:tcW w:w="566" w:type="pct"/>
                  <w:tcBorders>
                    <w:tl2br w:val="nil"/>
                    <w:tr2bl w:val="nil"/>
                  </w:tcBorders>
                  <w:noWrap w:val="0"/>
                  <w:vAlign w:val="center"/>
                </w:tcPr>
                <w:p w14:paraId="2EA9A0D6">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经度</w:t>
                  </w:r>
                </w:p>
              </w:tc>
              <w:tc>
                <w:tcPr>
                  <w:tcW w:w="532" w:type="pct"/>
                  <w:tcBorders>
                    <w:tl2br w:val="nil"/>
                    <w:tr2bl w:val="nil"/>
                  </w:tcBorders>
                  <w:noWrap w:val="0"/>
                  <w:vAlign w:val="center"/>
                </w:tcPr>
                <w:p w14:paraId="344C7B07">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纬度</w:t>
                  </w:r>
                </w:p>
              </w:tc>
              <w:tc>
                <w:tcPr>
                  <w:tcW w:w="601" w:type="pct"/>
                  <w:vMerge w:val="continue"/>
                  <w:tcBorders>
                    <w:tl2br w:val="nil"/>
                    <w:tr2bl w:val="nil"/>
                  </w:tcBorders>
                  <w:noWrap w:val="0"/>
                  <w:vAlign w:val="center"/>
                </w:tcPr>
                <w:p w14:paraId="6018903E">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p>
              </w:tc>
              <w:tc>
                <w:tcPr>
                  <w:tcW w:w="224" w:type="pct"/>
                  <w:vMerge w:val="continue"/>
                  <w:tcBorders>
                    <w:tl2br w:val="nil"/>
                    <w:tr2bl w:val="nil"/>
                  </w:tcBorders>
                  <w:noWrap w:val="0"/>
                  <w:vAlign w:val="center"/>
                </w:tcPr>
                <w:p w14:paraId="32000750">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p>
              </w:tc>
              <w:tc>
                <w:tcPr>
                  <w:tcW w:w="367" w:type="pct"/>
                  <w:vMerge w:val="continue"/>
                  <w:tcBorders>
                    <w:tl2br w:val="nil"/>
                    <w:tr2bl w:val="nil"/>
                  </w:tcBorders>
                  <w:noWrap w:val="0"/>
                  <w:vAlign w:val="center"/>
                </w:tcPr>
                <w:p w14:paraId="27C6047E">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p>
              </w:tc>
              <w:tc>
                <w:tcPr>
                  <w:tcW w:w="403" w:type="pct"/>
                  <w:vMerge w:val="continue"/>
                  <w:tcBorders>
                    <w:tl2br w:val="nil"/>
                    <w:tr2bl w:val="nil"/>
                  </w:tcBorders>
                  <w:noWrap w:val="0"/>
                  <w:vAlign w:val="center"/>
                </w:tcPr>
                <w:p w14:paraId="77AB46C8">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p>
              </w:tc>
              <w:tc>
                <w:tcPr>
                  <w:tcW w:w="483" w:type="pct"/>
                  <w:tcBorders>
                    <w:tl2br w:val="nil"/>
                    <w:tr2bl w:val="nil"/>
                  </w:tcBorders>
                  <w:noWrap w:val="0"/>
                  <w:vAlign w:val="center"/>
                </w:tcPr>
                <w:p w14:paraId="28CEC79E">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名称</w:t>
                  </w:r>
                </w:p>
              </w:tc>
              <w:tc>
                <w:tcPr>
                  <w:tcW w:w="495" w:type="pct"/>
                  <w:tcBorders>
                    <w:tl2br w:val="nil"/>
                    <w:tr2bl w:val="nil"/>
                  </w:tcBorders>
                  <w:noWrap w:val="0"/>
                  <w:vAlign w:val="center"/>
                </w:tcPr>
                <w:p w14:paraId="35573C32">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污染物种类</w:t>
                  </w:r>
                </w:p>
              </w:tc>
              <w:tc>
                <w:tcPr>
                  <w:tcW w:w="789" w:type="pct"/>
                  <w:tcBorders>
                    <w:tl2br w:val="nil"/>
                    <w:tr2bl w:val="nil"/>
                  </w:tcBorders>
                  <w:noWrap w:val="0"/>
                  <w:vAlign w:val="center"/>
                </w:tcPr>
                <w:p w14:paraId="251DC2F4">
                  <w:pPr>
                    <w:pStyle w:val="55"/>
                    <w:keepNext w:val="0"/>
                    <w:keepLines w:val="0"/>
                    <w:pageBreakBefore w:val="0"/>
                    <w:kinsoku/>
                    <w:wordWrap/>
                    <w:overflowPunct/>
                    <w:topLinePunct w:val="0"/>
                    <w:autoSpaceDE/>
                    <w:autoSpaceDN/>
                    <w:bidi w:val="0"/>
                    <w:ind w:left="0"/>
                    <w:textAlignment w:val="auto"/>
                    <w:rPr>
                      <w:rFonts w:hint="default"/>
                      <w:b/>
                      <w:bCs/>
                      <w:color w:val="000000" w:themeColor="text1"/>
                    </w:rPr>
                  </w:pPr>
                  <w:r>
                    <w:rPr>
                      <w:rFonts w:hint="default"/>
                      <w:b/>
                      <w:bCs/>
                      <w:color w:val="000000" w:themeColor="text1"/>
                    </w:rPr>
                    <w:t>国家或地方污染物排放标准浓度限值/（mg/L）</w:t>
                  </w:r>
                </w:p>
              </w:tc>
            </w:tr>
            <w:tr w14:paraId="56CE23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3" w:hRule="atLeast"/>
                <w:jc w:val="center"/>
              </w:trPr>
              <w:tc>
                <w:tcPr>
                  <w:tcW w:w="535" w:type="pct"/>
                  <w:vMerge w:val="restart"/>
                  <w:tcBorders>
                    <w:tl2br w:val="nil"/>
                    <w:tr2bl w:val="nil"/>
                  </w:tcBorders>
                  <w:noWrap w:val="0"/>
                  <w:vAlign w:val="center"/>
                </w:tcPr>
                <w:p w14:paraId="0A12307A">
                  <w:pPr>
                    <w:pStyle w:val="55"/>
                    <w:keepNext w:val="0"/>
                    <w:keepLines w:val="0"/>
                    <w:pageBreakBefore w:val="0"/>
                    <w:kinsoku/>
                    <w:wordWrap/>
                    <w:overflowPunct/>
                    <w:topLinePunct w:val="0"/>
                    <w:autoSpaceDE/>
                    <w:autoSpaceDN/>
                    <w:bidi w:val="0"/>
                    <w:ind w:left="0"/>
                    <w:textAlignment w:val="auto"/>
                    <w:rPr>
                      <w:rFonts w:hint="default"/>
                      <w:color w:val="000000" w:themeColor="text1"/>
                    </w:rPr>
                  </w:pPr>
                  <w:r>
                    <w:rPr>
                      <w:rFonts w:hint="default"/>
                      <w:color w:val="000000" w:themeColor="text1"/>
                    </w:rPr>
                    <w:t>DW001</w:t>
                  </w:r>
                </w:p>
              </w:tc>
              <w:tc>
                <w:tcPr>
                  <w:tcW w:w="566" w:type="pct"/>
                  <w:vMerge w:val="restart"/>
                  <w:tcBorders>
                    <w:tl2br w:val="nil"/>
                    <w:tr2bl w:val="nil"/>
                  </w:tcBorders>
                  <w:noWrap w:val="0"/>
                  <w:vAlign w:val="center"/>
                </w:tcPr>
                <w:p w14:paraId="0C974EB7">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lang w:val="en-US" w:eastAsia="zh-CN"/>
                    </w:rPr>
                  </w:pPr>
                  <w:r>
                    <w:rPr>
                      <w:rFonts w:hint="eastAsia"/>
                      <w:color w:val="000000" w:themeColor="text1"/>
                      <w:lang w:val="en-US" w:eastAsia="zh-CN"/>
                    </w:rPr>
                    <w:t>E</w:t>
                  </w:r>
                  <w:r>
                    <w:rPr>
                      <w:rFonts w:hint="default"/>
                      <w:color w:val="000000" w:themeColor="text1"/>
                      <w:lang w:val="en-US" w:eastAsia="zh-CN"/>
                    </w:rPr>
                    <w:t>115°</w:t>
                  </w:r>
                  <w:r>
                    <w:rPr>
                      <w:rFonts w:hint="eastAsia"/>
                      <w:color w:val="000000" w:themeColor="text1"/>
                      <w:lang w:val="en-US" w:eastAsia="zh-CN"/>
                    </w:rPr>
                    <w:t>44</w:t>
                  </w:r>
                  <w:r>
                    <w:rPr>
                      <w:rFonts w:hint="default"/>
                      <w:color w:val="000000" w:themeColor="text1"/>
                      <w:lang w:val="en-US" w:eastAsia="zh-CN"/>
                    </w:rPr>
                    <w:t>′</w:t>
                  </w:r>
                  <w:r>
                    <w:rPr>
                      <w:rFonts w:hint="eastAsia"/>
                      <w:color w:val="000000" w:themeColor="text1"/>
                      <w:lang w:val="en-US" w:eastAsia="zh-CN"/>
                    </w:rPr>
                    <w:t>55.130</w:t>
                  </w:r>
                  <w:r>
                    <w:rPr>
                      <w:rFonts w:hint="default"/>
                      <w:color w:val="000000" w:themeColor="text1"/>
                      <w:lang w:val="en-US" w:eastAsia="zh-CN"/>
                    </w:rPr>
                    <w:t>″</w:t>
                  </w:r>
                </w:p>
              </w:tc>
              <w:tc>
                <w:tcPr>
                  <w:tcW w:w="532" w:type="pct"/>
                  <w:vMerge w:val="restart"/>
                  <w:tcBorders>
                    <w:tl2br w:val="nil"/>
                    <w:tr2bl w:val="nil"/>
                  </w:tcBorders>
                  <w:noWrap w:val="0"/>
                  <w:vAlign w:val="center"/>
                </w:tcPr>
                <w:p w14:paraId="63116C9E">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eastAsia"/>
                      <w:color w:val="000000" w:themeColor="text1"/>
                      <w:lang w:val="en-US" w:eastAsia="zh-CN"/>
                    </w:rPr>
                  </w:pPr>
                  <w:r>
                    <w:rPr>
                      <w:rFonts w:hint="eastAsia"/>
                      <w:color w:val="000000" w:themeColor="text1"/>
                      <w:lang w:val="en-US" w:eastAsia="zh-CN"/>
                    </w:rPr>
                    <w:t>N</w:t>
                  </w:r>
                  <w:r>
                    <w:rPr>
                      <w:rFonts w:hint="default"/>
                      <w:color w:val="000000" w:themeColor="text1"/>
                      <w:lang w:val="en-US" w:eastAsia="zh-CN"/>
                    </w:rPr>
                    <w:t>29°</w:t>
                  </w:r>
                  <w:r>
                    <w:rPr>
                      <w:rFonts w:hint="eastAsia"/>
                      <w:color w:val="000000" w:themeColor="text1"/>
                      <w:lang w:val="en-US" w:eastAsia="zh-CN"/>
                    </w:rPr>
                    <w:t>46</w:t>
                  </w:r>
                  <w:r>
                    <w:rPr>
                      <w:rFonts w:hint="default"/>
                      <w:color w:val="000000" w:themeColor="text1"/>
                      <w:lang w:val="en-US" w:eastAsia="zh-CN"/>
                    </w:rPr>
                    <w:t>′</w:t>
                  </w:r>
                  <w:r>
                    <w:rPr>
                      <w:rFonts w:hint="eastAsia"/>
                      <w:color w:val="000000" w:themeColor="text1"/>
                      <w:lang w:val="en-US" w:eastAsia="zh-CN"/>
                    </w:rPr>
                    <w:t>36.509</w:t>
                  </w:r>
                  <w:r>
                    <w:rPr>
                      <w:rFonts w:hint="default"/>
                      <w:color w:val="000000" w:themeColor="text1"/>
                      <w:lang w:val="en-US" w:eastAsia="zh-CN"/>
                    </w:rPr>
                    <w:t>″</w:t>
                  </w:r>
                </w:p>
              </w:tc>
              <w:tc>
                <w:tcPr>
                  <w:tcW w:w="601" w:type="pct"/>
                  <w:vMerge w:val="restart"/>
                  <w:tcBorders>
                    <w:tl2br w:val="nil"/>
                    <w:tr2bl w:val="nil"/>
                  </w:tcBorders>
                  <w:noWrap w:val="0"/>
                  <w:vAlign w:val="center"/>
                </w:tcPr>
                <w:p w14:paraId="19E8107E">
                  <w:pPr>
                    <w:pStyle w:val="55"/>
                    <w:keepNext w:val="0"/>
                    <w:keepLines w:val="0"/>
                    <w:pageBreakBefore w:val="0"/>
                    <w:kinsoku/>
                    <w:wordWrap/>
                    <w:overflowPunct/>
                    <w:topLinePunct w:val="0"/>
                    <w:autoSpaceDE/>
                    <w:autoSpaceDN/>
                    <w:bidi w:val="0"/>
                    <w:ind w:left="0"/>
                    <w:textAlignment w:val="auto"/>
                    <w:rPr>
                      <w:rFonts w:hint="default"/>
                      <w:color w:val="000000" w:themeColor="text1"/>
                      <w:lang w:val="en-US" w:eastAsia="zh-CN"/>
                    </w:rPr>
                  </w:pPr>
                  <w:r>
                    <w:rPr>
                      <w:rFonts w:hint="eastAsia"/>
                      <w:color w:val="000000" w:themeColor="text1"/>
                      <w:lang w:val="en-US" w:eastAsia="zh-CN"/>
                    </w:rPr>
                    <w:t>0.0135</w:t>
                  </w:r>
                </w:p>
              </w:tc>
              <w:tc>
                <w:tcPr>
                  <w:tcW w:w="224" w:type="pct"/>
                  <w:vMerge w:val="restart"/>
                  <w:tcBorders>
                    <w:tl2br w:val="nil"/>
                    <w:tr2bl w:val="nil"/>
                  </w:tcBorders>
                  <w:noWrap w:val="0"/>
                  <w:vAlign w:val="center"/>
                </w:tcPr>
                <w:p w14:paraId="7195FA04">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default"/>
                      <w:color w:val="000000" w:themeColor="text1"/>
                    </w:rPr>
                    <w:t>进入污水处理</w:t>
                  </w:r>
                  <w:r>
                    <w:rPr>
                      <w:rFonts w:hint="default"/>
                      <w:color w:val="000000" w:themeColor="text1"/>
                      <w:sz w:val="21"/>
                      <w:szCs w:val="21"/>
                      <w:lang w:val="en-GB"/>
                    </w:rPr>
                    <w:t>厂</w:t>
                  </w:r>
                </w:p>
              </w:tc>
              <w:tc>
                <w:tcPr>
                  <w:tcW w:w="367" w:type="pct"/>
                  <w:vMerge w:val="restart"/>
                  <w:tcBorders>
                    <w:tl2br w:val="nil"/>
                    <w:tr2bl w:val="nil"/>
                  </w:tcBorders>
                  <w:noWrap w:val="0"/>
                  <w:vAlign w:val="center"/>
                </w:tcPr>
                <w:p w14:paraId="3E1179D4">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eastAsia"/>
                      <w:color w:val="000000" w:themeColor="text1"/>
                      <w:sz w:val="21"/>
                      <w:szCs w:val="21"/>
                      <w:lang w:val="en-US" w:eastAsia="zh-CN"/>
                    </w:rPr>
                    <w:t>间歇</w:t>
                  </w:r>
                  <w:r>
                    <w:rPr>
                      <w:rFonts w:hint="default"/>
                      <w:color w:val="000000" w:themeColor="text1"/>
                      <w:sz w:val="21"/>
                      <w:szCs w:val="21"/>
                    </w:rPr>
                    <w:t>排放</w:t>
                  </w:r>
                </w:p>
              </w:tc>
              <w:tc>
                <w:tcPr>
                  <w:tcW w:w="403" w:type="pct"/>
                  <w:vMerge w:val="restart"/>
                  <w:tcBorders>
                    <w:tl2br w:val="nil"/>
                    <w:tr2bl w:val="nil"/>
                  </w:tcBorders>
                  <w:noWrap w:val="0"/>
                  <w:vAlign w:val="center"/>
                </w:tcPr>
                <w:p w14:paraId="4B616044">
                  <w:pPr>
                    <w:pStyle w:val="55"/>
                    <w:keepNext w:val="0"/>
                    <w:keepLines w:val="0"/>
                    <w:pageBreakBefore w:val="0"/>
                    <w:kinsoku/>
                    <w:wordWrap/>
                    <w:overflowPunct/>
                    <w:topLinePunct w:val="0"/>
                    <w:autoSpaceDE/>
                    <w:autoSpaceDN/>
                    <w:bidi w:val="0"/>
                    <w:ind w:left="0"/>
                    <w:textAlignment w:val="auto"/>
                    <w:rPr>
                      <w:rFonts w:hint="eastAsia" w:eastAsia="宋体"/>
                      <w:color w:val="000000" w:themeColor="text1"/>
                      <w:lang w:eastAsia="zh-CN"/>
                    </w:rPr>
                  </w:pPr>
                  <w:r>
                    <w:rPr>
                      <w:rFonts w:hint="eastAsia"/>
                      <w:color w:val="000000" w:themeColor="text1"/>
                      <w:lang w:val="en-US" w:eastAsia="zh-CN"/>
                    </w:rPr>
                    <w:t>/</w:t>
                  </w:r>
                </w:p>
              </w:tc>
              <w:tc>
                <w:tcPr>
                  <w:tcW w:w="483" w:type="pct"/>
                  <w:vMerge w:val="restart"/>
                  <w:tcBorders>
                    <w:tl2br w:val="nil"/>
                    <w:tr2bl w:val="nil"/>
                  </w:tcBorders>
                  <w:noWrap w:val="0"/>
                  <w:vAlign w:val="center"/>
                </w:tcPr>
                <w:p w14:paraId="07E1A0DD">
                  <w:pPr>
                    <w:pStyle w:val="55"/>
                    <w:keepNext w:val="0"/>
                    <w:keepLines w:val="0"/>
                    <w:pageBreakBefore w:val="0"/>
                    <w:kinsoku/>
                    <w:wordWrap/>
                    <w:overflowPunct/>
                    <w:topLinePunct w:val="0"/>
                    <w:autoSpaceDE/>
                    <w:autoSpaceDN/>
                    <w:bidi w:val="0"/>
                    <w:ind w:left="0"/>
                    <w:textAlignment w:val="auto"/>
                    <w:rPr>
                      <w:rFonts w:hint="default"/>
                      <w:color w:val="000000" w:themeColor="text1"/>
                    </w:rPr>
                  </w:pPr>
                  <w:r>
                    <w:rPr>
                      <w:rFonts w:hint="default"/>
                      <w:color w:val="000000" w:themeColor="text1"/>
                    </w:rPr>
                    <w:t>赤湖工业园区污水处理厂</w:t>
                  </w:r>
                </w:p>
              </w:tc>
              <w:tc>
                <w:tcPr>
                  <w:tcW w:w="495" w:type="pct"/>
                  <w:tcBorders>
                    <w:tl2br w:val="nil"/>
                    <w:tr2bl w:val="nil"/>
                  </w:tcBorders>
                  <w:noWrap w:val="0"/>
                  <w:vAlign w:val="center"/>
                </w:tcPr>
                <w:p w14:paraId="11DF0DCA">
                  <w:pPr>
                    <w:pStyle w:val="100"/>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eastAsia" w:cs="Times New Roman"/>
                      <w:color w:val="000000" w:themeColor="text1"/>
                      <w:sz w:val="21"/>
                      <w:szCs w:val="21"/>
                      <w:lang w:val="en-US" w:eastAsia="zh-CN"/>
                    </w:rPr>
                    <w:t>pH</w:t>
                  </w:r>
                </w:p>
              </w:tc>
              <w:tc>
                <w:tcPr>
                  <w:tcW w:w="789" w:type="pct"/>
                  <w:tcBorders>
                    <w:tl2br w:val="nil"/>
                    <w:tr2bl w:val="nil"/>
                  </w:tcBorders>
                  <w:noWrap w:val="0"/>
                  <w:vAlign w:val="center"/>
                </w:tcPr>
                <w:p w14:paraId="04E9546D">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eastAsia" w:ascii="Times New Roman" w:eastAsia="宋体" w:cs="Times New Roman"/>
                      <w:color w:val="000000" w:themeColor="text1"/>
                      <w:kern w:val="0"/>
                      <w:sz w:val="21"/>
                      <w:szCs w:val="21"/>
                      <w:lang w:val="en-US" w:eastAsia="zh-CN"/>
                    </w:rPr>
                    <w:t>6</w:t>
                  </w:r>
                  <w:r>
                    <w:rPr>
                      <w:rFonts w:hint="default" w:ascii="Times New Roman" w:hAnsi="Times New Roman" w:eastAsia="宋体" w:cs="Times New Roman"/>
                      <w:color w:val="000000" w:themeColor="text1"/>
                      <w:kern w:val="0"/>
                      <w:sz w:val="21"/>
                      <w:szCs w:val="21"/>
                    </w:rPr>
                    <w:t>~</w:t>
                  </w:r>
                  <w:r>
                    <w:rPr>
                      <w:rFonts w:hint="eastAsia" w:ascii="Times New Roman" w:eastAsia="宋体" w:cs="Times New Roman"/>
                      <w:color w:val="000000" w:themeColor="text1"/>
                      <w:kern w:val="0"/>
                      <w:sz w:val="21"/>
                      <w:szCs w:val="21"/>
                      <w:lang w:val="en-US" w:eastAsia="zh-CN"/>
                    </w:rPr>
                    <w:t>9</w:t>
                  </w:r>
                </w:p>
              </w:tc>
            </w:tr>
            <w:tr w14:paraId="5EBBA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6" w:hRule="atLeast"/>
                <w:jc w:val="center"/>
              </w:trPr>
              <w:tc>
                <w:tcPr>
                  <w:tcW w:w="535" w:type="pct"/>
                  <w:vMerge w:val="continue"/>
                  <w:tcBorders>
                    <w:tl2br w:val="nil"/>
                    <w:tr2bl w:val="nil"/>
                  </w:tcBorders>
                  <w:noWrap w:val="0"/>
                  <w:vAlign w:val="center"/>
                </w:tcPr>
                <w:p w14:paraId="6E69ACBF">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66" w:type="pct"/>
                  <w:vMerge w:val="continue"/>
                  <w:tcBorders>
                    <w:tl2br w:val="nil"/>
                    <w:tr2bl w:val="nil"/>
                  </w:tcBorders>
                  <w:noWrap w:val="0"/>
                  <w:vAlign w:val="center"/>
                </w:tcPr>
                <w:p w14:paraId="499C9723">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32" w:type="pct"/>
                  <w:vMerge w:val="continue"/>
                  <w:tcBorders>
                    <w:tl2br w:val="nil"/>
                    <w:tr2bl w:val="nil"/>
                  </w:tcBorders>
                  <w:noWrap w:val="0"/>
                  <w:vAlign w:val="center"/>
                </w:tcPr>
                <w:p w14:paraId="1C61AAC4">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601" w:type="pct"/>
                  <w:vMerge w:val="continue"/>
                  <w:tcBorders>
                    <w:tl2br w:val="nil"/>
                    <w:tr2bl w:val="nil"/>
                  </w:tcBorders>
                  <w:noWrap w:val="0"/>
                  <w:vAlign w:val="center"/>
                </w:tcPr>
                <w:p w14:paraId="5FD0D66C">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224" w:type="pct"/>
                  <w:vMerge w:val="continue"/>
                  <w:tcBorders>
                    <w:tl2br w:val="nil"/>
                    <w:tr2bl w:val="nil"/>
                  </w:tcBorders>
                  <w:noWrap w:val="0"/>
                  <w:vAlign w:val="center"/>
                </w:tcPr>
                <w:p w14:paraId="0A663ACA">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367" w:type="pct"/>
                  <w:vMerge w:val="continue"/>
                  <w:tcBorders>
                    <w:tl2br w:val="nil"/>
                    <w:tr2bl w:val="nil"/>
                  </w:tcBorders>
                  <w:noWrap w:val="0"/>
                  <w:vAlign w:val="center"/>
                </w:tcPr>
                <w:p w14:paraId="18D45A46">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03" w:type="pct"/>
                  <w:vMerge w:val="continue"/>
                  <w:tcBorders>
                    <w:tl2br w:val="nil"/>
                    <w:tr2bl w:val="nil"/>
                  </w:tcBorders>
                  <w:noWrap w:val="0"/>
                  <w:vAlign w:val="center"/>
                </w:tcPr>
                <w:p w14:paraId="260391E6">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83" w:type="pct"/>
                  <w:vMerge w:val="continue"/>
                  <w:tcBorders>
                    <w:tl2br w:val="nil"/>
                    <w:tr2bl w:val="nil"/>
                  </w:tcBorders>
                  <w:noWrap w:val="0"/>
                  <w:vAlign w:val="center"/>
                </w:tcPr>
                <w:p w14:paraId="1B36D9C0">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95" w:type="pct"/>
                  <w:tcBorders>
                    <w:tl2br w:val="nil"/>
                    <w:tr2bl w:val="nil"/>
                  </w:tcBorders>
                  <w:noWrap w:val="0"/>
                  <w:vAlign w:val="center"/>
                </w:tcPr>
                <w:p w14:paraId="7DCFD164">
                  <w:pPr>
                    <w:pStyle w:val="100"/>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eastAsia" w:cs="Times New Roman"/>
                      <w:color w:val="000000" w:themeColor="text1"/>
                      <w:sz w:val="21"/>
                      <w:szCs w:val="21"/>
                      <w:lang w:val="en-US" w:eastAsia="zh-CN"/>
                    </w:rPr>
                    <w:t>COD</w:t>
                  </w:r>
                  <w:r>
                    <w:rPr>
                      <w:rFonts w:hint="eastAsia" w:cs="Times New Roman"/>
                      <w:color w:val="000000" w:themeColor="text1"/>
                      <w:sz w:val="21"/>
                      <w:szCs w:val="21"/>
                      <w:vertAlign w:val="subscript"/>
                      <w:lang w:val="en-US" w:eastAsia="zh-CN"/>
                    </w:rPr>
                    <w:t>cr</w:t>
                  </w:r>
                </w:p>
              </w:tc>
              <w:tc>
                <w:tcPr>
                  <w:tcW w:w="789" w:type="pct"/>
                  <w:tcBorders>
                    <w:tl2br w:val="nil"/>
                    <w:tr2bl w:val="nil"/>
                  </w:tcBorders>
                  <w:noWrap w:val="0"/>
                  <w:vAlign w:val="center"/>
                </w:tcPr>
                <w:p w14:paraId="509E0F0B">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lang w:val="en-US" w:eastAsia="zh-CN"/>
                    </w:rPr>
                  </w:pPr>
                  <w:r>
                    <w:rPr>
                      <w:rFonts w:hint="eastAsia"/>
                      <w:color w:val="000000" w:themeColor="text1"/>
                      <w:lang w:val="en-US" w:eastAsia="zh-CN"/>
                    </w:rPr>
                    <w:t>500</w:t>
                  </w:r>
                </w:p>
              </w:tc>
            </w:tr>
            <w:tr w14:paraId="5AD31B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7" w:hRule="atLeast"/>
                <w:jc w:val="center"/>
              </w:trPr>
              <w:tc>
                <w:tcPr>
                  <w:tcW w:w="535" w:type="pct"/>
                  <w:vMerge w:val="continue"/>
                  <w:tcBorders>
                    <w:tl2br w:val="nil"/>
                    <w:tr2bl w:val="nil"/>
                  </w:tcBorders>
                  <w:noWrap w:val="0"/>
                  <w:vAlign w:val="center"/>
                </w:tcPr>
                <w:p w14:paraId="66274D13">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66" w:type="pct"/>
                  <w:vMerge w:val="continue"/>
                  <w:tcBorders>
                    <w:tl2br w:val="nil"/>
                    <w:tr2bl w:val="nil"/>
                  </w:tcBorders>
                  <w:noWrap w:val="0"/>
                  <w:vAlign w:val="center"/>
                </w:tcPr>
                <w:p w14:paraId="5687D875">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32" w:type="pct"/>
                  <w:vMerge w:val="continue"/>
                  <w:tcBorders>
                    <w:tl2br w:val="nil"/>
                    <w:tr2bl w:val="nil"/>
                  </w:tcBorders>
                  <w:noWrap w:val="0"/>
                  <w:vAlign w:val="center"/>
                </w:tcPr>
                <w:p w14:paraId="38886337">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601" w:type="pct"/>
                  <w:vMerge w:val="continue"/>
                  <w:tcBorders>
                    <w:tl2br w:val="nil"/>
                    <w:tr2bl w:val="nil"/>
                  </w:tcBorders>
                  <w:noWrap w:val="0"/>
                  <w:vAlign w:val="center"/>
                </w:tcPr>
                <w:p w14:paraId="437BE6EF">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224" w:type="pct"/>
                  <w:vMerge w:val="continue"/>
                  <w:tcBorders>
                    <w:tl2br w:val="nil"/>
                    <w:tr2bl w:val="nil"/>
                  </w:tcBorders>
                  <w:noWrap w:val="0"/>
                  <w:vAlign w:val="center"/>
                </w:tcPr>
                <w:p w14:paraId="7FA04868">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367" w:type="pct"/>
                  <w:vMerge w:val="continue"/>
                  <w:tcBorders>
                    <w:tl2br w:val="nil"/>
                    <w:tr2bl w:val="nil"/>
                  </w:tcBorders>
                  <w:noWrap w:val="0"/>
                  <w:vAlign w:val="center"/>
                </w:tcPr>
                <w:p w14:paraId="65544C27">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03" w:type="pct"/>
                  <w:vMerge w:val="continue"/>
                  <w:tcBorders>
                    <w:tl2br w:val="nil"/>
                    <w:tr2bl w:val="nil"/>
                  </w:tcBorders>
                  <w:noWrap w:val="0"/>
                  <w:vAlign w:val="center"/>
                </w:tcPr>
                <w:p w14:paraId="64DFB175">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83" w:type="pct"/>
                  <w:vMerge w:val="continue"/>
                  <w:tcBorders>
                    <w:tl2br w:val="nil"/>
                    <w:tr2bl w:val="nil"/>
                  </w:tcBorders>
                  <w:noWrap w:val="0"/>
                  <w:vAlign w:val="center"/>
                </w:tcPr>
                <w:p w14:paraId="06F3A2A4">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95" w:type="pct"/>
                  <w:tcBorders>
                    <w:tl2br w:val="nil"/>
                    <w:tr2bl w:val="nil"/>
                  </w:tcBorders>
                  <w:noWrap w:val="0"/>
                  <w:vAlign w:val="center"/>
                </w:tcPr>
                <w:p w14:paraId="48BE1600">
                  <w:pPr>
                    <w:pStyle w:val="100"/>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lang w:val="en-US"/>
                    </w:rPr>
                  </w:pPr>
                  <w:r>
                    <w:rPr>
                      <w:rFonts w:hint="eastAsia" w:cs="Times New Roman"/>
                      <w:color w:val="000000" w:themeColor="text1"/>
                      <w:sz w:val="21"/>
                      <w:szCs w:val="21"/>
                      <w:lang w:val="en-US" w:eastAsia="zh-CN"/>
                    </w:rPr>
                    <w:t>BOD</w:t>
                  </w:r>
                  <w:r>
                    <w:rPr>
                      <w:rFonts w:hint="eastAsia" w:cs="Times New Roman"/>
                      <w:color w:val="000000" w:themeColor="text1"/>
                      <w:sz w:val="21"/>
                      <w:szCs w:val="21"/>
                      <w:vertAlign w:val="subscript"/>
                      <w:lang w:val="en-US" w:eastAsia="zh-CN"/>
                    </w:rPr>
                    <w:t>5</w:t>
                  </w:r>
                </w:p>
              </w:tc>
              <w:tc>
                <w:tcPr>
                  <w:tcW w:w="789" w:type="pct"/>
                  <w:tcBorders>
                    <w:tl2br w:val="nil"/>
                    <w:tr2bl w:val="nil"/>
                  </w:tcBorders>
                  <w:noWrap w:val="0"/>
                  <w:vAlign w:val="center"/>
                </w:tcPr>
                <w:p w14:paraId="06ECC5B3">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lang w:val="en-US"/>
                    </w:rPr>
                  </w:pPr>
                  <w:r>
                    <w:rPr>
                      <w:rFonts w:hint="eastAsia"/>
                      <w:color w:val="000000" w:themeColor="text1"/>
                      <w:sz w:val="21"/>
                      <w:szCs w:val="21"/>
                      <w:lang w:val="en-US" w:eastAsia="zh-CN"/>
                    </w:rPr>
                    <w:t>300</w:t>
                  </w:r>
                </w:p>
              </w:tc>
            </w:tr>
            <w:tr w14:paraId="56A9E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26" w:hRule="atLeast"/>
                <w:jc w:val="center"/>
              </w:trPr>
              <w:tc>
                <w:tcPr>
                  <w:tcW w:w="535" w:type="pct"/>
                  <w:vMerge w:val="continue"/>
                  <w:tcBorders>
                    <w:tl2br w:val="nil"/>
                    <w:tr2bl w:val="nil"/>
                  </w:tcBorders>
                  <w:noWrap w:val="0"/>
                  <w:vAlign w:val="center"/>
                </w:tcPr>
                <w:p w14:paraId="7EB6CB14">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66" w:type="pct"/>
                  <w:vMerge w:val="continue"/>
                  <w:tcBorders>
                    <w:tl2br w:val="nil"/>
                    <w:tr2bl w:val="nil"/>
                  </w:tcBorders>
                  <w:noWrap w:val="0"/>
                  <w:vAlign w:val="center"/>
                </w:tcPr>
                <w:p w14:paraId="2068E1FA">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532" w:type="pct"/>
                  <w:vMerge w:val="continue"/>
                  <w:tcBorders>
                    <w:tl2br w:val="nil"/>
                    <w:tr2bl w:val="nil"/>
                  </w:tcBorders>
                  <w:noWrap w:val="0"/>
                  <w:vAlign w:val="center"/>
                </w:tcPr>
                <w:p w14:paraId="03C1F73B">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601" w:type="pct"/>
                  <w:vMerge w:val="continue"/>
                  <w:tcBorders>
                    <w:tl2br w:val="nil"/>
                    <w:tr2bl w:val="nil"/>
                  </w:tcBorders>
                  <w:noWrap w:val="0"/>
                  <w:vAlign w:val="center"/>
                </w:tcPr>
                <w:p w14:paraId="429F3A2B">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224" w:type="pct"/>
                  <w:vMerge w:val="continue"/>
                  <w:tcBorders>
                    <w:tl2br w:val="nil"/>
                    <w:tr2bl w:val="nil"/>
                  </w:tcBorders>
                  <w:noWrap w:val="0"/>
                  <w:vAlign w:val="center"/>
                </w:tcPr>
                <w:p w14:paraId="110BB211">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367" w:type="pct"/>
                  <w:vMerge w:val="continue"/>
                  <w:tcBorders>
                    <w:tl2br w:val="nil"/>
                    <w:tr2bl w:val="nil"/>
                  </w:tcBorders>
                  <w:noWrap w:val="0"/>
                  <w:vAlign w:val="center"/>
                </w:tcPr>
                <w:p w14:paraId="4F92BF05">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03" w:type="pct"/>
                  <w:vMerge w:val="continue"/>
                  <w:tcBorders>
                    <w:tl2br w:val="nil"/>
                    <w:tr2bl w:val="nil"/>
                  </w:tcBorders>
                  <w:noWrap w:val="0"/>
                  <w:vAlign w:val="center"/>
                </w:tcPr>
                <w:p w14:paraId="7F7A29AE">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83" w:type="pct"/>
                  <w:vMerge w:val="continue"/>
                  <w:tcBorders>
                    <w:tl2br w:val="nil"/>
                    <w:tr2bl w:val="nil"/>
                  </w:tcBorders>
                  <w:noWrap w:val="0"/>
                  <w:vAlign w:val="center"/>
                </w:tcPr>
                <w:p w14:paraId="20226042">
                  <w:pPr>
                    <w:pStyle w:val="55"/>
                    <w:keepNext w:val="0"/>
                    <w:keepLines w:val="0"/>
                    <w:pageBreakBefore w:val="0"/>
                    <w:kinsoku/>
                    <w:wordWrap/>
                    <w:overflowPunct/>
                    <w:topLinePunct w:val="0"/>
                    <w:autoSpaceDE/>
                    <w:autoSpaceDN/>
                    <w:bidi w:val="0"/>
                    <w:ind w:left="0"/>
                    <w:textAlignment w:val="auto"/>
                    <w:rPr>
                      <w:rFonts w:hint="default"/>
                      <w:color w:val="000000" w:themeColor="text1"/>
                    </w:rPr>
                  </w:pPr>
                </w:p>
              </w:tc>
              <w:tc>
                <w:tcPr>
                  <w:tcW w:w="495" w:type="pct"/>
                  <w:tcBorders>
                    <w:tl2br w:val="nil"/>
                    <w:tr2bl w:val="nil"/>
                  </w:tcBorders>
                  <w:noWrap w:val="0"/>
                  <w:vAlign w:val="center"/>
                </w:tcPr>
                <w:p w14:paraId="5E0EEA8C">
                  <w:pPr>
                    <w:pStyle w:val="100"/>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rPr>
                  </w:pPr>
                  <w:r>
                    <w:rPr>
                      <w:rFonts w:hint="default" w:ascii="Times New Roman" w:hAnsi="Times New Roman" w:eastAsia="宋体" w:cs="Times New Roman"/>
                      <w:color w:val="000000" w:themeColor="text1"/>
                      <w:sz w:val="21"/>
                      <w:szCs w:val="21"/>
                    </w:rPr>
                    <w:t>SS</w:t>
                  </w:r>
                </w:p>
              </w:tc>
              <w:tc>
                <w:tcPr>
                  <w:tcW w:w="789" w:type="pct"/>
                  <w:tcBorders>
                    <w:tl2br w:val="nil"/>
                    <w:tr2bl w:val="nil"/>
                  </w:tcBorders>
                  <w:noWrap w:val="0"/>
                  <w:vAlign w:val="center"/>
                </w:tcPr>
                <w:p w14:paraId="5A249D03">
                  <w:pPr>
                    <w:pStyle w:val="164"/>
                    <w:keepNext w:val="0"/>
                    <w:keepLines w:val="0"/>
                    <w:pageBreakBefore w:val="0"/>
                    <w:widowControl w:val="0"/>
                    <w:kinsoku/>
                    <w:wordWrap/>
                    <w:overflowPunct/>
                    <w:topLinePunct w:val="0"/>
                    <w:autoSpaceDE/>
                    <w:autoSpaceDN/>
                    <w:bidi w:val="0"/>
                    <w:adjustRightInd/>
                    <w:snapToGrid/>
                    <w:spacing w:line="240" w:lineRule="auto"/>
                    <w:ind w:left="0" w:firstLine="0" w:firstLineChars="0"/>
                    <w:textAlignment w:val="auto"/>
                    <w:rPr>
                      <w:rFonts w:hint="default"/>
                      <w:color w:val="000000" w:themeColor="text1"/>
                      <w:lang w:val="en-US"/>
                    </w:rPr>
                  </w:pPr>
                  <w:r>
                    <w:rPr>
                      <w:rFonts w:hint="eastAsia"/>
                      <w:color w:val="000000" w:themeColor="text1"/>
                      <w:sz w:val="21"/>
                      <w:szCs w:val="21"/>
                      <w:lang w:val="en-US" w:eastAsia="zh-CN"/>
                    </w:rPr>
                    <w:t>400</w:t>
                  </w:r>
                </w:p>
              </w:tc>
            </w:tr>
            <w:tr w14:paraId="573A8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5000" w:type="pct"/>
                  <w:gridSpan w:val="10"/>
                  <w:tcBorders>
                    <w:tl2br w:val="nil"/>
                    <w:tr2bl w:val="nil"/>
                  </w:tcBorders>
                  <w:noWrap w:val="0"/>
                  <w:vAlign w:val="center"/>
                </w:tcPr>
                <w:p w14:paraId="3058F006">
                  <w:pPr>
                    <w:keepNext w:val="0"/>
                    <w:keepLines w:val="0"/>
                    <w:pageBreakBefore w:val="0"/>
                    <w:widowControl/>
                    <w:kinsoku/>
                    <w:wordWrap/>
                    <w:overflowPunct/>
                    <w:topLinePunct w:val="0"/>
                    <w:autoSpaceDE/>
                    <w:autoSpaceDN/>
                    <w:bidi w:val="0"/>
                    <w:adjustRightInd w:val="0"/>
                    <w:snapToGrid w:val="0"/>
                    <w:spacing w:line="240" w:lineRule="auto"/>
                    <w:ind w:left="0" w:firstLine="0" w:firstLineChars="0"/>
                    <w:jc w:val="center"/>
                    <w:textAlignment w:val="auto"/>
                    <w:rPr>
                      <w:rFonts w:hint="eastAsia"/>
                      <w:color w:val="000000" w:themeColor="text1"/>
                      <w:sz w:val="21"/>
                      <w:szCs w:val="21"/>
                      <w:lang w:val="en-US" w:eastAsia="zh-CN"/>
                    </w:rPr>
                  </w:pPr>
                  <w:r>
                    <w:rPr>
                      <w:rFonts w:hint="default"/>
                      <w:color w:val="000000" w:themeColor="text1"/>
                      <w:sz w:val="21"/>
                      <w:szCs w:val="21"/>
                    </w:rPr>
                    <w:t>注：排放口编号可按地方环境管理部门确定编号为准。</w:t>
                  </w:r>
                </w:p>
              </w:tc>
            </w:tr>
          </w:tbl>
          <w:p w14:paraId="7EB58C7B">
            <w:pPr>
              <w:keepNext w:val="0"/>
              <w:keepLines w:val="0"/>
              <w:pageBreakBefore w:val="0"/>
              <w:widowControl/>
              <w:kinsoku/>
              <w:wordWrap/>
              <w:overflowPunct/>
              <w:topLinePunct w:val="0"/>
              <w:autoSpaceDE/>
              <w:autoSpaceDN/>
              <w:bidi w:val="0"/>
              <w:adjustRightInd w:val="0"/>
              <w:snapToGrid w:val="0"/>
              <w:spacing w:before="313" w:beforeLines="100" w:line="240" w:lineRule="auto"/>
              <w:ind w:firstLine="498"/>
              <w:jc w:val="center"/>
              <w:textAlignment w:val="auto"/>
              <w:rPr>
                <w:rFonts w:hint="default" w:ascii="Times New Roman" w:hAnsi="Times New Roman" w:eastAsia="宋体" w:cs="Times New Roman"/>
                <w:b/>
                <w:color w:val="000000" w:themeColor="text1"/>
                <w:spacing w:val="4"/>
                <w:sz w:val="21"/>
                <w:szCs w:val="21"/>
              </w:rPr>
            </w:pPr>
            <w:r>
              <w:rPr>
                <w:rFonts w:hint="default" w:ascii="Times New Roman" w:hAnsi="Times New Roman" w:eastAsia="宋体" w:cs="Times New Roman"/>
                <w:b/>
                <w:color w:val="000000" w:themeColor="text1"/>
                <w:spacing w:val="4"/>
                <w:sz w:val="21"/>
                <w:szCs w:val="21"/>
              </w:rPr>
              <w:t>表4-</w:t>
            </w:r>
            <w:r>
              <w:rPr>
                <w:rFonts w:hint="eastAsia" w:cs="Times New Roman"/>
                <w:b/>
                <w:color w:val="000000" w:themeColor="text1"/>
                <w:spacing w:val="4"/>
                <w:sz w:val="21"/>
                <w:szCs w:val="21"/>
                <w:lang w:val="en-US" w:eastAsia="zh-CN"/>
              </w:rPr>
              <w:t>5</w:t>
            </w:r>
            <w:r>
              <w:rPr>
                <w:rFonts w:hint="default" w:ascii="Times New Roman" w:hAnsi="Times New Roman" w:eastAsia="宋体" w:cs="Times New Roman"/>
                <w:b/>
                <w:color w:val="000000" w:themeColor="text1"/>
                <w:spacing w:val="4"/>
                <w:sz w:val="21"/>
                <w:szCs w:val="21"/>
              </w:rPr>
              <w:t xml:space="preserve">  废水污染物排放信息表</w:t>
            </w:r>
          </w:p>
          <w:tbl>
            <w:tblPr>
              <w:tblStyle w:val="33"/>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84"/>
              <w:gridCol w:w="945"/>
              <w:gridCol w:w="1110"/>
              <w:gridCol w:w="1050"/>
              <w:gridCol w:w="1086"/>
              <w:gridCol w:w="1112"/>
              <w:gridCol w:w="1267"/>
            </w:tblGrid>
            <w:tr w14:paraId="7A8B7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tcBorders>
                    <w:tl2br w:val="nil"/>
                    <w:tr2bl w:val="nil"/>
                  </w:tcBorders>
                  <w:noWrap w:val="0"/>
                  <w:vAlign w:val="center"/>
                </w:tcPr>
                <w:p w14:paraId="6770EE4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rPr>
                    <w:t>序号</w:t>
                  </w:r>
                </w:p>
              </w:tc>
              <w:tc>
                <w:tcPr>
                  <w:tcW w:w="984" w:type="dxa"/>
                  <w:tcBorders>
                    <w:tl2br w:val="nil"/>
                    <w:tr2bl w:val="nil"/>
                  </w:tcBorders>
                  <w:noWrap w:val="0"/>
                  <w:vAlign w:val="center"/>
                </w:tcPr>
                <w:p w14:paraId="05DAB2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rPr>
                    <w:t>排放口编号</w:t>
                  </w:r>
                </w:p>
              </w:tc>
              <w:tc>
                <w:tcPr>
                  <w:tcW w:w="945" w:type="dxa"/>
                  <w:tcBorders>
                    <w:tl2br w:val="nil"/>
                    <w:tr2bl w:val="nil"/>
                  </w:tcBorders>
                  <w:noWrap w:val="0"/>
                  <w:vAlign w:val="center"/>
                </w:tcPr>
                <w:p w14:paraId="0C1F6D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rPr>
                    <w:t>污染物种类</w:t>
                  </w:r>
                </w:p>
              </w:tc>
              <w:tc>
                <w:tcPr>
                  <w:tcW w:w="1110" w:type="dxa"/>
                  <w:tcBorders>
                    <w:tl2br w:val="nil"/>
                    <w:tr2bl w:val="nil"/>
                  </w:tcBorders>
                  <w:noWrap w:val="0"/>
                  <w:vAlign w:val="center"/>
                </w:tcPr>
                <w:p w14:paraId="40916D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rPr>
                    <w:t>排放浓度</w:t>
                  </w:r>
                  <w:r>
                    <w:rPr>
                      <w:b/>
                      <w:bCs/>
                      <w:color w:val="000000" w:themeColor="text1"/>
                      <w:sz w:val="21"/>
                      <w:szCs w:val="21"/>
                    </w:rPr>
                    <w:t>/</w:t>
                  </w:r>
                  <w:r>
                    <w:rPr>
                      <w:rFonts w:hint="eastAsia" w:hAnsi="宋体"/>
                      <w:b/>
                      <w:bCs/>
                      <w:color w:val="000000" w:themeColor="text1"/>
                      <w:sz w:val="21"/>
                      <w:szCs w:val="21"/>
                    </w:rPr>
                    <w:t>（</w:t>
                  </w:r>
                  <w:r>
                    <w:rPr>
                      <w:b/>
                      <w:bCs/>
                      <w:color w:val="000000" w:themeColor="text1"/>
                      <w:sz w:val="21"/>
                      <w:szCs w:val="21"/>
                    </w:rPr>
                    <w:t>mg/L</w:t>
                  </w:r>
                  <w:r>
                    <w:rPr>
                      <w:rFonts w:hint="eastAsia" w:hAnsi="宋体"/>
                      <w:b/>
                      <w:bCs/>
                      <w:color w:val="000000" w:themeColor="text1"/>
                      <w:sz w:val="21"/>
                      <w:szCs w:val="21"/>
                    </w:rPr>
                    <w:t>）</w:t>
                  </w:r>
                </w:p>
              </w:tc>
              <w:tc>
                <w:tcPr>
                  <w:tcW w:w="1050" w:type="dxa"/>
                  <w:tcBorders>
                    <w:tl2br w:val="nil"/>
                    <w:tr2bl w:val="nil"/>
                  </w:tcBorders>
                  <w:noWrap w:val="0"/>
                  <w:vAlign w:val="center"/>
                </w:tcPr>
                <w:p w14:paraId="008CD9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lang w:val="en-US" w:eastAsia="zh-CN"/>
                    </w:rPr>
                    <w:t>新增</w:t>
                  </w:r>
                  <w:r>
                    <w:rPr>
                      <w:rFonts w:hint="eastAsia" w:hAnsi="宋体"/>
                      <w:b/>
                      <w:bCs/>
                      <w:color w:val="000000" w:themeColor="text1"/>
                      <w:sz w:val="21"/>
                      <w:szCs w:val="21"/>
                    </w:rPr>
                    <w:t>日排放量</w:t>
                  </w:r>
                  <w:r>
                    <w:rPr>
                      <w:b/>
                      <w:bCs/>
                      <w:color w:val="000000" w:themeColor="text1"/>
                      <w:sz w:val="21"/>
                      <w:szCs w:val="21"/>
                    </w:rPr>
                    <w:t>/</w:t>
                  </w:r>
                  <w:r>
                    <w:rPr>
                      <w:rFonts w:hint="eastAsia" w:hAnsi="宋体"/>
                      <w:b/>
                      <w:bCs/>
                      <w:color w:val="000000" w:themeColor="text1"/>
                      <w:sz w:val="21"/>
                      <w:szCs w:val="21"/>
                    </w:rPr>
                    <w:t>（</w:t>
                  </w:r>
                  <w:r>
                    <w:rPr>
                      <w:b/>
                      <w:bCs/>
                      <w:color w:val="000000" w:themeColor="text1"/>
                      <w:sz w:val="21"/>
                      <w:szCs w:val="21"/>
                    </w:rPr>
                    <w:t>kg/d</w:t>
                  </w:r>
                  <w:r>
                    <w:rPr>
                      <w:rFonts w:hint="eastAsia" w:hAnsi="宋体"/>
                      <w:b/>
                      <w:bCs/>
                      <w:color w:val="000000" w:themeColor="text1"/>
                      <w:sz w:val="21"/>
                      <w:szCs w:val="21"/>
                    </w:rPr>
                    <w:t>）</w:t>
                  </w:r>
                </w:p>
              </w:tc>
              <w:tc>
                <w:tcPr>
                  <w:tcW w:w="1086" w:type="dxa"/>
                  <w:tcBorders>
                    <w:tl2br w:val="nil"/>
                    <w:tr2bl w:val="nil"/>
                  </w:tcBorders>
                  <w:noWrap w:val="0"/>
                  <w:vAlign w:val="center"/>
                </w:tcPr>
                <w:p w14:paraId="31FD64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b/>
                      <w:bCs/>
                      <w:color w:val="000000" w:themeColor="text1"/>
                      <w:sz w:val="21"/>
                      <w:szCs w:val="21"/>
                    </w:rPr>
                  </w:pPr>
                  <w:r>
                    <w:rPr>
                      <w:rFonts w:hint="eastAsia" w:hAnsi="宋体"/>
                      <w:b/>
                      <w:bCs/>
                      <w:color w:val="000000" w:themeColor="text1"/>
                      <w:sz w:val="21"/>
                      <w:szCs w:val="21"/>
                      <w:lang w:val="en-US" w:eastAsia="zh-CN"/>
                    </w:rPr>
                    <w:t>全厂</w:t>
                  </w:r>
                  <w:r>
                    <w:rPr>
                      <w:rFonts w:hint="eastAsia" w:hAnsi="宋体"/>
                      <w:b/>
                      <w:bCs/>
                      <w:color w:val="000000" w:themeColor="text1"/>
                      <w:sz w:val="21"/>
                      <w:szCs w:val="21"/>
                    </w:rPr>
                    <w:t>日排放量</w:t>
                  </w:r>
                  <w:r>
                    <w:rPr>
                      <w:b/>
                      <w:bCs/>
                      <w:color w:val="000000" w:themeColor="text1"/>
                      <w:sz w:val="21"/>
                      <w:szCs w:val="21"/>
                    </w:rPr>
                    <w:t>/</w:t>
                  </w:r>
                  <w:r>
                    <w:rPr>
                      <w:rFonts w:hint="eastAsia" w:hAnsi="宋体"/>
                      <w:b/>
                      <w:bCs/>
                      <w:color w:val="000000" w:themeColor="text1"/>
                      <w:sz w:val="21"/>
                      <w:szCs w:val="21"/>
                    </w:rPr>
                    <w:t>（</w:t>
                  </w:r>
                  <w:r>
                    <w:rPr>
                      <w:b/>
                      <w:bCs/>
                      <w:color w:val="000000" w:themeColor="text1"/>
                      <w:sz w:val="21"/>
                      <w:szCs w:val="21"/>
                    </w:rPr>
                    <w:t>kg/d</w:t>
                  </w:r>
                  <w:r>
                    <w:rPr>
                      <w:rFonts w:hint="eastAsia" w:hAnsi="宋体"/>
                      <w:b/>
                      <w:bCs/>
                      <w:color w:val="000000" w:themeColor="text1"/>
                      <w:sz w:val="21"/>
                      <w:szCs w:val="21"/>
                    </w:rPr>
                    <w:t>）</w:t>
                  </w:r>
                </w:p>
              </w:tc>
              <w:tc>
                <w:tcPr>
                  <w:tcW w:w="1112" w:type="dxa"/>
                  <w:tcBorders>
                    <w:tl2br w:val="nil"/>
                    <w:tr2bl w:val="nil"/>
                  </w:tcBorders>
                  <w:noWrap w:val="0"/>
                  <w:vAlign w:val="center"/>
                </w:tcPr>
                <w:p w14:paraId="69B144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hAnsi="宋体"/>
                      <w:b/>
                      <w:bCs/>
                      <w:color w:val="000000" w:themeColor="text1"/>
                      <w:sz w:val="21"/>
                      <w:szCs w:val="21"/>
                    </w:rPr>
                  </w:pPr>
                  <w:r>
                    <w:rPr>
                      <w:rFonts w:hint="eastAsia" w:hAnsi="宋体"/>
                      <w:b/>
                      <w:bCs/>
                      <w:color w:val="000000" w:themeColor="text1"/>
                      <w:sz w:val="21"/>
                      <w:szCs w:val="21"/>
                      <w:lang w:val="en-US" w:eastAsia="zh-CN"/>
                    </w:rPr>
                    <w:t>新增</w:t>
                  </w:r>
                  <w:r>
                    <w:rPr>
                      <w:rFonts w:hint="eastAsia" w:hAnsi="宋体"/>
                      <w:b/>
                      <w:bCs/>
                      <w:color w:val="000000" w:themeColor="text1"/>
                      <w:sz w:val="21"/>
                      <w:szCs w:val="21"/>
                    </w:rPr>
                    <w:t>年排放量</w:t>
                  </w:r>
                  <w:r>
                    <w:rPr>
                      <w:b/>
                      <w:bCs/>
                      <w:color w:val="000000" w:themeColor="text1"/>
                      <w:sz w:val="21"/>
                      <w:szCs w:val="21"/>
                    </w:rPr>
                    <w:t>/</w:t>
                  </w:r>
                  <w:r>
                    <w:rPr>
                      <w:rFonts w:hint="eastAsia" w:hAnsi="宋体"/>
                      <w:b/>
                      <w:bCs/>
                      <w:color w:val="000000" w:themeColor="text1"/>
                      <w:sz w:val="21"/>
                      <w:szCs w:val="21"/>
                    </w:rPr>
                    <w:t>（</w:t>
                  </w:r>
                  <w:r>
                    <w:rPr>
                      <w:b/>
                      <w:bCs/>
                      <w:color w:val="000000" w:themeColor="text1"/>
                      <w:sz w:val="21"/>
                      <w:szCs w:val="21"/>
                    </w:rPr>
                    <w:t>t/a</w:t>
                  </w:r>
                  <w:r>
                    <w:rPr>
                      <w:rFonts w:hint="eastAsia" w:hAnsi="宋体"/>
                      <w:b/>
                      <w:bCs/>
                      <w:color w:val="000000" w:themeColor="text1"/>
                      <w:sz w:val="21"/>
                      <w:szCs w:val="21"/>
                    </w:rPr>
                    <w:t>）</w:t>
                  </w:r>
                </w:p>
              </w:tc>
              <w:tc>
                <w:tcPr>
                  <w:tcW w:w="1267" w:type="dxa"/>
                  <w:tcBorders>
                    <w:tl2br w:val="nil"/>
                    <w:tr2bl w:val="nil"/>
                  </w:tcBorders>
                  <w:noWrap w:val="0"/>
                  <w:vAlign w:val="center"/>
                </w:tcPr>
                <w:p w14:paraId="1BFCE0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b/>
                      <w:bCs/>
                      <w:color w:val="000000" w:themeColor="text1"/>
                      <w:sz w:val="21"/>
                      <w:szCs w:val="21"/>
                    </w:rPr>
                  </w:pPr>
                  <w:r>
                    <w:rPr>
                      <w:rFonts w:hint="eastAsia" w:hAnsi="宋体"/>
                      <w:b/>
                      <w:bCs/>
                      <w:color w:val="000000" w:themeColor="text1"/>
                      <w:sz w:val="21"/>
                      <w:szCs w:val="21"/>
                      <w:lang w:val="en-US" w:eastAsia="zh-CN"/>
                    </w:rPr>
                    <w:t>全厂</w:t>
                  </w:r>
                  <w:r>
                    <w:rPr>
                      <w:rFonts w:hint="eastAsia" w:hAnsi="宋体"/>
                      <w:b/>
                      <w:bCs/>
                      <w:color w:val="000000" w:themeColor="text1"/>
                      <w:sz w:val="21"/>
                      <w:szCs w:val="21"/>
                    </w:rPr>
                    <w:t>年排放量</w:t>
                  </w:r>
                  <w:r>
                    <w:rPr>
                      <w:b/>
                      <w:bCs/>
                      <w:color w:val="000000" w:themeColor="text1"/>
                      <w:sz w:val="21"/>
                      <w:szCs w:val="21"/>
                    </w:rPr>
                    <w:t>/</w:t>
                  </w:r>
                  <w:r>
                    <w:rPr>
                      <w:rFonts w:hint="eastAsia" w:hAnsi="宋体"/>
                      <w:b/>
                      <w:bCs/>
                      <w:color w:val="000000" w:themeColor="text1"/>
                      <w:sz w:val="21"/>
                      <w:szCs w:val="21"/>
                    </w:rPr>
                    <w:t>（</w:t>
                  </w:r>
                  <w:r>
                    <w:rPr>
                      <w:b/>
                      <w:bCs/>
                      <w:color w:val="000000" w:themeColor="text1"/>
                      <w:sz w:val="21"/>
                      <w:szCs w:val="21"/>
                    </w:rPr>
                    <w:t>t/a</w:t>
                  </w:r>
                  <w:r>
                    <w:rPr>
                      <w:rFonts w:hint="eastAsia" w:hAnsi="宋体"/>
                      <w:b/>
                      <w:bCs/>
                      <w:color w:val="000000" w:themeColor="text1"/>
                      <w:sz w:val="21"/>
                      <w:szCs w:val="21"/>
                    </w:rPr>
                    <w:t>）</w:t>
                  </w:r>
                </w:p>
              </w:tc>
            </w:tr>
            <w:tr w14:paraId="15D35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Merge w:val="restart"/>
                  <w:tcBorders>
                    <w:tl2br w:val="nil"/>
                    <w:tr2bl w:val="nil"/>
                  </w:tcBorders>
                  <w:noWrap w:val="0"/>
                  <w:vAlign w:val="center"/>
                </w:tcPr>
                <w:p w14:paraId="319B025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rPr>
                  </w:pPr>
                  <w:r>
                    <w:rPr>
                      <w:color w:val="000000" w:themeColor="text1"/>
                      <w:sz w:val="21"/>
                      <w:szCs w:val="21"/>
                    </w:rPr>
                    <w:t>1</w:t>
                  </w:r>
                </w:p>
              </w:tc>
              <w:tc>
                <w:tcPr>
                  <w:tcW w:w="984" w:type="dxa"/>
                  <w:vMerge w:val="restart"/>
                  <w:tcBorders>
                    <w:tl2br w:val="nil"/>
                    <w:tr2bl w:val="nil"/>
                  </w:tcBorders>
                  <w:noWrap w:val="0"/>
                  <w:vAlign w:val="center"/>
                </w:tcPr>
                <w:p w14:paraId="0E2D4E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rPr>
                  </w:pPr>
                  <w:r>
                    <w:rPr>
                      <w:rFonts w:hint="eastAsia" w:cs="Times New Roman"/>
                      <w:color w:val="000000" w:themeColor="text1"/>
                      <w:sz w:val="21"/>
                      <w:szCs w:val="21"/>
                      <w:lang w:val="en-US" w:eastAsia="zh-CN"/>
                    </w:rPr>
                    <w:t>DW001</w:t>
                  </w:r>
                </w:p>
              </w:tc>
              <w:tc>
                <w:tcPr>
                  <w:tcW w:w="945" w:type="dxa"/>
                  <w:tcBorders>
                    <w:tl2br w:val="nil"/>
                    <w:tr2bl w:val="nil"/>
                  </w:tcBorders>
                  <w:noWrap w:val="0"/>
                  <w:vAlign w:val="center"/>
                </w:tcPr>
                <w:p w14:paraId="7B99FAEC">
                  <w:pPr>
                    <w:pStyle w:val="171"/>
                    <w:rPr>
                      <w:color w:val="000000" w:themeColor="text1"/>
                      <w:kern w:val="0"/>
                      <w:sz w:val="21"/>
                      <w:szCs w:val="21"/>
                    </w:rPr>
                  </w:pPr>
                  <w:r>
                    <w:rPr>
                      <w:rFonts w:hint="eastAsia"/>
                      <w:color w:val="000000" w:themeColor="text1"/>
                      <w:sz w:val="21"/>
                      <w:szCs w:val="21"/>
                      <w:lang w:val="en-US" w:eastAsia="zh-CN"/>
                    </w:rPr>
                    <w:t>pH</w:t>
                  </w:r>
                </w:p>
              </w:tc>
              <w:tc>
                <w:tcPr>
                  <w:tcW w:w="1110" w:type="dxa"/>
                  <w:tcBorders>
                    <w:tl2br w:val="nil"/>
                    <w:tr2bl w:val="nil"/>
                  </w:tcBorders>
                  <w:noWrap w:val="0"/>
                  <w:vAlign w:val="center"/>
                </w:tcPr>
                <w:p w14:paraId="62636C89">
                  <w:pPr>
                    <w:pStyle w:val="171"/>
                    <w:rPr>
                      <w:color w:val="000000" w:themeColor="text1"/>
                      <w:sz w:val="21"/>
                      <w:szCs w:val="21"/>
                    </w:rPr>
                  </w:pPr>
                  <w:r>
                    <w:rPr>
                      <w:rFonts w:hint="eastAsia"/>
                      <w:color w:val="000000" w:themeColor="text1"/>
                      <w:sz w:val="21"/>
                      <w:szCs w:val="21"/>
                      <w:lang w:val="en-US" w:eastAsia="zh-CN"/>
                    </w:rPr>
                    <w:t>6</w:t>
                  </w:r>
                  <w:r>
                    <w:rPr>
                      <w:rFonts w:hint="default"/>
                      <w:color w:val="000000" w:themeColor="text1"/>
                      <w:sz w:val="21"/>
                      <w:szCs w:val="21"/>
                      <w:lang w:val="en-US" w:eastAsia="zh-CN"/>
                    </w:rPr>
                    <w:t>~</w:t>
                  </w:r>
                  <w:r>
                    <w:rPr>
                      <w:rFonts w:hint="eastAsia"/>
                      <w:color w:val="000000" w:themeColor="text1"/>
                      <w:sz w:val="21"/>
                      <w:szCs w:val="21"/>
                      <w:lang w:val="en-US" w:eastAsia="zh-CN"/>
                    </w:rPr>
                    <w:t>9</w:t>
                  </w:r>
                </w:p>
              </w:tc>
              <w:tc>
                <w:tcPr>
                  <w:tcW w:w="1050" w:type="dxa"/>
                  <w:tcBorders>
                    <w:tl2br w:val="nil"/>
                    <w:tr2bl w:val="nil"/>
                  </w:tcBorders>
                  <w:noWrap w:val="0"/>
                  <w:vAlign w:val="center"/>
                </w:tcPr>
                <w:p w14:paraId="3D5165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rPr>
                  </w:pPr>
                  <w:r>
                    <w:rPr>
                      <w:color w:val="000000" w:themeColor="text1"/>
                      <w:kern w:val="0"/>
                      <w:sz w:val="21"/>
                      <w:szCs w:val="21"/>
                    </w:rPr>
                    <w:t>/</w:t>
                  </w:r>
                </w:p>
              </w:tc>
              <w:tc>
                <w:tcPr>
                  <w:tcW w:w="1086" w:type="dxa"/>
                  <w:tcBorders>
                    <w:tl2br w:val="nil"/>
                    <w:tr2bl w:val="nil"/>
                  </w:tcBorders>
                  <w:noWrap w:val="0"/>
                  <w:vAlign w:val="center"/>
                </w:tcPr>
                <w:p w14:paraId="70BB13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000000" w:themeColor="text1"/>
                      <w:kern w:val="0"/>
                      <w:sz w:val="21"/>
                      <w:szCs w:val="21"/>
                      <w:lang w:val="en-US" w:eastAsia="zh-CN"/>
                    </w:rPr>
                  </w:pPr>
                  <w:r>
                    <w:rPr>
                      <w:rFonts w:hint="eastAsia"/>
                      <w:color w:val="000000" w:themeColor="text1"/>
                      <w:kern w:val="0"/>
                      <w:sz w:val="21"/>
                      <w:szCs w:val="21"/>
                      <w:lang w:val="en-US" w:eastAsia="zh-CN"/>
                    </w:rPr>
                    <w:t>/</w:t>
                  </w:r>
                </w:p>
              </w:tc>
              <w:tc>
                <w:tcPr>
                  <w:tcW w:w="1112" w:type="dxa"/>
                  <w:tcBorders>
                    <w:tl2br w:val="nil"/>
                    <w:tr2bl w:val="nil"/>
                  </w:tcBorders>
                  <w:noWrap w:val="0"/>
                  <w:vAlign w:val="center"/>
                </w:tcPr>
                <w:p w14:paraId="67DFFC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kern w:val="0"/>
                      <w:sz w:val="21"/>
                      <w:szCs w:val="21"/>
                    </w:rPr>
                  </w:pPr>
                  <w:r>
                    <w:rPr>
                      <w:color w:val="000000" w:themeColor="text1"/>
                      <w:sz w:val="21"/>
                      <w:szCs w:val="21"/>
                    </w:rPr>
                    <w:t>/</w:t>
                  </w:r>
                </w:p>
              </w:tc>
              <w:tc>
                <w:tcPr>
                  <w:tcW w:w="1267" w:type="dxa"/>
                  <w:tcBorders>
                    <w:tl2br w:val="nil"/>
                    <w:tr2bl w:val="nil"/>
                  </w:tcBorders>
                  <w:noWrap w:val="0"/>
                  <w:vAlign w:val="center"/>
                </w:tcPr>
                <w:p w14:paraId="3743400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rPr>
                  </w:pPr>
                  <w:r>
                    <w:rPr>
                      <w:color w:val="000000" w:themeColor="text1"/>
                      <w:sz w:val="21"/>
                      <w:szCs w:val="21"/>
                    </w:rPr>
                    <w:t>/</w:t>
                  </w:r>
                </w:p>
              </w:tc>
            </w:tr>
            <w:tr w14:paraId="02E30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Merge w:val="continue"/>
                  <w:tcBorders>
                    <w:tl2br w:val="nil"/>
                    <w:tr2bl w:val="nil"/>
                  </w:tcBorders>
                  <w:noWrap w:val="0"/>
                  <w:vAlign w:val="center"/>
                </w:tcPr>
                <w:p w14:paraId="680F0B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84" w:type="dxa"/>
                  <w:vMerge w:val="continue"/>
                  <w:tcBorders>
                    <w:tl2br w:val="nil"/>
                    <w:tr2bl w:val="nil"/>
                  </w:tcBorders>
                  <w:noWrap w:val="0"/>
                  <w:vAlign w:val="center"/>
                </w:tcPr>
                <w:p w14:paraId="1D9F08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45" w:type="dxa"/>
                  <w:tcBorders>
                    <w:tl2br w:val="nil"/>
                    <w:tr2bl w:val="nil"/>
                  </w:tcBorders>
                  <w:noWrap w:val="0"/>
                  <w:vAlign w:val="center"/>
                </w:tcPr>
                <w:p w14:paraId="063DEF1D">
                  <w:pPr>
                    <w:pStyle w:val="171"/>
                    <w:rPr>
                      <w:color w:val="000000" w:themeColor="text1"/>
                      <w:kern w:val="0"/>
                      <w:sz w:val="21"/>
                      <w:szCs w:val="21"/>
                    </w:rPr>
                  </w:pPr>
                  <w:r>
                    <w:rPr>
                      <w:rFonts w:hint="eastAsia"/>
                      <w:color w:val="000000" w:themeColor="text1"/>
                      <w:sz w:val="21"/>
                      <w:szCs w:val="21"/>
                    </w:rPr>
                    <w:t>C</w:t>
                  </w:r>
                  <w:r>
                    <w:rPr>
                      <w:color w:val="000000" w:themeColor="text1"/>
                      <w:sz w:val="21"/>
                      <w:szCs w:val="21"/>
                    </w:rPr>
                    <w:t>OD</w:t>
                  </w:r>
                </w:p>
              </w:tc>
              <w:tc>
                <w:tcPr>
                  <w:tcW w:w="1110" w:type="dxa"/>
                  <w:tcBorders>
                    <w:tl2br w:val="nil"/>
                    <w:tr2bl w:val="nil"/>
                  </w:tcBorders>
                  <w:noWrap w:val="0"/>
                  <w:vAlign w:val="center"/>
                </w:tcPr>
                <w:p w14:paraId="2D518668">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120</w:t>
                  </w:r>
                </w:p>
              </w:tc>
              <w:tc>
                <w:tcPr>
                  <w:tcW w:w="1050" w:type="dxa"/>
                  <w:tcBorders>
                    <w:tl2br w:val="nil"/>
                    <w:tr2bl w:val="nil"/>
                  </w:tcBorders>
                  <w:noWrap w:val="0"/>
                  <w:vAlign w:val="center"/>
                </w:tcPr>
                <w:p w14:paraId="77EA79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lang w:val="en-US" w:eastAsia="zh-CN"/>
                    </w:rPr>
                  </w:pPr>
                  <w:r>
                    <w:rPr>
                      <w:rFonts w:hint="eastAsia" w:eastAsia="等线" w:cs="Times New Roman"/>
                      <w:color w:val="000000" w:themeColor="text1"/>
                      <w:kern w:val="2"/>
                      <w:sz w:val="21"/>
                      <w:szCs w:val="21"/>
                      <w:lang w:val="en-US" w:eastAsia="zh-CN" w:bidi="ar-SA"/>
                    </w:rPr>
                    <w:t>0.053</w:t>
                  </w:r>
                </w:p>
              </w:tc>
              <w:tc>
                <w:tcPr>
                  <w:tcW w:w="1086" w:type="dxa"/>
                  <w:tcBorders>
                    <w:tl2br w:val="nil"/>
                    <w:tr2bl w:val="nil"/>
                  </w:tcBorders>
                  <w:noWrap w:val="0"/>
                  <w:vAlign w:val="center"/>
                </w:tcPr>
                <w:p w14:paraId="27918C3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等线" w:cs="Times New Roman"/>
                      <w:color w:val="000000" w:themeColor="text1"/>
                      <w:kern w:val="2"/>
                      <w:sz w:val="21"/>
                      <w:szCs w:val="21"/>
                      <w:lang w:val="en-US" w:eastAsia="zh-CN" w:bidi="ar-SA"/>
                    </w:rPr>
                  </w:pPr>
                  <w:r>
                    <w:rPr>
                      <w:rFonts w:hint="eastAsia" w:eastAsia="等线" w:cs="Times New Roman"/>
                      <w:color w:val="000000" w:themeColor="text1"/>
                      <w:kern w:val="2"/>
                      <w:sz w:val="21"/>
                      <w:szCs w:val="21"/>
                      <w:lang w:val="en-US" w:eastAsia="zh-CN" w:bidi="ar-SA"/>
                    </w:rPr>
                    <w:t>0.863</w:t>
                  </w:r>
                </w:p>
              </w:tc>
              <w:tc>
                <w:tcPr>
                  <w:tcW w:w="1112" w:type="dxa"/>
                  <w:tcBorders>
                    <w:tl2br w:val="nil"/>
                    <w:tr2bl w:val="nil"/>
                  </w:tcBorders>
                  <w:noWrap w:val="0"/>
                  <w:vAlign w:val="center"/>
                </w:tcPr>
                <w:p w14:paraId="2FC4E0F0">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0.016</w:t>
                  </w:r>
                </w:p>
              </w:tc>
              <w:tc>
                <w:tcPr>
                  <w:tcW w:w="1267" w:type="dxa"/>
                  <w:tcBorders>
                    <w:tl2br w:val="nil"/>
                    <w:tr2bl w:val="nil"/>
                  </w:tcBorders>
                  <w:noWrap w:val="0"/>
                  <w:vAlign w:val="center"/>
                </w:tcPr>
                <w:p w14:paraId="4558FA3C">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default"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0.259</w:t>
                  </w:r>
                </w:p>
              </w:tc>
            </w:tr>
            <w:tr w14:paraId="76C62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Merge w:val="continue"/>
                  <w:tcBorders>
                    <w:tl2br w:val="nil"/>
                    <w:tr2bl w:val="nil"/>
                  </w:tcBorders>
                  <w:noWrap w:val="0"/>
                  <w:vAlign w:val="center"/>
                </w:tcPr>
                <w:p w14:paraId="2766B7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84" w:type="dxa"/>
                  <w:vMerge w:val="continue"/>
                  <w:tcBorders>
                    <w:tl2br w:val="nil"/>
                    <w:tr2bl w:val="nil"/>
                  </w:tcBorders>
                  <w:noWrap w:val="0"/>
                  <w:vAlign w:val="center"/>
                </w:tcPr>
                <w:p w14:paraId="599FF7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45" w:type="dxa"/>
                  <w:tcBorders>
                    <w:tl2br w:val="nil"/>
                    <w:tr2bl w:val="nil"/>
                  </w:tcBorders>
                  <w:noWrap w:val="0"/>
                  <w:vAlign w:val="center"/>
                </w:tcPr>
                <w:p w14:paraId="22D48EBD">
                  <w:pPr>
                    <w:pStyle w:val="171"/>
                    <w:rPr>
                      <w:color w:val="000000" w:themeColor="text1"/>
                      <w:kern w:val="0"/>
                      <w:sz w:val="21"/>
                      <w:szCs w:val="21"/>
                    </w:rPr>
                  </w:pPr>
                  <w:r>
                    <w:rPr>
                      <w:rFonts w:hint="eastAsia"/>
                      <w:color w:val="000000" w:themeColor="text1"/>
                      <w:sz w:val="21"/>
                      <w:szCs w:val="21"/>
                    </w:rPr>
                    <w:t>B</w:t>
                  </w:r>
                  <w:r>
                    <w:rPr>
                      <w:color w:val="000000" w:themeColor="text1"/>
                      <w:sz w:val="21"/>
                      <w:szCs w:val="21"/>
                    </w:rPr>
                    <w:t>OD</w:t>
                  </w:r>
                  <w:r>
                    <w:rPr>
                      <w:color w:val="000000" w:themeColor="text1"/>
                      <w:sz w:val="21"/>
                      <w:szCs w:val="21"/>
                      <w:vertAlign w:val="subscript"/>
                    </w:rPr>
                    <w:t>5</w:t>
                  </w:r>
                </w:p>
              </w:tc>
              <w:tc>
                <w:tcPr>
                  <w:tcW w:w="1110" w:type="dxa"/>
                  <w:tcBorders>
                    <w:tl2br w:val="nil"/>
                    <w:tr2bl w:val="nil"/>
                  </w:tcBorders>
                  <w:noWrap w:val="0"/>
                  <w:vAlign w:val="center"/>
                </w:tcPr>
                <w:p w14:paraId="0131A417">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90</w:t>
                  </w:r>
                </w:p>
              </w:tc>
              <w:tc>
                <w:tcPr>
                  <w:tcW w:w="1050" w:type="dxa"/>
                  <w:tcBorders>
                    <w:tl2br w:val="nil"/>
                    <w:tr2bl w:val="nil"/>
                  </w:tcBorders>
                  <w:noWrap w:val="0"/>
                  <w:vAlign w:val="center"/>
                </w:tcPr>
                <w:p w14:paraId="1186A1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lang w:val="en-US" w:eastAsia="zh-CN"/>
                    </w:rPr>
                  </w:pPr>
                  <w:r>
                    <w:rPr>
                      <w:rFonts w:hint="eastAsia" w:eastAsia="等线" w:cs="Times New Roman"/>
                      <w:color w:val="000000" w:themeColor="text1"/>
                      <w:kern w:val="2"/>
                      <w:sz w:val="21"/>
                      <w:szCs w:val="21"/>
                      <w:lang w:val="en-US" w:eastAsia="zh-CN" w:bidi="ar-SA"/>
                    </w:rPr>
                    <w:t>0.040</w:t>
                  </w:r>
                </w:p>
              </w:tc>
              <w:tc>
                <w:tcPr>
                  <w:tcW w:w="1086" w:type="dxa"/>
                  <w:tcBorders>
                    <w:tl2br w:val="nil"/>
                    <w:tr2bl w:val="nil"/>
                  </w:tcBorders>
                  <w:noWrap w:val="0"/>
                  <w:vAlign w:val="center"/>
                </w:tcPr>
                <w:p w14:paraId="2218479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等线" w:cs="Times New Roman"/>
                      <w:color w:val="000000" w:themeColor="text1"/>
                      <w:kern w:val="2"/>
                      <w:sz w:val="21"/>
                      <w:szCs w:val="21"/>
                      <w:lang w:val="en-US" w:eastAsia="zh-CN" w:bidi="ar-SA"/>
                    </w:rPr>
                  </w:pPr>
                  <w:r>
                    <w:rPr>
                      <w:rFonts w:hint="eastAsia" w:eastAsia="等线" w:cs="Times New Roman"/>
                      <w:color w:val="000000" w:themeColor="text1"/>
                      <w:kern w:val="2"/>
                      <w:sz w:val="21"/>
                      <w:szCs w:val="21"/>
                      <w:lang w:val="en-US" w:eastAsia="zh-CN" w:bidi="ar-SA"/>
                    </w:rPr>
                    <w:t>0.647</w:t>
                  </w:r>
                </w:p>
              </w:tc>
              <w:tc>
                <w:tcPr>
                  <w:tcW w:w="1112" w:type="dxa"/>
                  <w:tcBorders>
                    <w:tl2br w:val="nil"/>
                    <w:tr2bl w:val="nil"/>
                  </w:tcBorders>
                  <w:noWrap w:val="0"/>
                  <w:vAlign w:val="center"/>
                </w:tcPr>
                <w:p w14:paraId="0D82A3C7">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0.012</w:t>
                  </w:r>
                </w:p>
              </w:tc>
              <w:tc>
                <w:tcPr>
                  <w:tcW w:w="1267" w:type="dxa"/>
                  <w:tcBorders>
                    <w:tl2br w:val="nil"/>
                    <w:tr2bl w:val="nil"/>
                  </w:tcBorders>
                  <w:noWrap w:val="0"/>
                  <w:vAlign w:val="center"/>
                </w:tcPr>
                <w:p w14:paraId="0C8664CD">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default"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0.194</w:t>
                  </w:r>
                </w:p>
              </w:tc>
            </w:tr>
            <w:tr w14:paraId="5AF5F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65" w:type="dxa"/>
                  <w:vMerge w:val="continue"/>
                  <w:tcBorders>
                    <w:tl2br w:val="nil"/>
                    <w:tr2bl w:val="nil"/>
                  </w:tcBorders>
                  <w:noWrap w:val="0"/>
                  <w:vAlign w:val="center"/>
                </w:tcPr>
                <w:p w14:paraId="414AA2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84" w:type="dxa"/>
                  <w:vMerge w:val="continue"/>
                  <w:tcBorders>
                    <w:tl2br w:val="nil"/>
                    <w:tr2bl w:val="nil"/>
                  </w:tcBorders>
                  <w:noWrap w:val="0"/>
                  <w:vAlign w:val="center"/>
                </w:tcPr>
                <w:p w14:paraId="2F88DF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945" w:type="dxa"/>
                  <w:tcBorders>
                    <w:tl2br w:val="nil"/>
                    <w:tr2bl w:val="nil"/>
                  </w:tcBorders>
                  <w:noWrap w:val="0"/>
                  <w:vAlign w:val="center"/>
                </w:tcPr>
                <w:p w14:paraId="23659F45">
                  <w:pPr>
                    <w:pStyle w:val="171"/>
                    <w:rPr>
                      <w:color w:val="000000" w:themeColor="text1"/>
                      <w:kern w:val="0"/>
                      <w:sz w:val="21"/>
                      <w:szCs w:val="21"/>
                    </w:rPr>
                  </w:pPr>
                  <w:r>
                    <w:rPr>
                      <w:rFonts w:hint="eastAsia"/>
                      <w:color w:val="000000" w:themeColor="text1"/>
                      <w:sz w:val="21"/>
                      <w:szCs w:val="21"/>
                      <w:lang w:val="en-US" w:eastAsia="zh-CN"/>
                    </w:rPr>
                    <w:t>SS</w:t>
                  </w:r>
                </w:p>
              </w:tc>
              <w:tc>
                <w:tcPr>
                  <w:tcW w:w="1110" w:type="dxa"/>
                  <w:tcBorders>
                    <w:tl2br w:val="nil"/>
                    <w:tr2bl w:val="nil"/>
                  </w:tcBorders>
                  <w:noWrap w:val="0"/>
                  <w:vAlign w:val="center"/>
                </w:tcPr>
                <w:p w14:paraId="4689EFF0">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50</w:t>
                  </w:r>
                </w:p>
              </w:tc>
              <w:tc>
                <w:tcPr>
                  <w:tcW w:w="1050" w:type="dxa"/>
                  <w:tcBorders>
                    <w:tl2br w:val="nil"/>
                    <w:tr2bl w:val="nil"/>
                  </w:tcBorders>
                  <w:noWrap w:val="0"/>
                  <w:vAlign w:val="center"/>
                </w:tcPr>
                <w:p w14:paraId="03DB5A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s="Times New Roman"/>
                      <w:color w:val="000000" w:themeColor="text1"/>
                      <w:sz w:val="21"/>
                      <w:szCs w:val="21"/>
                      <w:lang w:val="en-US" w:eastAsia="zh-CN"/>
                    </w:rPr>
                  </w:pPr>
                  <w:r>
                    <w:rPr>
                      <w:rFonts w:hint="eastAsia" w:eastAsia="等线" w:cs="Times New Roman"/>
                      <w:color w:val="000000" w:themeColor="text1"/>
                      <w:kern w:val="2"/>
                      <w:sz w:val="21"/>
                      <w:szCs w:val="21"/>
                      <w:lang w:val="en-US" w:eastAsia="zh-CN" w:bidi="ar-SA"/>
                    </w:rPr>
                    <w:t>0.023</w:t>
                  </w:r>
                </w:p>
              </w:tc>
              <w:tc>
                <w:tcPr>
                  <w:tcW w:w="1086" w:type="dxa"/>
                  <w:tcBorders>
                    <w:tl2br w:val="nil"/>
                    <w:tr2bl w:val="nil"/>
                  </w:tcBorders>
                  <w:noWrap w:val="0"/>
                  <w:vAlign w:val="center"/>
                </w:tcPr>
                <w:p w14:paraId="74A3B2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等线" w:cs="Times New Roman"/>
                      <w:color w:val="000000" w:themeColor="text1"/>
                      <w:kern w:val="2"/>
                      <w:sz w:val="21"/>
                      <w:szCs w:val="21"/>
                      <w:lang w:val="en-US" w:eastAsia="zh-CN" w:bidi="ar-SA"/>
                    </w:rPr>
                  </w:pPr>
                  <w:r>
                    <w:rPr>
                      <w:rFonts w:hint="eastAsia" w:eastAsia="等线" w:cs="Times New Roman"/>
                      <w:color w:val="000000" w:themeColor="text1"/>
                      <w:kern w:val="2"/>
                      <w:sz w:val="21"/>
                      <w:szCs w:val="21"/>
                      <w:lang w:val="en-US" w:eastAsia="zh-CN" w:bidi="ar-SA"/>
                    </w:rPr>
                    <w:t>0.360</w:t>
                  </w:r>
                </w:p>
              </w:tc>
              <w:tc>
                <w:tcPr>
                  <w:tcW w:w="1112" w:type="dxa"/>
                  <w:tcBorders>
                    <w:tl2br w:val="nil"/>
                    <w:tr2bl w:val="nil"/>
                  </w:tcBorders>
                  <w:noWrap w:val="0"/>
                  <w:vAlign w:val="center"/>
                </w:tcPr>
                <w:p w14:paraId="1C3B170C">
                  <w:pPr>
                    <w:pStyle w:val="171"/>
                    <w:rPr>
                      <w:rFonts w:hint="default" w:ascii="Times New Roman" w:hAnsi="Times New Roman"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0.007</w:t>
                  </w:r>
                </w:p>
              </w:tc>
              <w:tc>
                <w:tcPr>
                  <w:tcW w:w="1267" w:type="dxa"/>
                  <w:tcBorders>
                    <w:tl2br w:val="nil"/>
                    <w:tr2bl w:val="nil"/>
                  </w:tcBorders>
                  <w:shd w:val="clear" w:color="auto" w:fill="auto"/>
                  <w:noWrap w:val="0"/>
                  <w:vAlign w:val="center"/>
                </w:tcPr>
                <w:p w14:paraId="01B16AE7">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default" w:eastAsia="等线" w:cs="Times New Roman"/>
                      <w:color w:val="000000" w:themeColor="text1"/>
                      <w:sz w:val="21"/>
                      <w:szCs w:val="21"/>
                      <w:lang w:val="en-US" w:eastAsia="zh-CN"/>
                    </w:rPr>
                  </w:pPr>
                  <w:r>
                    <w:rPr>
                      <w:rFonts w:hint="eastAsia" w:eastAsia="等线" w:cs="Times New Roman"/>
                      <w:color w:val="000000" w:themeColor="text1"/>
                      <w:sz w:val="21"/>
                      <w:szCs w:val="21"/>
                      <w:lang w:val="en-US" w:eastAsia="zh-CN"/>
                    </w:rPr>
                    <w:t>0.108</w:t>
                  </w:r>
                </w:p>
              </w:tc>
            </w:tr>
            <w:tr w14:paraId="45C05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gridSpan w:val="2"/>
                  <w:vMerge w:val="restart"/>
                  <w:tcBorders>
                    <w:tl2br w:val="nil"/>
                    <w:tr2bl w:val="nil"/>
                  </w:tcBorders>
                  <w:noWrap w:val="0"/>
                  <w:vAlign w:val="center"/>
                </w:tcPr>
                <w:p w14:paraId="14D7CFB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highlight w:val="yellow"/>
                    </w:rPr>
                  </w:pPr>
                  <w:r>
                    <w:rPr>
                      <w:rFonts w:hint="eastAsia" w:hAnsi="宋体"/>
                      <w:color w:val="000000" w:themeColor="text1"/>
                      <w:sz w:val="21"/>
                      <w:szCs w:val="21"/>
                    </w:rPr>
                    <w:t>全厂排放口合计</w:t>
                  </w:r>
                </w:p>
              </w:tc>
              <w:tc>
                <w:tcPr>
                  <w:tcW w:w="5303" w:type="dxa"/>
                  <w:gridSpan w:val="5"/>
                  <w:tcBorders>
                    <w:tl2br w:val="nil"/>
                    <w:tr2bl w:val="nil"/>
                  </w:tcBorders>
                  <w:noWrap w:val="0"/>
                  <w:vAlign w:val="center"/>
                </w:tcPr>
                <w:p w14:paraId="09F5AE35">
                  <w:pPr>
                    <w:pStyle w:val="171"/>
                    <w:rPr>
                      <w:color w:val="000000" w:themeColor="text1"/>
                      <w:kern w:val="0"/>
                      <w:sz w:val="21"/>
                      <w:szCs w:val="21"/>
                    </w:rPr>
                  </w:pPr>
                  <w:r>
                    <w:rPr>
                      <w:rFonts w:hint="eastAsia"/>
                      <w:color w:val="000000" w:themeColor="text1"/>
                      <w:lang w:val="en-US" w:eastAsia="zh-CN"/>
                    </w:rPr>
                    <w:t>pH</w:t>
                  </w:r>
                </w:p>
              </w:tc>
              <w:tc>
                <w:tcPr>
                  <w:tcW w:w="1267" w:type="dxa"/>
                  <w:tcBorders>
                    <w:tl2br w:val="nil"/>
                    <w:tr2bl w:val="nil"/>
                  </w:tcBorders>
                  <w:noWrap w:val="0"/>
                  <w:vAlign w:val="center"/>
                </w:tcPr>
                <w:p w14:paraId="3719523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color w:val="000000" w:themeColor="text1"/>
                      <w:sz w:val="21"/>
                      <w:szCs w:val="21"/>
                    </w:rPr>
                  </w:pPr>
                  <w:r>
                    <w:rPr>
                      <w:color w:val="000000" w:themeColor="text1"/>
                      <w:sz w:val="21"/>
                      <w:szCs w:val="21"/>
                    </w:rPr>
                    <w:t>/</w:t>
                  </w:r>
                </w:p>
              </w:tc>
            </w:tr>
            <w:tr w14:paraId="7B458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gridSpan w:val="2"/>
                  <w:vMerge w:val="continue"/>
                  <w:tcBorders>
                    <w:tl2br w:val="nil"/>
                    <w:tr2bl w:val="nil"/>
                  </w:tcBorders>
                  <w:noWrap w:val="0"/>
                  <w:vAlign w:val="center"/>
                </w:tcPr>
                <w:p w14:paraId="2D16FF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5303" w:type="dxa"/>
                  <w:gridSpan w:val="5"/>
                  <w:tcBorders>
                    <w:tl2br w:val="nil"/>
                    <w:tr2bl w:val="nil"/>
                  </w:tcBorders>
                  <w:noWrap w:val="0"/>
                  <w:vAlign w:val="center"/>
                </w:tcPr>
                <w:p w14:paraId="69DC854F">
                  <w:pPr>
                    <w:pStyle w:val="171"/>
                    <w:rPr>
                      <w:color w:val="000000" w:themeColor="text1"/>
                      <w:kern w:val="0"/>
                      <w:sz w:val="21"/>
                      <w:szCs w:val="21"/>
                    </w:rPr>
                  </w:pPr>
                  <w:r>
                    <w:rPr>
                      <w:rFonts w:hint="eastAsia"/>
                      <w:color w:val="000000" w:themeColor="text1"/>
                    </w:rPr>
                    <w:t>C</w:t>
                  </w:r>
                  <w:r>
                    <w:rPr>
                      <w:color w:val="000000" w:themeColor="text1"/>
                    </w:rPr>
                    <w:t>OD</w:t>
                  </w:r>
                </w:p>
              </w:tc>
              <w:tc>
                <w:tcPr>
                  <w:tcW w:w="1267" w:type="dxa"/>
                  <w:tcBorders>
                    <w:tl2br w:val="nil"/>
                    <w:tr2bl w:val="nil"/>
                  </w:tcBorders>
                  <w:noWrap w:val="0"/>
                  <w:vAlign w:val="center"/>
                </w:tcPr>
                <w:p w14:paraId="5F7344A6">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000000" w:themeColor="text1"/>
                      <w:sz w:val="21"/>
                      <w:szCs w:val="21"/>
                    </w:rPr>
                  </w:pPr>
                  <w:r>
                    <w:rPr>
                      <w:rFonts w:hint="eastAsia" w:eastAsia="等线" w:cs="Times New Roman"/>
                      <w:color w:val="000000" w:themeColor="text1"/>
                      <w:sz w:val="21"/>
                      <w:szCs w:val="21"/>
                      <w:lang w:val="en-US" w:eastAsia="zh-CN"/>
                    </w:rPr>
                    <w:t>0.259</w:t>
                  </w:r>
                </w:p>
              </w:tc>
            </w:tr>
            <w:tr w14:paraId="28265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gridSpan w:val="2"/>
                  <w:vMerge w:val="continue"/>
                  <w:tcBorders>
                    <w:tl2br w:val="nil"/>
                    <w:tr2bl w:val="nil"/>
                  </w:tcBorders>
                  <w:noWrap w:val="0"/>
                  <w:vAlign w:val="center"/>
                </w:tcPr>
                <w:p w14:paraId="2E31F4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5303" w:type="dxa"/>
                  <w:gridSpan w:val="5"/>
                  <w:tcBorders>
                    <w:tl2br w:val="nil"/>
                    <w:tr2bl w:val="nil"/>
                  </w:tcBorders>
                  <w:noWrap w:val="0"/>
                  <w:vAlign w:val="center"/>
                </w:tcPr>
                <w:p w14:paraId="2A514EEF">
                  <w:pPr>
                    <w:pStyle w:val="171"/>
                    <w:rPr>
                      <w:color w:val="000000" w:themeColor="text1"/>
                      <w:kern w:val="0"/>
                      <w:sz w:val="21"/>
                      <w:szCs w:val="21"/>
                    </w:rPr>
                  </w:pPr>
                  <w:r>
                    <w:rPr>
                      <w:rFonts w:hint="eastAsia"/>
                      <w:color w:val="000000" w:themeColor="text1"/>
                    </w:rPr>
                    <w:t>B</w:t>
                  </w:r>
                  <w:r>
                    <w:rPr>
                      <w:color w:val="000000" w:themeColor="text1"/>
                    </w:rPr>
                    <w:t>OD</w:t>
                  </w:r>
                  <w:r>
                    <w:rPr>
                      <w:color w:val="000000" w:themeColor="text1"/>
                      <w:vertAlign w:val="subscript"/>
                    </w:rPr>
                    <w:t>5</w:t>
                  </w:r>
                </w:p>
              </w:tc>
              <w:tc>
                <w:tcPr>
                  <w:tcW w:w="1267" w:type="dxa"/>
                  <w:tcBorders>
                    <w:tl2br w:val="nil"/>
                    <w:tr2bl w:val="nil"/>
                  </w:tcBorders>
                  <w:noWrap w:val="0"/>
                  <w:vAlign w:val="center"/>
                </w:tcPr>
                <w:p w14:paraId="3BA0D1AC">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000000" w:themeColor="text1"/>
                      <w:sz w:val="21"/>
                      <w:szCs w:val="21"/>
                    </w:rPr>
                  </w:pPr>
                  <w:r>
                    <w:rPr>
                      <w:rFonts w:hint="eastAsia" w:eastAsia="等线" w:cs="Times New Roman"/>
                      <w:color w:val="000000" w:themeColor="text1"/>
                      <w:sz w:val="21"/>
                      <w:szCs w:val="21"/>
                      <w:lang w:val="en-US" w:eastAsia="zh-CN"/>
                    </w:rPr>
                    <w:t>0.194</w:t>
                  </w:r>
                </w:p>
              </w:tc>
            </w:tr>
            <w:tr w14:paraId="2D19B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9" w:type="dxa"/>
                  <w:gridSpan w:val="2"/>
                  <w:vMerge w:val="continue"/>
                  <w:tcBorders>
                    <w:tl2br w:val="nil"/>
                    <w:tr2bl w:val="nil"/>
                  </w:tcBorders>
                  <w:noWrap w:val="0"/>
                  <w:vAlign w:val="center"/>
                </w:tcPr>
                <w:p w14:paraId="2A829B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color w:val="000000" w:themeColor="text1"/>
                      <w:sz w:val="21"/>
                      <w:szCs w:val="21"/>
                      <w:highlight w:val="yellow"/>
                    </w:rPr>
                  </w:pPr>
                </w:p>
              </w:tc>
              <w:tc>
                <w:tcPr>
                  <w:tcW w:w="5303" w:type="dxa"/>
                  <w:gridSpan w:val="5"/>
                  <w:tcBorders>
                    <w:tl2br w:val="nil"/>
                    <w:tr2bl w:val="nil"/>
                  </w:tcBorders>
                  <w:noWrap w:val="0"/>
                  <w:vAlign w:val="center"/>
                </w:tcPr>
                <w:p w14:paraId="2BBA48B2">
                  <w:pPr>
                    <w:pStyle w:val="171"/>
                    <w:rPr>
                      <w:color w:val="000000" w:themeColor="text1"/>
                      <w:kern w:val="0"/>
                      <w:sz w:val="21"/>
                      <w:szCs w:val="21"/>
                    </w:rPr>
                  </w:pPr>
                  <w:r>
                    <w:rPr>
                      <w:rFonts w:hint="eastAsia"/>
                      <w:color w:val="000000" w:themeColor="text1"/>
                      <w:lang w:val="en-US" w:eastAsia="zh-CN"/>
                    </w:rPr>
                    <w:t>SS</w:t>
                  </w:r>
                </w:p>
              </w:tc>
              <w:tc>
                <w:tcPr>
                  <w:tcW w:w="1267" w:type="dxa"/>
                  <w:tcBorders>
                    <w:tl2br w:val="nil"/>
                    <w:tr2bl w:val="nil"/>
                  </w:tcBorders>
                  <w:noWrap w:val="0"/>
                  <w:vAlign w:val="center"/>
                </w:tcPr>
                <w:p w14:paraId="5CE39120">
                  <w:pPr>
                    <w:pStyle w:val="55"/>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firstLine="0" w:firstLineChars="0"/>
                    <w:textAlignment w:val="auto"/>
                    <w:rPr>
                      <w:rFonts w:hint="eastAsia"/>
                      <w:color w:val="000000" w:themeColor="text1"/>
                      <w:sz w:val="21"/>
                      <w:szCs w:val="21"/>
                    </w:rPr>
                  </w:pPr>
                  <w:r>
                    <w:rPr>
                      <w:rFonts w:hint="eastAsia" w:eastAsia="等线" w:cs="Times New Roman"/>
                      <w:color w:val="000000" w:themeColor="text1"/>
                      <w:sz w:val="21"/>
                      <w:szCs w:val="21"/>
                      <w:lang w:val="en-US" w:eastAsia="zh-CN"/>
                    </w:rPr>
                    <w:t>0.108</w:t>
                  </w:r>
                </w:p>
              </w:tc>
            </w:tr>
          </w:tbl>
          <w:p w14:paraId="250F4C0C">
            <w:pPr>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eastAsia="宋体" w:cs="Times New Roman"/>
                <w:b/>
                <w:bCs/>
                <w:color w:val="000000" w:themeColor="text1"/>
                <w:sz w:val="21"/>
                <w:szCs w:val="21"/>
                <w:lang w:val="en-US" w:eastAsia="zh-CN"/>
              </w:rPr>
            </w:pPr>
            <w:r>
              <w:rPr>
                <w:rFonts w:hint="eastAsia" w:cs="Times New Roman"/>
                <w:b/>
                <w:bCs/>
                <w:color w:val="000000" w:themeColor="text1"/>
                <w:sz w:val="21"/>
                <w:szCs w:val="21"/>
                <w:lang w:val="en-US" w:eastAsia="zh-CN"/>
              </w:rPr>
              <w:t>注：废水统计为厂区废水排放口数据</w:t>
            </w:r>
          </w:p>
          <w:p w14:paraId="6B41B7FE">
            <w:pPr>
              <w:keepNext w:val="0"/>
              <w:keepLines w:val="0"/>
              <w:pageBreakBefore w:val="0"/>
              <w:widowControl w:val="0"/>
              <w:kinsoku/>
              <w:wordWrap/>
              <w:overflowPunct/>
              <w:topLinePunct w:val="0"/>
              <w:autoSpaceDE/>
              <w:autoSpaceDN/>
              <w:bidi w:val="0"/>
              <w:adjustRightInd/>
              <w:snapToGrid w:val="0"/>
              <w:ind w:firstLine="482"/>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1.4、</w:t>
            </w:r>
            <w:r>
              <w:rPr>
                <w:rFonts w:hint="default" w:ascii="Times New Roman" w:hAnsi="Times New Roman" w:eastAsia="宋体" w:cs="Times New Roman"/>
                <w:b/>
                <w:color w:val="000000" w:themeColor="text1"/>
              </w:rPr>
              <w:t>废水达标性分析</w:t>
            </w:r>
          </w:p>
          <w:p w14:paraId="6D3124A1">
            <w:pPr>
              <w:adjustRightInd w:val="0"/>
              <w:snapToGrid w:val="0"/>
              <w:ind w:firstLine="480"/>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本项目</w:t>
            </w:r>
            <w:r>
              <w:rPr>
                <w:rFonts w:hint="eastAsia" w:cs="Times New Roman"/>
                <w:bCs/>
                <w:color w:val="000000" w:themeColor="text1"/>
                <w:lang w:val="en-US" w:eastAsia="zh-CN"/>
              </w:rPr>
              <w:t>废水为地面清洗水，其</w:t>
            </w:r>
            <w:r>
              <w:rPr>
                <w:rFonts w:hint="default" w:ascii="Times New Roman" w:hAnsi="Times New Roman" w:eastAsia="宋体" w:cs="Times New Roman"/>
                <w:bCs/>
                <w:color w:val="000000" w:themeColor="text1"/>
              </w:rPr>
              <w:t>中污染物成分主要为</w:t>
            </w:r>
            <w:r>
              <w:rPr>
                <w:rFonts w:hint="eastAsia" w:cs="Times New Roman"/>
                <w:bCs/>
                <w:color w:val="000000" w:themeColor="text1"/>
                <w:lang w:val="en-US" w:eastAsia="zh-CN"/>
              </w:rPr>
              <w:t>pH、</w:t>
            </w:r>
            <w:r>
              <w:rPr>
                <w:rFonts w:hint="default" w:ascii="Times New Roman" w:hAnsi="Times New Roman" w:eastAsia="宋体" w:cs="Times New Roman"/>
                <w:bCs/>
                <w:color w:val="000000" w:themeColor="text1"/>
              </w:rPr>
              <w:t>COD</w:t>
            </w:r>
            <w:r>
              <w:rPr>
                <w:rFonts w:hint="default" w:ascii="Times New Roman" w:hAnsi="Times New Roman" w:eastAsia="宋体" w:cs="Times New Roman"/>
                <w:bCs/>
                <w:color w:val="000000" w:themeColor="text1"/>
                <w:vertAlign w:val="subscript"/>
              </w:rPr>
              <w:t>cr</w:t>
            </w:r>
            <w:r>
              <w:rPr>
                <w:rFonts w:hint="default" w:ascii="Times New Roman" w:hAnsi="Times New Roman" w:eastAsia="宋体" w:cs="Times New Roman"/>
                <w:bCs/>
                <w:color w:val="000000" w:themeColor="text1"/>
              </w:rPr>
              <w:t>、</w:t>
            </w:r>
            <w:r>
              <w:rPr>
                <w:rFonts w:hint="eastAsia" w:cs="Times New Roman"/>
                <w:bCs/>
                <w:color w:val="000000" w:themeColor="text1"/>
                <w:lang w:val="en-US" w:eastAsia="zh-CN"/>
              </w:rPr>
              <w:t>BOD</w:t>
            </w:r>
            <w:r>
              <w:rPr>
                <w:rFonts w:hint="eastAsia" w:cs="Times New Roman"/>
                <w:bCs/>
                <w:color w:val="000000" w:themeColor="text1"/>
                <w:vertAlign w:val="subscript"/>
                <w:lang w:val="en-US" w:eastAsia="zh-CN"/>
              </w:rPr>
              <w:t>5</w:t>
            </w:r>
            <w:r>
              <w:rPr>
                <w:rFonts w:hint="default" w:ascii="Times New Roman" w:hAnsi="Times New Roman" w:eastAsia="宋体" w:cs="Times New Roman"/>
                <w:bCs/>
                <w:color w:val="000000" w:themeColor="text1"/>
              </w:rPr>
              <w:t>、SS。</w:t>
            </w:r>
            <w:r>
              <w:rPr>
                <w:rFonts w:hint="eastAsia" w:cs="Times New Roman"/>
                <w:bCs/>
                <w:color w:val="000000" w:themeColor="text1"/>
                <w:lang w:val="en-US" w:eastAsia="zh-CN"/>
              </w:rPr>
              <w:t>厂内化粪池处理达到</w:t>
            </w:r>
            <w:r>
              <w:rPr>
                <w:rFonts w:hint="default" w:ascii="Times New Roman" w:hAnsi="Times New Roman" w:cs="Times New Roman"/>
                <w:color w:val="000000" w:themeColor="text1"/>
                <w:sz w:val="24"/>
                <w:lang w:val="en-US" w:eastAsia="zh-CN"/>
              </w:rPr>
              <w:t>赤湖工业园污水处理厂</w:t>
            </w:r>
            <w:r>
              <w:rPr>
                <w:rFonts w:hint="eastAsia" w:ascii="Times New Roman" w:hAnsi="Times New Roman" w:cs="Times New Roman"/>
                <w:color w:val="000000" w:themeColor="text1"/>
                <w:sz w:val="24"/>
                <w:lang w:val="en-US" w:eastAsia="zh-CN"/>
              </w:rPr>
              <w:t>接管标准后经园区污水管网</w:t>
            </w:r>
            <w:r>
              <w:rPr>
                <w:rFonts w:hint="default" w:ascii="Times New Roman" w:hAnsi="Times New Roman" w:cs="Times New Roman"/>
                <w:color w:val="000000" w:themeColor="text1"/>
                <w:sz w:val="24"/>
                <w:lang w:val="en-US" w:eastAsia="zh-CN"/>
              </w:rPr>
              <w:t>送至赤湖工业园污水处理厂进行深度处理</w:t>
            </w:r>
            <w:r>
              <w:rPr>
                <w:rFonts w:hint="default" w:ascii="Times New Roman" w:hAnsi="Times New Roman" w:eastAsia="宋体" w:cs="Times New Roman"/>
                <w:color w:val="000000" w:themeColor="text1"/>
                <w:kern w:val="0"/>
                <w:sz w:val="24"/>
                <w:szCs w:val="24"/>
                <w:lang w:val="en-US" w:eastAsia="zh-CN" w:bidi="ar"/>
              </w:rPr>
              <w:t>。</w:t>
            </w:r>
            <w:r>
              <w:rPr>
                <w:rFonts w:hint="default" w:ascii="Times New Roman" w:hAnsi="Times New Roman" w:eastAsia="宋体" w:cs="Times New Roman"/>
                <w:color w:val="000000" w:themeColor="text1"/>
              </w:rPr>
              <w:t>经</w:t>
            </w:r>
            <w:r>
              <w:rPr>
                <w:rFonts w:hint="default" w:ascii="Times New Roman" w:hAnsi="Times New Roman" w:eastAsia="宋体" w:cs="Times New Roman"/>
                <w:color w:val="000000" w:themeColor="text1"/>
                <w:kern w:val="0"/>
                <w:sz w:val="24"/>
                <w:szCs w:val="24"/>
                <w:lang w:val="en-US" w:eastAsia="zh-CN" w:bidi="ar"/>
              </w:rPr>
              <w:t>赤湖工业园污水处理厂</w:t>
            </w:r>
            <w:r>
              <w:rPr>
                <w:rFonts w:hint="default" w:ascii="Times New Roman" w:hAnsi="Times New Roman" w:eastAsia="宋体" w:cs="Times New Roman"/>
                <w:color w:val="000000" w:themeColor="text1"/>
              </w:rPr>
              <w:t>进一步处理达标后，尾水排入</w:t>
            </w:r>
            <w:r>
              <w:rPr>
                <w:rFonts w:hint="eastAsia" w:cs="Times New Roman"/>
                <w:color w:val="000000" w:themeColor="text1"/>
                <w:lang w:val="en-US" w:eastAsia="zh-CN"/>
              </w:rPr>
              <w:t>长江</w:t>
            </w:r>
            <w:r>
              <w:rPr>
                <w:rFonts w:hint="default" w:ascii="Times New Roman" w:hAnsi="Times New Roman" w:eastAsia="宋体" w:cs="Times New Roman"/>
                <w:color w:val="000000" w:themeColor="text1"/>
              </w:rPr>
              <w:t>，</w:t>
            </w:r>
            <w:r>
              <w:rPr>
                <w:rFonts w:hint="default" w:ascii="Times New Roman" w:hAnsi="Times New Roman" w:eastAsia="宋体" w:cs="Times New Roman"/>
                <w:bCs/>
                <w:color w:val="000000" w:themeColor="text1"/>
              </w:rPr>
              <w:t>对周围环境影响不大。</w:t>
            </w:r>
          </w:p>
          <w:p w14:paraId="49AC8624">
            <w:pPr>
              <w:snapToGrid w:val="0"/>
              <w:spacing w:line="355" w:lineRule="auto"/>
              <w:ind w:firstLine="482"/>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1.5、污水处理可行性分析</w:t>
            </w:r>
          </w:p>
          <w:p w14:paraId="32AEAAD8">
            <w:pPr>
              <w:bidi w:val="0"/>
              <w:spacing w:line="360" w:lineRule="auto"/>
              <w:ind w:firstLine="480" w:firstLineChars="200"/>
              <w:rPr>
                <w:rFonts w:hint="default"/>
                <w:color w:val="000000" w:themeColor="text1"/>
                <w:sz w:val="24"/>
                <w:szCs w:val="32"/>
                <w:lang w:val="en-US" w:eastAsia="zh-CN"/>
              </w:rPr>
            </w:pPr>
            <w:r>
              <w:rPr>
                <w:rFonts w:hint="default"/>
                <w:color w:val="000000" w:themeColor="text1"/>
                <w:sz w:val="24"/>
                <w:szCs w:val="32"/>
                <w:lang w:val="en-US" w:eastAsia="zh-CN"/>
              </w:rPr>
              <w:t>（1）厂区污水处理设施可行性分析</w:t>
            </w:r>
          </w:p>
          <w:p w14:paraId="3B881F8F">
            <w:pPr>
              <w:bidi w:val="0"/>
              <w:spacing w:line="360" w:lineRule="auto"/>
              <w:ind w:firstLine="480" w:firstLineChars="200"/>
              <w:rPr>
                <w:rFonts w:hint="default"/>
                <w:color w:val="000000" w:themeColor="text1"/>
                <w:sz w:val="24"/>
                <w:szCs w:val="32"/>
                <w:lang w:val="en-US" w:eastAsia="zh-CN"/>
              </w:rPr>
            </w:pPr>
            <w:r>
              <w:rPr>
                <w:rFonts w:hint="default"/>
                <w:color w:val="000000" w:themeColor="text1"/>
                <w:sz w:val="24"/>
                <w:szCs w:val="32"/>
                <w:lang w:val="en-US" w:eastAsia="zh-CN"/>
              </w:rPr>
              <w:t>项目</w:t>
            </w:r>
            <w:r>
              <w:rPr>
                <w:rFonts w:hint="eastAsia"/>
                <w:color w:val="000000" w:themeColor="text1"/>
                <w:sz w:val="24"/>
                <w:szCs w:val="32"/>
                <w:lang w:val="en-US" w:eastAsia="zh-CN"/>
              </w:rPr>
              <w:t>废水</w:t>
            </w:r>
            <w:r>
              <w:rPr>
                <w:rFonts w:hint="default"/>
                <w:color w:val="000000" w:themeColor="text1"/>
                <w:sz w:val="24"/>
                <w:szCs w:val="32"/>
                <w:lang w:val="en-US" w:eastAsia="zh-CN"/>
              </w:rPr>
              <w:t>产生量很小，</w:t>
            </w:r>
            <w:r>
              <w:rPr>
                <w:rFonts w:hint="default" w:ascii="Times New Roman" w:hAnsi="Times New Roman" w:eastAsia="宋体" w:cs="Times New Roman"/>
                <w:color w:val="000000" w:themeColor="text1"/>
                <w:kern w:val="0"/>
                <w:sz w:val="24"/>
                <w:szCs w:val="24"/>
                <w:lang w:val="en-US" w:eastAsia="zh-CN" w:bidi="ar"/>
              </w:rPr>
              <w:t>约为</w:t>
            </w:r>
            <w:r>
              <w:rPr>
                <w:rFonts w:hint="eastAsia" w:cs="Times New Roman"/>
                <w:color w:val="000000" w:themeColor="text1"/>
                <w:kern w:val="0"/>
                <w:sz w:val="24"/>
                <w:szCs w:val="24"/>
                <w:lang w:val="en-US" w:eastAsia="zh-CN" w:bidi="ar"/>
              </w:rPr>
              <w:t>135</w:t>
            </w:r>
            <w:r>
              <w:rPr>
                <w:rFonts w:hint="default" w:ascii="Times New Roman" w:hAnsi="Times New Roman" w:eastAsia="宋体" w:cs="Times New Roman"/>
                <w:color w:val="000000" w:themeColor="text1"/>
                <w:kern w:val="0"/>
                <w:sz w:val="24"/>
                <w:szCs w:val="24"/>
                <w:lang w:val="en-US" w:eastAsia="zh-CN" w:bidi="ar"/>
              </w:rPr>
              <w:t>m</w:t>
            </w:r>
            <w:r>
              <w:rPr>
                <w:rFonts w:hint="default" w:ascii="Times New Roman" w:hAnsi="Times New Roman" w:eastAsia="宋体" w:cs="Times New Roman"/>
                <w:color w:val="000000" w:themeColor="text1"/>
                <w:kern w:val="0"/>
                <w:sz w:val="24"/>
                <w:szCs w:val="24"/>
                <w:vertAlign w:val="superscript"/>
                <w:lang w:val="en-US" w:eastAsia="zh-CN" w:bidi="ar"/>
              </w:rPr>
              <w:t>3</w:t>
            </w:r>
            <w:r>
              <w:rPr>
                <w:rFonts w:hint="default" w:ascii="Times New Roman" w:hAnsi="Times New Roman" w:eastAsia="宋体" w:cs="Times New Roman"/>
                <w:color w:val="000000" w:themeColor="text1"/>
                <w:kern w:val="0"/>
                <w:sz w:val="24"/>
                <w:szCs w:val="24"/>
                <w:lang w:val="en-US" w:eastAsia="zh-CN" w:bidi="ar"/>
              </w:rPr>
              <w:t>/a</w:t>
            </w:r>
            <w:r>
              <w:rPr>
                <w:rFonts w:hint="eastAsia" w:ascii="Times New Roman" w:hAnsi="Times New Roman"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0.45m</w:t>
            </w:r>
            <w:r>
              <w:rPr>
                <w:rFonts w:hint="eastAsia" w:cs="Times New Roman"/>
                <w:color w:val="000000" w:themeColor="text1"/>
                <w:kern w:val="0"/>
                <w:sz w:val="24"/>
                <w:szCs w:val="24"/>
                <w:vertAlign w:val="superscript"/>
                <w:lang w:val="en-US" w:eastAsia="zh-CN" w:bidi="ar"/>
              </w:rPr>
              <w:t>3</w:t>
            </w:r>
            <w:r>
              <w:rPr>
                <w:rFonts w:hint="eastAsia" w:cs="Times New Roman"/>
                <w:color w:val="000000" w:themeColor="text1"/>
                <w:kern w:val="0"/>
                <w:sz w:val="24"/>
                <w:szCs w:val="24"/>
                <w:lang w:val="en-US" w:eastAsia="zh-CN" w:bidi="ar"/>
              </w:rPr>
              <w:t>/d</w:t>
            </w:r>
            <w:r>
              <w:rPr>
                <w:rFonts w:hint="eastAsia" w:ascii="Times New Roman" w:hAnsi="Times New Roman" w:cs="Times New Roman"/>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w:t>
            </w:r>
            <w:r>
              <w:rPr>
                <w:rFonts w:hint="default"/>
                <w:color w:val="000000" w:themeColor="text1"/>
                <w:sz w:val="24"/>
                <w:szCs w:val="32"/>
                <w:lang w:val="en-US" w:eastAsia="zh-CN"/>
              </w:rPr>
              <w:t>主要污染因子为COD、BOD</w:t>
            </w:r>
            <w:r>
              <w:rPr>
                <w:rFonts w:hint="default"/>
                <w:color w:val="000000" w:themeColor="text1"/>
                <w:sz w:val="24"/>
                <w:szCs w:val="32"/>
                <w:vertAlign w:val="subscript"/>
                <w:lang w:val="en-US" w:eastAsia="zh-CN"/>
              </w:rPr>
              <w:t>5</w:t>
            </w:r>
            <w:r>
              <w:rPr>
                <w:rFonts w:hint="default"/>
                <w:color w:val="000000" w:themeColor="text1"/>
                <w:sz w:val="24"/>
                <w:szCs w:val="32"/>
                <w:lang w:val="en-US" w:eastAsia="zh-CN"/>
              </w:rPr>
              <w:t>、SS</w:t>
            </w:r>
            <w:r>
              <w:rPr>
                <w:rFonts w:hint="eastAsia"/>
                <w:color w:val="000000" w:themeColor="text1"/>
                <w:sz w:val="24"/>
                <w:szCs w:val="32"/>
                <w:lang w:val="en-US" w:eastAsia="zh-CN"/>
              </w:rPr>
              <w:t>等基本因子</w:t>
            </w:r>
            <w:r>
              <w:rPr>
                <w:rFonts w:hint="default"/>
                <w:color w:val="000000" w:themeColor="text1"/>
                <w:sz w:val="24"/>
                <w:szCs w:val="32"/>
                <w:lang w:val="en-US" w:eastAsia="zh-CN"/>
              </w:rPr>
              <w:t>。</w:t>
            </w:r>
            <w:r>
              <w:rPr>
                <w:rFonts w:hint="eastAsia"/>
                <w:color w:val="000000" w:themeColor="text1"/>
                <w:sz w:val="24"/>
                <w:szCs w:val="32"/>
                <w:lang w:val="en-US" w:eastAsia="zh-CN"/>
              </w:rPr>
              <w:t>化粪池有简单的生化处理能力，同时有沉淀作用，能够处理本项目废水</w:t>
            </w:r>
            <w:r>
              <w:rPr>
                <w:rFonts w:hint="eastAsia" w:cs="Times New Roman"/>
                <w:color w:val="000000" w:themeColor="text1"/>
                <w:kern w:val="0"/>
                <w:sz w:val="24"/>
                <w:szCs w:val="24"/>
                <w:lang w:val="en-US" w:eastAsia="zh-CN" w:bidi="ar"/>
              </w:rPr>
              <w:t>。</w:t>
            </w:r>
          </w:p>
          <w:p w14:paraId="0CEEA231">
            <w:pPr>
              <w:bidi w:val="0"/>
              <w:spacing w:line="360" w:lineRule="auto"/>
              <w:ind w:firstLine="480" w:firstLineChars="200"/>
              <w:rPr>
                <w:rFonts w:hint="default"/>
                <w:color w:val="000000" w:themeColor="text1"/>
                <w:sz w:val="24"/>
                <w:szCs w:val="32"/>
                <w:lang w:val="en-US" w:eastAsia="zh-CN"/>
              </w:rPr>
            </w:pPr>
            <w:r>
              <w:rPr>
                <w:rFonts w:hint="eastAsia"/>
                <w:color w:val="000000" w:themeColor="text1"/>
                <w:sz w:val="24"/>
                <w:szCs w:val="32"/>
                <w:lang w:val="en-US" w:eastAsia="zh-CN"/>
              </w:rPr>
              <w:t>（2）</w:t>
            </w:r>
            <w:r>
              <w:rPr>
                <w:rFonts w:hint="default"/>
                <w:color w:val="000000" w:themeColor="text1"/>
                <w:sz w:val="24"/>
                <w:szCs w:val="32"/>
                <w:lang w:val="en-US" w:eastAsia="zh-CN"/>
              </w:rPr>
              <w:t>委托污水处理可行性分析</w:t>
            </w:r>
          </w:p>
          <w:p w14:paraId="035E2DC8">
            <w:pPr>
              <w:keepNext w:val="0"/>
              <w:keepLines w:val="0"/>
              <w:pageBreakBefore w:val="0"/>
              <w:widowControl w:val="0"/>
              <w:kinsoku/>
              <w:wordWrap/>
              <w:overflowPunct/>
              <w:topLinePunct w:val="0"/>
              <w:autoSpaceDE/>
              <w:autoSpaceDN/>
              <w:bidi w:val="0"/>
              <w:adjustRightInd/>
              <w:snapToGrid/>
              <w:spacing w:line="360" w:lineRule="auto"/>
              <w:ind w:firstLine="504" w:firstLineChars="200"/>
              <w:textAlignment w:val="auto"/>
              <w:rPr>
                <w:rFonts w:hint="default"/>
                <w:color w:val="000000" w:themeColor="text1"/>
                <w:sz w:val="24"/>
                <w:szCs w:val="32"/>
                <w:lang w:val="en-US" w:eastAsia="zh-CN"/>
              </w:rPr>
            </w:pPr>
            <w:r>
              <w:rPr>
                <w:rFonts w:hint="eastAsia" w:ascii="Times New Roman" w:hAnsi="Times New Roman" w:eastAsia="宋体" w:cs="Times New Roman"/>
                <w:color w:val="000000" w:themeColor="text1"/>
                <w:spacing w:val="6"/>
                <w:sz w:val="24"/>
                <w:szCs w:val="24"/>
                <w:highlight w:val="none"/>
                <w:lang w:eastAsia="zh-CN"/>
              </w:rPr>
              <w:t>赤湖工业园污水处理厂位于</w:t>
            </w:r>
            <w:r>
              <w:rPr>
                <w:rFonts w:hint="eastAsia" w:ascii="Times New Roman" w:hAnsi="Times New Roman" w:eastAsia="宋体" w:cs="Times New Roman"/>
                <w:color w:val="000000" w:themeColor="text1"/>
                <w:spacing w:val="6"/>
                <w:sz w:val="24"/>
                <w:szCs w:val="24"/>
                <w:highlight w:val="none"/>
                <w:lang w:val="en-US" w:eastAsia="zh-CN"/>
              </w:rPr>
              <w:t>九江市</w:t>
            </w:r>
            <w:r>
              <w:rPr>
                <w:rFonts w:hint="eastAsia" w:ascii="Times New Roman" w:hAnsi="Times New Roman" w:eastAsia="宋体" w:cs="Times New Roman"/>
                <w:color w:val="000000" w:themeColor="text1"/>
                <w:spacing w:val="6"/>
                <w:sz w:val="24"/>
                <w:szCs w:val="24"/>
                <w:highlight w:val="none"/>
                <w:lang w:eastAsia="zh-CN"/>
              </w:rPr>
              <w:t>柴桑区赤湖工业园兴业大道18号，全厂占地52亩，目前建设规模污水处理量20000m</w:t>
            </w:r>
            <w:r>
              <w:rPr>
                <w:rFonts w:hint="eastAsia" w:ascii="Times New Roman" w:hAnsi="Times New Roman" w:eastAsia="宋体" w:cs="Times New Roman"/>
                <w:color w:val="000000" w:themeColor="text1"/>
                <w:spacing w:val="6"/>
                <w:sz w:val="24"/>
                <w:szCs w:val="24"/>
                <w:highlight w:val="none"/>
                <w:vertAlign w:val="superscript"/>
                <w:lang w:eastAsia="zh-CN"/>
              </w:rPr>
              <w:t>3</w:t>
            </w:r>
            <w:r>
              <w:rPr>
                <w:rFonts w:hint="eastAsia" w:ascii="Times New Roman" w:hAnsi="Times New Roman" w:eastAsia="宋体" w:cs="Times New Roman"/>
                <w:color w:val="000000" w:themeColor="text1"/>
                <w:spacing w:val="6"/>
                <w:sz w:val="24"/>
                <w:szCs w:val="24"/>
                <w:highlight w:val="none"/>
                <w:lang w:eastAsia="zh-CN"/>
              </w:rPr>
              <w:t>/d，实际进水量在8000m</w:t>
            </w:r>
            <w:r>
              <w:rPr>
                <w:rFonts w:hint="eastAsia" w:ascii="Times New Roman" w:hAnsi="Times New Roman" w:eastAsia="宋体" w:cs="Times New Roman"/>
                <w:color w:val="000000" w:themeColor="text1"/>
                <w:spacing w:val="6"/>
                <w:sz w:val="24"/>
                <w:szCs w:val="24"/>
                <w:highlight w:val="none"/>
                <w:vertAlign w:val="superscript"/>
                <w:lang w:eastAsia="zh-CN"/>
              </w:rPr>
              <w:t>3</w:t>
            </w:r>
            <w:r>
              <w:rPr>
                <w:rFonts w:hint="eastAsia" w:ascii="Times New Roman" w:hAnsi="Times New Roman" w:eastAsia="宋体" w:cs="Times New Roman"/>
                <w:color w:val="000000" w:themeColor="text1"/>
                <w:spacing w:val="6"/>
                <w:sz w:val="24"/>
                <w:szCs w:val="24"/>
                <w:highlight w:val="none"/>
                <w:lang w:eastAsia="zh-CN"/>
              </w:rPr>
              <w:t>/d左右，处理工艺为</w:t>
            </w:r>
            <w:r>
              <w:rPr>
                <w:rFonts w:hint="eastAsia" w:ascii="Times New Roman" w:hAnsi="Times New Roman" w:eastAsia="宋体" w:cs="Times New Roman"/>
                <w:color w:val="000000" w:themeColor="text1"/>
                <w:spacing w:val="6"/>
                <w:sz w:val="24"/>
                <w:szCs w:val="24"/>
                <w:highlight w:val="none"/>
                <w:lang w:val="en-US" w:eastAsia="zh-CN"/>
              </w:rPr>
              <w:t>格栅+曝气沉砂池+调节池+反应沉淀池+膜格栅+MBR+次氯酸钠消毒</w:t>
            </w:r>
            <w:r>
              <w:rPr>
                <w:rFonts w:hint="eastAsia" w:ascii="Times New Roman" w:hAnsi="Times New Roman" w:eastAsia="宋体" w:cs="Times New Roman"/>
                <w:color w:val="000000" w:themeColor="text1"/>
                <w:spacing w:val="6"/>
                <w:sz w:val="24"/>
                <w:szCs w:val="24"/>
                <w:highlight w:val="none"/>
                <w:lang w:eastAsia="zh-CN"/>
              </w:rPr>
              <w:t>，项目厂址污水管网已铺设完成，因此项目废水排入赤湖工业园污水处理厂可行。</w:t>
            </w:r>
            <w:r>
              <w:rPr>
                <w:rFonts w:hint="default"/>
                <w:color w:val="000000" w:themeColor="text1"/>
                <w:sz w:val="24"/>
                <w:szCs w:val="32"/>
                <w:lang w:val="en-US" w:eastAsia="zh-CN"/>
              </w:rPr>
              <w:t>尾水排放将满足《城镇污水处理厂污染物排放标准》（GB18918-2002）表1中</w:t>
            </w:r>
            <w:r>
              <w:rPr>
                <w:rFonts w:hint="eastAsia"/>
                <w:color w:val="000000" w:themeColor="text1"/>
                <w:sz w:val="24"/>
                <w:szCs w:val="32"/>
                <w:lang w:val="en-US" w:eastAsia="zh-CN"/>
              </w:rPr>
              <w:t>一级A</w:t>
            </w:r>
            <w:r>
              <w:rPr>
                <w:rFonts w:hint="default"/>
                <w:color w:val="000000" w:themeColor="text1"/>
                <w:sz w:val="24"/>
                <w:szCs w:val="32"/>
                <w:lang w:val="en-US" w:eastAsia="zh-CN"/>
              </w:rPr>
              <w:t>标准。</w:t>
            </w:r>
          </w:p>
          <w:p w14:paraId="2AAA5ADB">
            <w:pPr>
              <w:bidi w:val="0"/>
              <w:spacing w:line="360" w:lineRule="auto"/>
              <w:rPr>
                <w:rFonts w:hint="default"/>
                <w:b/>
                <w:bCs/>
                <w:color w:val="000000" w:themeColor="text1"/>
                <w:sz w:val="24"/>
                <w:szCs w:val="32"/>
                <w:lang w:val="en-US" w:eastAsia="zh-CN"/>
              </w:rPr>
            </w:pPr>
            <w:r>
              <w:rPr>
                <w:rFonts w:hint="default"/>
                <w:b/>
                <w:bCs/>
                <w:color w:val="000000" w:themeColor="text1"/>
                <w:sz w:val="24"/>
                <w:szCs w:val="32"/>
                <w:lang w:val="en-US" w:eastAsia="zh-CN"/>
              </w:rPr>
              <w:t>九江赤湖工业园污水处理厂处理流程：</w:t>
            </w:r>
          </w:p>
          <w:p w14:paraId="2E50F985">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color w:val="000000" w:themeColor="text1"/>
                <w:sz w:val="24"/>
                <w:szCs w:val="24"/>
                <w:lang w:eastAsia="zh-CN"/>
              </w:rPr>
            </w:pPr>
            <w:r>
              <w:rPr>
                <w:rFonts w:hint="default" w:ascii="Times New Roman" w:hAnsi="Times New Roman" w:eastAsia="仿宋" w:cs="Times New Roman"/>
                <w:color w:val="000000" w:themeColor="text1"/>
                <w:sz w:val="24"/>
                <w:szCs w:val="24"/>
                <w:lang w:eastAsia="zh-CN"/>
              </w:rPr>
              <w:object>
                <v:shape id="_x0000_i1038" o:spt="75" type="#_x0000_t75" style="height:194.15pt;width:387.6pt;" o:ole="t" filled="f" o:preferrelative="t" stroked="f" coordsize="21600,21600">
                  <v:path/>
                  <v:fill on="f" focussize="0,0"/>
                  <v:stroke on="f"/>
                  <v:imagedata r:id="rId45" o:title=""/>
                  <o:lock v:ext="edit" aspectratio="t"/>
                  <w10:wrap type="none"/>
                  <w10:anchorlock/>
                </v:shape>
                <o:OLEObject Type="Embed" ProgID="Visio.Drawing.11" ShapeID="_x0000_i1038" DrawAspect="Content" ObjectID="_1468075738" r:id="rId44">
                  <o:LockedField>false</o:LockedField>
                </o:OLEObject>
              </w:object>
            </w:r>
          </w:p>
          <w:p w14:paraId="3BB48B00">
            <w:pPr>
              <w:pStyle w:val="1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b/>
                <w:bCs/>
                <w:color w:val="000000" w:themeColor="text1"/>
                <w:sz w:val="21"/>
                <w:szCs w:val="22"/>
                <w:lang w:val="en-US" w:eastAsia="zh-CN"/>
              </w:rPr>
              <w:t>图4-</w:t>
            </w:r>
            <w:r>
              <w:rPr>
                <w:rFonts w:hint="eastAsia" w:ascii="Times New Roman" w:hAnsi="Times New Roman" w:eastAsia="宋体" w:cs="Times New Roman"/>
                <w:b/>
                <w:bCs/>
                <w:color w:val="000000" w:themeColor="text1"/>
                <w:sz w:val="21"/>
                <w:szCs w:val="22"/>
                <w:lang w:val="en-US" w:eastAsia="zh-CN"/>
              </w:rPr>
              <w:t>1</w:t>
            </w:r>
            <w:r>
              <w:rPr>
                <w:rFonts w:hint="default" w:ascii="Times New Roman" w:hAnsi="Times New Roman" w:eastAsia="宋体" w:cs="Times New Roman"/>
                <w:b/>
                <w:bCs/>
                <w:color w:val="000000" w:themeColor="text1"/>
                <w:sz w:val="21"/>
                <w:szCs w:val="22"/>
                <w:lang w:val="en-US" w:eastAsia="zh-CN"/>
              </w:rPr>
              <w:t>污水处理工艺流程图</w:t>
            </w:r>
          </w:p>
          <w:p w14:paraId="7083A4BF">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本项目产生污水量为0.</w:t>
            </w:r>
            <w:r>
              <w:rPr>
                <w:rFonts w:hint="eastAsia" w:cs="Times New Roman"/>
                <w:color w:val="000000" w:themeColor="text1"/>
                <w:sz w:val="24"/>
                <w:szCs w:val="24"/>
                <w:lang w:val="en-US" w:eastAsia="zh-CN"/>
              </w:rPr>
              <w:t>45</w:t>
            </w:r>
            <w:r>
              <w:rPr>
                <w:rFonts w:hint="default" w:ascii="Times New Roman" w:hAnsi="Times New Roman" w:eastAsia="宋体" w:cs="Times New Roman"/>
                <w:color w:val="000000" w:themeColor="text1"/>
                <w:sz w:val="24"/>
                <w:szCs w:val="24"/>
                <w:lang w:val="en-US" w:eastAsia="zh-CN"/>
              </w:rPr>
              <w:t>t/d，</w:t>
            </w:r>
            <w:r>
              <w:rPr>
                <w:rFonts w:hint="default" w:ascii="Times New Roman" w:hAnsi="Times New Roman" w:eastAsia="宋体" w:cs="Times New Roman"/>
                <w:bCs/>
                <w:color w:val="000000" w:themeColor="text1"/>
              </w:rPr>
              <w:t>污染物主要为</w:t>
            </w:r>
            <w:r>
              <w:rPr>
                <w:rFonts w:hint="eastAsia" w:cs="Times New Roman"/>
                <w:bCs/>
                <w:color w:val="000000" w:themeColor="text1"/>
                <w:lang w:val="en-US" w:eastAsia="zh-CN"/>
              </w:rPr>
              <w:t>pH、SS、</w:t>
            </w:r>
            <w:r>
              <w:rPr>
                <w:rFonts w:hint="default" w:ascii="Times New Roman" w:hAnsi="Times New Roman" w:eastAsia="宋体" w:cs="Times New Roman"/>
                <w:bCs/>
                <w:color w:val="000000" w:themeColor="text1"/>
              </w:rPr>
              <w:t>COD</w:t>
            </w:r>
            <w:r>
              <w:rPr>
                <w:rFonts w:hint="default" w:ascii="Times New Roman" w:hAnsi="Times New Roman" w:eastAsia="宋体" w:cs="Times New Roman"/>
                <w:bCs/>
                <w:color w:val="000000" w:themeColor="text1"/>
                <w:vertAlign w:val="subscript"/>
              </w:rPr>
              <w:t>cr</w:t>
            </w:r>
            <w:r>
              <w:rPr>
                <w:rFonts w:hint="default" w:ascii="Times New Roman" w:hAnsi="Times New Roman" w:eastAsia="宋体" w:cs="Times New Roman"/>
                <w:bCs/>
                <w:color w:val="000000" w:themeColor="text1"/>
              </w:rPr>
              <w:t>、</w:t>
            </w:r>
            <w:r>
              <w:rPr>
                <w:rFonts w:hint="eastAsia" w:cs="Times New Roman"/>
                <w:bCs/>
                <w:color w:val="000000" w:themeColor="text1"/>
                <w:lang w:val="en-US" w:eastAsia="zh-CN"/>
              </w:rPr>
              <w:t>BOD</w:t>
            </w:r>
            <w:r>
              <w:rPr>
                <w:rFonts w:hint="eastAsia" w:cs="Times New Roman"/>
                <w:bCs/>
                <w:color w:val="000000" w:themeColor="text1"/>
                <w:vertAlign w:val="subscript"/>
                <w:lang w:val="en-US" w:eastAsia="zh-CN"/>
              </w:rPr>
              <w:t>5</w:t>
            </w:r>
            <w:r>
              <w:rPr>
                <w:rFonts w:hint="eastAsia" w:cs="Times New Roman"/>
                <w:bCs/>
                <w:color w:val="000000" w:themeColor="text1"/>
                <w:lang w:eastAsia="zh-CN"/>
              </w:rPr>
              <w:t>，</w:t>
            </w:r>
            <w:r>
              <w:rPr>
                <w:rFonts w:hint="eastAsia" w:cs="Times New Roman"/>
                <w:bCs/>
                <w:color w:val="000000" w:themeColor="text1"/>
                <w:lang w:val="en-US" w:eastAsia="zh-CN"/>
              </w:rPr>
              <w:t>成分简单。</w:t>
            </w:r>
            <w:r>
              <w:rPr>
                <w:rFonts w:hint="eastAsia" w:ascii="Times New Roman" w:hAnsi="Times New Roman" w:eastAsia="宋体" w:cs="Times New Roman"/>
                <w:color w:val="000000" w:themeColor="text1"/>
                <w:spacing w:val="6"/>
                <w:sz w:val="24"/>
                <w:szCs w:val="24"/>
                <w:highlight w:val="none"/>
                <w:lang w:eastAsia="zh-CN"/>
              </w:rPr>
              <w:t>赤湖工业园污水处理厂</w:t>
            </w:r>
            <w:r>
              <w:rPr>
                <w:rFonts w:hint="eastAsia" w:ascii="Times New Roman" w:hAnsi="Times New Roman" w:eastAsia="宋体" w:cs="Times New Roman"/>
                <w:color w:val="000000" w:themeColor="text1"/>
                <w:spacing w:val="6"/>
                <w:sz w:val="24"/>
                <w:szCs w:val="24"/>
                <w:highlight w:val="none"/>
                <w:lang w:val="en-US" w:eastAsia="zh-CN"/>
              </w:rPr>
              <w:t>处理</w:t>
            </w:r>
            <w:r>
              <w:rPr>
                <w:rFonts w:hint="eastAsia" w:ascii="Times New Roman" w:hAnsi="Times New Roman" w:eastAsia="宋体" w:cs="Times New Roman"/>
                <w:color w:val="000000" w:themeColor="text1"/>
                <w:spacing w:val="6"/>
                <w:sz w:val="24"/>
                <w:szCs w:val="24"/>
                <w:highlight w:val="none"/>
                <w:lang w:eastAsia="zh-CN"/>
              </w:rPr>
              <w:t>污水余量为12000m</w:t>
            </w:r>
            <w:r>
              <w:rPr>
                <w:rFonts w:hint="eastAsia" w:ascii="Times New Roman" w:hAnsi="Times New Roman" w:eastAsia="宋体" w:cs="Times New Roman"/>
                <w:color w:val="000000" w:themeColor="text1"/>
                <w:spacing w:val="6"/>
                <w:sz w:val="24"/>
                <w:szCs w:val="24"/>
                <w:highlight w:val="none"/>
                <w:vertAlign w:val="superscript"/>
                <w:lang w:eastAsia="zh-CN"/>
              </w:rPr>
              <w:t>3</w:t>
            </w:r>
            <w:r>
              <w:rPr>
                <w:rFonts w:hint="eastAsia" w:ascii="Times New Roman" w:hAnsi="Times New Roman" w:eastAsia="宋体" w:cs="Times New Roman"/>
                <w:color w:val="000000" w:themeColor="text1"/>
                <w:spacing w:val="6"/>
                <w:sz w:val="24"/>
                <w:szCs w:val="24"/>
                <w:highlight w:val="none"/>
                <w:lang w:eastAsia="zh-CN"/>
              </w:rPr>
              <w:t>/d，项目</w:t>
            </w:r>
            <w:r>
              <w:rPr>
                <w:rFonts w:hint="eastAsia" w:ascii="Times New Roman" w:hAnsi="Times New Roman" w:eastAsia="宋体" w:cs="Times New Roman"/>
                <w:color w:val="000000" w:themeColor="text1"/>
                <w:spacing w:val="6"/>
                <w:sz w:val="24"/>
                <w:szCs w:val="24"/>
                <w:highlight w:val="none"/>
                <w:lang w:val="en-US" w:eastAsia="zh-CN"/>
              </w:rPr>
              <w:t>废水排放量</w:t>
            </w:r>
            <w:r>
              <w:rPr>
                <w:rFonts w:hint="eastAsia" w:ascii="Times New Roman" w:hAnsi="Times New Roman" w:eastAsia="宋体" w:cs="Times New Roman"/>
                <w:color w:val="000000" w:themeColor="text1"/>
                <w:spacing w:val="6"/>
                <w:sz w:val="24"/>
                <w:szCs w:val="24"/>
                <w:highlight w:val="none"/>
                <w:lang w:eastAsia="zh-CN"/>
              </w:rPr>
              <w:t>占赤湖工业园污水处理厂剩余日处理量的0.</w:t>
            </w:r>
            <w:r>
              <w:rPr>
                <w:rFonts w:hint="eastAsia" w:ascii="Times New Roman" w:hAnsi="Times New Roman" w:eastAsia="宋体" w:cs="Times New Roman"/>
                <w:color w:val="000000" w:themeColor="text1"/>
                <w:spacing w:val="6"/>
                <w:sz w:val="24"/>
                <w:szCs w:val="24"/>
                <w:highlight w:val="none"/>
                <w:lang w:val="en-US" w:eastAsia="zh-CN"/>
              </w:rPr>
              <w:t>004</w:t>
            </w:r>
            <w:r>
              <w:rPr>
                <w:rFonts w:hint="eastAsia" w:ascii="Times New Roman" w:hAnsi="Times New Roman" w:eastAsia="宋体" w:cs="Times New Roman"/>
                <w:color w:val="000000" w:themeColor="text1"/>
                <w:spacing w:val="6"/>
                <w:sz w:val="24"/>
                <w:szCs w:val="24"/>
                <w:highlight w:val="none"/>
                <w:lang w:eastAsia="zh-CN"/>
              </w:rPr>
              <w:t>%，且各污染物浓度均低于赤湖工业园污水处理厂接管标准，对污水处理厂正常运行不会产生影响</w:t>
            </w:r>
            <w:r>
              <w:rPr>
                <w:rFonts w:hint="default" w:ascii="Times New Roman" w:hAnsi="Times New Roman" w:eastAsia="宋体" w:cs="Times New Roman"/>
                <w:color w:val="000000" w:themeColor="text1"/>
                <w:sz w:val="24"/>
                <w:szCs w:val="24"/>
                <w:lang w:val="en-US" w:eastAsia="zh-CN"/>
              </w:rPr>
              <w:t>。</w:t>
            </w:r>
          </w:p>
          <w:p w14:paraId="0657C9FE">
            <w:pPr>
              <w:bidi w:val="0"/>
              <w:spacing w:line="360" w:lineRule="auto"/>
              <w:ind w:firstLine="480" w:firstLineChars="20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因此，本项目</w:t>
            </w:r>
            <w:r>
              <w:rPr>
                <w:rFonts w:hint="eastAsia" w:ascii="Times New Roman" w:hAnsi="Times New Roman" w:eastAsia="宋体" w:cs="Times New Roman"/>
                <w:color w:val="000000" w:themeColor="text1"/>
                <w:sz w:val="24"/>
                <w:szCs w:val="24"/>
                <w:lang w:val="en-US" w:eastAsia="zh-CN"/>
              </w:rPr>
              <w:t>废水</w:t>
            </w:r>
            <w:r>
              <w:rPr>
                <w:rFonts w:hint="default" w:ascii="Times New Roman" w:hAnsi="Times New Roman" w:eastAsia="宋体" w:cs="Times New Roman"/>
                <w:color w:val="000000" w:themeColor="text1"/>
                <w:sz w:val="24"/>
                <w:szCs w:val="24"/>
                <w:lang w:val="en-US" w:eastAsia="zh-CN"/>
              </w:rPr>
              <w:t>纳入赤湖工业园污水处理厂处理是可行可靠的。</w:t>
            </w:r>
          </w:p>
          <w:p w14:paraId="6DEBB75F">
            <w:pPr>
              <w:pStyle w:val="127"/>
              <w:snapToGrid w:val="0"/>
              <w:spacing w:line="360" w:lineRule="auto"/>
              <w:ind w:firstLine="482"/>
              <w:textAlignment w:val="auto"/>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1.</w:t>
            </w:r>
            <w:r>
              <w:rPr>
                <w:rFonts w:hint="eastAsia" w:eastAsia="宋体" w:cs="Times New Roman"/>
                <w:b/>
                <w:color w:val="000000" w:themeColor="text1"/>
                <w:lang w:val="en-US" w:eastAsia="zh-CN"/>
              </w:rPr>
              <w:t>7</w:t>
            </w:r>
            <w:r>
              <w:rPr>
                <w:rFonts w:hint="default" w:ascii="Times New Roman" w:hAnsi="Times New Roman" w:eastAsia="宋体" w:cs="Times New Roman"/>
                <w:b/>
                <w:color w:val="000000" w:themeColor="text1"/>
              </w:rPr>
              <w:t>、环境影响分析</w:t>
            </w:r>
          </w:p>
          <w:p w14:paraId="7391AFB2">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本项目纳污水体为</w:t>
            </w:r>
            <w:r>
              <w:rPr>
                <w:rFonts w:hint="eastAsia" w:cs="Times New Roman"/>
                <w:color w:val="000000" w:themeColor="text1"/>
                <w:lang w:val="en-US" w:eastAsia="zh-CN"/>
              </w:rPr>
              <w:t>长江</w:t>
            </w:r>
            <w:r>
              <w:rPr>
                <w:rFonts w:hint="default" w:ascii="Times New Roman" w:hAnsi="Times New Roman" w:eastAsia="宋体" w:cs="Times New Roman"/>
                <w:color w:val="000000" w:themeColor="text1"/>
              </w:rPr>
              <w:t>，项目废水经</w:t>
            </w:r>
            <w:r>
              <w:rPr>
                <w:rFonts w:hint="default" w:ascii="Times New Roman" w:hAnsi="Times New Roman" w:eastAsia="宋体" w:cs="Times New Roman"/>
                <w:color w:val="000000" w:themeColor="text1"/>
                <w:sz w:val="24"/>
                <w:szCs w:val="24"/>
                <w:lang w:val="en-US" w:eastAsia="zh-CN"/>
              </w:rPr>
              <w:t>赤湖工业园污水处理厂</w:t>
            </w:r>
            <w:r>
              <w:rPr>
                <w:rFonts w:hint="default" w:ascii="Times New Roman" w:hAnsi="Times New Roman" w:eastAsia="宋体" w:cs="Times New Roman"/>
                <w:color w:val="000000" w:themeColor="text1"/>
              </w:rPr>
              <w:t>处理后，可达到《城镇污水处理厂污染物排放标准》（GB18918-2002）中的</w:t>
            </w:r>
            <w:r>
              <w:rPr>
                <w:rFonts w:hint="eastAsia" w:cs="Times New Roman"/>
                <w:color w:val="000000" w:themeColor="text1"/>
                <w:lang w:eastAsia="zh-CN"/>
              </w:rPr>
              <w:t>一级A</w:t>
            </w:r>
            <w:r>
              <w:rPr>
                <w:rFonts w:hint="default" w:ascii="Times New Roman" w:hAnsi="Times New Roman" w:eastAsia="宋体" w:cs="Times New Roman"/>
                <w:color w:val="000000" w:themeColor="text1"/>
              </w:rPr>
              <w:t>标准，对</w:t>
            </w:r>
            <w:r>
              <w:rPr>
                <w:rFonts w:hint="eastAsia" w:cs="Times New Roman"/>
                <w:color w:val="000000" w:themeColor="text1"/>
                <w:lang w:val="en-US" w:eastAsia="zh-CN"/>
              </w:rPr>
              <w:t>长江</w:t>
            </w:r>
            <w:r>
              <w:rPr>
                <w:rFonts w:hint="default" w:ascii="Times New Roman" w:hAnsi="Times New Roman" w:eastAsia="宋体" w:cs="Times New Roman"/>
                <w:color w:val="000000" w:themeColor="text1"/>
              </w:rPr>
              <w:t>水环境影响不大，同时根据区域环境质量状况部分可知，地表水</w:t>
            </w:r>
            <w:r>
              <w:rPr>
                <w:rFonts w:hint="eastAsia" w:cs="Times New Roman"/>
                <w:color w:val="000000" w:themeColor="text1"/>
                <w:lang w:val="en-US" w:eastAsia="zh-CN"/>
              </w:rPr>
              <w:t>长江</w:t>
            </w:r>
            <w:r>
              <w:rPr>
                <w:rFonts w:hint="default" w:ascii="Times New Roman" w:hAnsi="Times New Roman" w:eastAsia="宋体" w:cs="Times New Roman"/>
                <w:color w:val="000000" w:themeColor="text1"/>
              </w:rPr>
              <w:t>环境质量满足《地表水环境质量标准》（GB3838-2002）Ⅲ类水质要求。因此本项目建成后，项目废水排放对周围环境影响不大。</w:t>
            </w:r>
          </w:p>
          <w:p w14:paraId="7CD49027">
            <w:pPr>
              <w:keepNext w:val="0"/>
              <w:keepLines w:val="0"/>
              <w:pageBreakBefore w:val="0"/>
              <w:widowControl w:val="0"/>
              <w:kinsoku/>
              <w:wordWrap/>
              <w:overflowPunct/>
              <w:topLinePunct w:val="0"/>
              <w:autoSpaceDE/>
              <w:autoSpaceDN/>
              <w:bidi w:val="0"/>
              <w:adjustRightInd w:val="0"/>
              <w:snapToGrid w:val="0"/>
              <w:ind w:firstLine="482"/>
              <w:jc w:val="both"/>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2、废气</w:t>
            </w:r>
          </w:p>
          <w:p w14:paraId="3E3EAFC3">
            <w:pPr>
              <w:adjustRightInd w:val="0"/>
              <w:snapToGrid w:val="0"/>
              <w:ind w:firstLine="482"/>
              <w:jc w:val="left"/>
              <w:rPr>
                <w:rFonts w:hint="default" w:ascii="Times New Roman" w:hAnsi="Times New Roman" w:eastAsia="宋体" w:cs="Times New Roman"/>
                <w:color w:val="000000" w:themeColor="text1"/>
                <w:sz w:val="24"/>
              </w:rPr>
            </w:pPr>
            <w:r>
              <w:rPr>
                <w:rFonts w:hint="default" w:ascii="Times New Roman" w:hAnsi="Times New Roman" w:eastAsia="宋体" w:cs="Times New Roman"/>
                <w:b/>
                <w:bCs/>
                <w:color w:val="000000" w:themeColor="text1"/>
              </w:rPr>
              <w:t>2.1 废气污染源</w:t>
            </w:r>
          </w:p>
          <w:p w14:paraId="07A040D4">
            <w:pPr>
              <w:keepNext w:val="0"/>
              <w:keepLines w:val="0"/>
              <w:widowControl/>
              <w:suppressLineNumbers w:val="0"/>
              <w:jc w:val="both"/>
              <w:rPr>
                <w:rFonts w:hint="default" w:ascii="Times New Roman" w:hAnsi="Times New Roman" w:eastAsia="宋体"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本次扩建项目</w:t>
            </w:r>
            <w:r>
              <w:rPr>
                <w:rFonts w:hint="default" w:ascii="Times New Roman" w:hAnsi="Times New Roman" w:eastAsia="宋体" w:cs="Times New Roman"/>
                <w:color w:val="000000" w:themeColor="text1"/>
                <w:kern w:val="0"/>
                <w:sz w:val="24"/>
                <w:szCs w:val="24"/>
                <w:lang w:val="en-US" w:eastAsia="zh-CN" w:bidi="ar"/>
              </w:rPr>
              <w:t>营运期间产生的废气主要为</w:t>
            </w:r>
            <w:r>
              <w:rPr>
                <w:rFonts w:hint="eastAsia" w:cs="Times New Roman"/>
                <w:color w:val="000000" w:themeColor="text1"/>
                <w:kern w:val="0"/>
                <w:sz w:val="24"/>
                <w:szCs w:val="24"/>
                <w:lang w:val="en-US" w:eastAsia="zh-CN" w:bidi="ar"/>
              </w:rPr>
              <w:t>混合</w:t>
            </w:r>
            <w:r>
              <w:rPr>
                <w:rFonts w:hint="default" w:ascii="Times New Roman" w:hAnsi="Times New Roman" w:eastAsia="宋体" w:cs="Times New Roman"/>
                <w:color w:val="000000" w:themeColor="text1"/>
                <w:kern w:val="0"/>
                <w:sz w:val="24"/>
                <w:szCs w:val="24"/>
                <w:lang w:val="en-US" w:eastAsia="zh-CN" w:bidi="ar"/>
              </w:rPr>
              <w:t>废气</w:t>
            </w:r>
            <w:r>
              <w:rPr>
                <w:rFonts w:hint="eastAsia" w:cs="Times New Roman"/>
                <w:color w:val="000000" w:themeColor="text1"/>
                <w:kern w:val="0"/>
                <w:sz w:val="24"/>
                <w:szCs w:val="24"/>
                <w:lang w:val="en-US" w:eastAsia="zh-CN" w:bidi="ar"/>
              </w:rPr>
              <w:t>、造粒废气、投料废气、挤出废气、烘干废气等</w:t>
            </w:r>
            <w:r>
              <w:rPr>
                <w:rFonts w:hint="default" w:ascii="Times New Roman" w:hAnsi="Times New Roman" w:eastAsia="宋体" w:cs="Times New Roman"/>
                <w:color w:val="000000" w:themeColor="text1"/>
                <w:kern w:val="0"/>
                <w:sz w:val="24"/>
                <w:szCs w:val="24"/>
                <w:lang w:val="en-US" w:eastAsia="zh-CN" w:bidi="ar"/>
              </w:rPr>
              <w:t>。</w:t>
            </w:r>
          </w:p>
          <w:p w14:paraId="34F04A97">
            <w:pPr>
              <w:numPr>
                <w:ilvl w:val="0"/>
                <w:numId w:val="0"/>
              </w:numPr>
              <w:adjustRightInd w:val="0"/>
              <w:snapToGrid w:val="0"/>
              <w:ind w:firstLine="482" w:firstLineChars="200"/>
              <w:jc w:val="left"/>
              <w:rPr>
                <w:rFonts w:hint="eastAsia" w:ascii="Times New Roman" w:hAnsi="Times New Roman" w:eastAsia="宋体" w:cs="Times New Roman"/>
                <w:b/>
                <w:bCs/>
                <w:color w:val="000000" w:themeColor="text1"/>
                <w:lang w:val="en-US" w:eastAsia="zh-CN"/>
              </w:rPr>
            </w:pPr>
            <w:r>
              <w:rPr>
                <w:rFonts w:hint="eastAsia" w:cs="Times New Roman"/>
                <w:b/>
                <w:bCs/>
                <w:color w:val="000000" w:themeColor="text1"/>
                <w:lang w:val="en-US" w:eastAsia="zh-CN"/>
              </w:rPr>
              <w:t>（1）</w:t>
            </w:r>
            <w:r>
              <w:rPr>
                <w:rFonts w:hint="eastAsia" w:ascii="Times New Roman" w:hAnsi="Times New Roman" w:eastAsia="宋体" w:cs="Times New Roman"/>
                <w:b/>
                <w:bCs/>
                <w:color w:val="000000" w:themeColor="text1"/>
                <w:lang w:val="en-US" w:eastAsia="zh-CN"/>
              </w:rPr>
              <w:t>炭黑造粒废气</w:t>
            </w:r>
          </w:p>
          <w:p w14:paraId="7497AFAE">
            <w:pPr>
              <w:keepNext w:val="0"/>
              <w:keepLines w:val="0"/>
              <w:widowControl/>
              <w:suppressLineNumbers w:val="0"/>
              <w:jc w:val="both"/>
              <w:rPr>
                <w:rFonts w:hint="eastAsia"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造粒过程通过机械搅拌和挤压作用，使物料均匀混合并形成具有一定形状和尺寸的颗粒。参照《排放源统计调查产排污核算方法和系数手册》-《其他非金属矿物制品制造行业系数手册 3099》，混合废气颗粒物的产生系数为7.2kg/t-产品，本项目造粒后的炭黑约为1350t/a，则造粒颗粒物产生量为9.72t/a，通过设备排气孔负压收集至布袋除尘器处理后通过DA001排放，负设备全密闭，同时设置压收集，收集效率为99%，布袋除尘器处理效率为99%，少量未收集废气在车间无组织排放。则造粒废气有组织产生量为9.623t/a，经处理后有组织废气的排放量为0.096t/a（0.040kg/h），造粒废气无组织废气排放量为0.097t/a。</w:t>
            </w:r>
          </w:p>
          <w:p w14:paraId="47235E16">
            <w:pPr>
              <w:numPr>
                <w:ilvl w:val="0"/>
                <w:numId w:val="0"/>
              </w:numPr>
              <w:adjustRightInd w:val="0"/>
              <w:snapToGrid w:val="0"/>
              <w:ind w:firstLine="482" w:firstLineChars="200"/>
              <w:jc w:val="left"/>
              <w:rPr>
                <w:rFonts w:hint="default" w:cs="Times New Roman"/>
                <w:b/>
                <w:bCs/>
                <w:color w:val="000000" w:themeColor="text1"/>
                <w:lang w:val="en-US" w:eastAsia="zh-CN"/>
              </w:rPr>
            </w:pPr>
            <w:r>
              <w:rPr>
                <w:rFonts w:hint="eastAsia" w:cs="Times New Roman"/>
                <w:b/>
                <w:bCs/>
                <w:color w:val="000000" w:themeColor="text1"/>
                <w:lang w:val="en-US" w:eastAsia="zh-CN"/>
              </w:rPr>
              <w:t>（2）烘干废气</w:t>
            </w:r>
          </w:p>
          <w:p w14:paraId="7E07B247">
            <w:pPr>
              <w:keepNext w:val="0"/>
              <w:keepLines w:val="0"/>
              <w:widowControl/>
              <w:suppressLineNumbers w:val="0"/>
              <w:jc w:val="both"/>
              <w:rPr>
                <w:rFonts w:hint="eastAsia" w:cs="Times New Roman"/>
                <w:color w:val="000000" w:themeColor="text1"/>
                <w:kern w:val="0"/>
                <w:sz w:val="24"/>
                <w:szCs w:val="24"/>
                <w:lang w:val="en-US" w:eastAsia="zh-CN" w:bidi="ar"/>
              </w:rPr>
            </w:pPr>
            <w:r>
              <w:rPr>
                <w:rFonts w:hint="eastAsia" w:cs="Times New Roman"/>
                <w:color w:val="000000" w:themeColor="text1"/>
                <w:kern w:val="0"/>
                <w:sz w:val="24"/>
                <w:szCs w:val="24"/>
                <w:lang w:val="en-US" w:eastAsia="zh-CN" w:bidi="ar"/>
              </w:rPr>
              <w:t>本项目使用旋窑烘干机，采用天然气为热源。</w:t>
            </w:r>
            <w:r>
              <w:rPr>
                <w:rFonts w:hint="default" w:ascii="Times New Roman" w:hAnsi="Times New Roman" w:eastAsia="宋体" w:cs="Times New Roman"/>
                <w:color w:val="000000" w:themeColor="text1"/>
                <w:lang w:val="en-US" w:eastAsia="zh-CN"/>
              </w:rPr>
              <w:t>热风炉按温度和流量要求向干燥装置提供热风，</w:t>
            </w:r>
            <w:r>
              <w:rPr>
                <w:rFonts w:hint="eastAsia" w:cs="Times New Roman"/>
                <w:color w:val="000000" w:themeColor="text1"/>
                <w:lang w:val="en-US" w:eastAsia="zh-CN"/>
              </w:rPr>
              <w:t>部分炭黑</w:t>
            </w:r>
            <w:r>
              <w:rPr>
                <w:rFonts w:hint="default" w:ascii="Times New Roman" w:hAnsi="Times New Roman" w:eastAsia="宋体" w:cs="Times New Roman"/>
                <w:color w:val="000000" w:themeColor="text1"/>
                <w:lang w:val="en-US" w:eastAsia="zh-CN"/>
              </w:rPr>
              <w:t>被热风带向布袋除尘器，</w:t>
            </w:r>
            <w:r>
              <w:rPr>
                <w:rFonts w:hint="eastAsia" w:cs="Times New Roman"/>
                <w:color w:val="000000" w:themeColor="text1"/>
                <w:kern w:val="0"/>
                <w:sz w:val="24"/>
                <w:szCs w:val="24"/>
                <w:lang w:val="en-US" w:eastAsia="zh-CN" w:bidi="ar"/>
              </w:rPr>
              <w:t>参照《排放源统计调查产排污核算方法和系数手册》-《其他非金属矿物制品制造行业系数手册 3099》，混合废气颗粒物的产生系数为7.63</w:t>
            </w:r>
            <w:r>
              <w:rPr>
                <w:rFonts w:hint="default" w:ascii="Arial" w:hAnsi="Arial" w:cs="Arial"/>
                <w:color w:val="000000" w:themeColor="text1"/>
                <w:kern w:val="0"/>
                <w:sz w:val="24"/>
                <w:szCs w:val="24"/>
                <w:lang w:val="en-US" w:eastAsia="zh-CN" w:bidi="ar"/>
              </w:rPr>
              <w:t>×</w:t>
            </w:r>
            <w:r>
              <w:rPr>
                <w:rFonts w:hint="eastAsia" w:cs="Times New Roman"/>
                <w:color w:val="000000" w:themeColor="text1"/>
                <w:kern w:val="0"/>
                <w:sz w:val="24"/>
                <w:szCs w:val="24"/>
                <w:lang w:val="en-US" w:eastAsia="zh-CN" w:bidi="ar"/>
              </w:rPr>
              <w:t>10</w:t>
            </w:r>
            <w:r>
              <w:rPr>
                <w:rFonts w:hint="eastAsia" w:cs="Times New Roman"/>
                <w:color w:val="000000" w:themeColor="text1"/>
                <w:kern w:val="0"/>
                <w:sz w:val="24"/>
                <w:szCs w:val="24"/>
                <w:vertAlign w:val="superscript"/>
                <w:lang w:val="en-US" w:eastAsia="zh-CN" w:bidi="ar"/>
              </w:rPr>
              <w:t>-1</w:t>
            </w:r>
            <w:r>
              <w:rPr>
                <w:rFonts w:hint="eastAsia" w:cs="Times New Roman"/>
                <w:color w:val="000000" w:themeColor="text1"/>
                <w:kern w:val="0"/>
                <w:sz w:val="24"/>
                <w:szCs w:val="24"/>
                <w:lang w:val="en-US" w:eastAsia="zh-CN" w:bidi="ar"/>
              </w:rPr>
              <w:t>kg/t-产品，本次烘干产生的颗粒物为1.030t/a。</w:t>
            </w:r>
          </w:p>
          <w:p w14:paraId="68488CE3">
            <w:pPr>
              <w:keepNext w:val="0"/>
              <w:keepLines w:val="0"/>
              <w:widowControl/>
              <w:suppressLineNumbers w:val="0"/>
              <w:jc w:val="both"/>
              <w:rPr>
                <w:rFonts w:hint="eastAsia" w:ascii="Times New Roman" w:hAnsi="Times New Roman" w:eastAsia="宋体" w:cs="Times New Roman"/>
                <w:color w:val="000000" w:themeColor="text1"/>
                <w:kern w:val="0"/>
                <w:sz w:val="24"/>
                <w:szCs w:val="24"/>
                <w:lang w:val="en-US" w:eastAsia="zh-CN" w:bidi="ar"/>
              </w:rPr>
            </w:pPr>
            <w:r>
              <w:rPr>
                <w:rFonts w:hint="eastAsia" w:ascii="Times New Roman" w:hAnsi="Times New Roman" w:eastAsia="宋体" w:cs="Times New Roman"/>
                <w:color w:val="000000" w:themeColor="text1"/>
                <w:kern w:val="0"/>
                <w:sz w:val="24"/>
                <w:szCs w:val="24"/>
                <w:lang w:val="en-US" w:eastAsia="zh-CN" w:bidi="ar"/>
              </w:rPr>
              <w:t>同时天然气燃烧</w:t>
            </w:r>
            <w:r>
              <w:rPr>
                <w:rFonts w:hint="eastAsia" w:cs="Times New Roman"/>
                <w:color w:val="000000" w:themeColor="text1"/>
                <w:kern w:val="0"/>
                <w:sz w:val="24"/>
                <w:szCs w:val="24"/>
                <w:lang w:val="en-US" w:eastAsia="zh-CN" w:bidi="ar"/>
              </w:rPr>
              <w:t>尾气</w:t>
            </w:r>
            <w:r>
              <w:rPr>
                <w:rFonts w:hint="eastAsia" w:ascii="Times New Roman" w:hAnsi="Times New Roman" w:eastAsia="宋体" w:cs="Times New Roman"/>
                <w:color w:val="000000" w:themeColor="text1"/>
                <w:kern w:val="0"/>
                <w:sz w:val="24"/>
                <w:szCs w:val="24"/>
                <w:lang w:val="en-US" w:eastAsia="zh-CN" w:bidi="ar"/>
              </w:rPr>
              <w:t>直接随着物料进入布袋除尘，燃烧烟气的产污系数参照《排污许可证申请与核发技术规范 锅炉》（HJ953-2018）表F.3燃气工业锅炉的废气产排污系数计算。产排污系数如下表所示。</w:t>
            </w:r>
          </w:p>
          <w:p w14:paraId="0B686512">
            <w:pPr>
              <w:pStyle w:val="2"/>
              <w:spacing w:line="240" w:lineRule="auto"/>
              <w:ind w:firstLine="422" w:firstLineChars="200"/>
              <w:jc w:val="center"/>
              <w:outlineLvl w:val="0"/>
              <w:rPr>
                <w:rFonts w:hint="eastAsia"/>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表4-6  天然气燃烧产污系数表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660"/>
              <w:gridCol w:w="1661"/>
              <w:gridCol w:w="3148"/>
            </w:tblGrid>
            <w:tr w14:paraId="368CD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09" w:type="dxa"/>
                  <w:gridSpan w:val="3"/>
                  <w:noWrap w:val="0"/>
                  <w:vAlign w:val="center"/>
                </w:tcPr>
                <w:p w14:paraId="09222E24">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产污系数</w:t>
                  </w:r>
                </w:p>
              </w:tc>
              <w:tc>
                <w:tcPr>
                  <w:tcW w:w="3104" w:type="dxa"/>
                  <w:vMerge w:val="restart"/>
                  <w:noWrap w:val="0"/>
                  <w:vAlign w:val="center"/>
                </w:tcPr>
                <w:p w14:paraId="00B877B2">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备注</w:t>
                  </w:r>
                </w:p>
              </w:tc>
            </w:tr>
            <w:tr w14:paraId="373E9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dxa"/>
                  <w:noWrap w:val="0"/>
                  <w:vAlign w:val="center"/>
                </w:tcPr>
                <w:p w14:paraId="164C89C3">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SO</w:t>
                  </w:r>
                  <w:r>
                    <w:rPr>
                      <w:rFonts w:hint="eastAsia"/>
                      <w:b/>
                      <w:bCs/>
                      <w:color w:val="000000" w:themeColor="text1"/>
                      <w:sz w:val="21"/>
                      <w:szCs w:val="21"/>
                      <w:vertAlign w:val="subscript"/>
                      <w:lang w:val="en-US" w:eastAsia="zh-CN"/>
                    </w:rPr>
                    <w:t>2</w:t>
                  </w:r>
                </w:p>
              </w:tc>
              <w:tc>
                <w:tcPr>
                  <w:tcW w:w="1636" w:type="dxa"/>
                  <w:noWrap w:val="0"/>
                  <w:vAlign w:val="center"/>
                </w:tcPr>
                <w:p w14:paraId="25090709">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NOx</w:t>
                  </w:r>
                </w:p>
              </w:tc>
              <w:tc>
                <w:tcPr>
                  <w:tcW w:w="1637" w:type="dxa"/>
                  <w:noWrap w:val="0"/>
                  <w:vAlign w:val="center"/>
                </w:tcPr>
                <w:p w14:paraId="3D707A88">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bCs/>
                      <w:color w:val="000000" w:themeColor="text1"/>
                      <w:sz w:val="21"/>
                      <w:szCs w:val="21"/>
                      <w:vertAlign w:val="baseline"/>
                      <w:lang w:val="en-US" w:eastAsia="zh-CN"/>
                    </w:rPr>
                  </w:pPr>
                  <w:r>
                    <w:rPr>
                      <w:rFonts w:hint="eastAsia"/>
                      <w:b/>
                      <w:bCs/>
                      <w:color w:val="000000" w:themeColor="text1"/>
                      <w:sz w:val="21"/>
                      <w:szCs w:val="21"/>
                      <w:vertAlign w:val="baseline"/>
                      <w:lang w:val="en-US" w:eastAsia="zh-CN"/>
                    </w:rPr>
                    <w:t>颗粒物</w:t>
                  </w:r>
                </w:p>
              </w:tc>
              <w:tc>
                <w:tcPr>
                  <w:tcW w:w="3104" w:type="dxa"/>
                  <w:vMerge w:val="continue"/>
                  <w:noWrap w:val="0"/>
                  <w:vAlign w:val="center"/>
                </w:tcPr>
                <w:p w14:paraId="3DD58DB6">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color w:val="000000" w:themeColor="text1"/>
                      <w:sz w:val="21"/>
                      <w:szCs w:val="21"/>
                      <w:vertAlign w:val="baseline"/>
                      <w:lang w:val="en-US" w:eastAsia="zh-CN"/>
                    </w:rPr>
                  </w:pPr>
                </w:p>
              </w:tc>
            </w:tr>
            <w:tr w14:paraId="565EC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6" w:type="dxa"/>
                  <w:noWrap w:val="0"/>
                  <w:vAlign w:val="center"/>
                </w:tcPr>
                <w:p w14:paraId="4E75D76E">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0.02Skg/万m</w:t>
                  </w:r>
                  <w:r>
                    <w:rPr>
                      <w:rFonts w:hint="eastAsia"/>
                      <w:b w:val="0"/>
                      <w:bCs w:val="0"/>
                      <w:color w:val="000000" w:themeColor="text1"/>
                      <w:sz w:val="21"/>
                      <w:szCs w:val="21"/>
                      <w:vertAlign w:val="superscript"/>
                      <w:lang w:val="en-US" w:eastAsia="zh-CN"/>
                    </w:rPr>
                    <w:t>3</w:t>
                  </w:r>
                </w:p>
              </w:tc>
              <w:tc>
                <w:tcPr>
                  <w:tcW w:w="1636" w:type="dxa"/>
                  <w:noWrap w:val="0"/>
                  <w:vAlign w:val="center"/>
                </w:tcPr>
                <w:p w14:paraId="50791CB0">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9.36kg/万m</w:t>
                  </w:r>
                  <w:r>
                    <w:rPr>
                      <w:rFonts w:hint="eastAsia"/>
                      <w:b w:val="0"/>
                      <w:bCs w:val="0"/>
                      <w:color w:val="000000" w:themeColor="text1"/>
                      <w:sz w:val="21"/>
                      <w:szCs w:val="21"/>
                      <w:vertAlign w:val="superscript"/>
                      <w:lang w:val="en-US" w:eastAsia="zh-CN"/>
                    </w:rPr>
                    <w:t>3</w:t>
                  </w:r>
                </w:p>
              </w:tc>
              <w:tc>
                <w:tcPr>
                  <w:tcW w:w="1637" w:type="dxa"/>
                  <w:noWrap w:val="0"/>
                  <w:vAlign w:val="center"/>
                </w:tcPr>
                <w:p w14:paraId="6685A9A4">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2.86kg/万m</w:t>
                  </w:r>
                  <w:r>
                    <w:rPr>
                      <w:rFonts w:hint="eastAsia"/>
                      <w:b w:val="0"/>
                      <w:bCs w:val="0"/>
                      <w:color w:val="000000" w:themeColor="text1"/>
                      <w:sz w:val="21"/>
                      <w:szCs w:val="21"/>
                      <w:vertAlign w:val="superscript"/>
                      <w:lang w:val="en-US" w:eastAsia="zh-CN"/>
                    </w:rPr>
                    <w:t>3</w:t>
                  </w:r>
                </w:p>
              </w:tc>
              <w:tc>
                <w:tcPr>
                  <w:tcW w:w="3104" w:type="dxa"/>
                  <w:noWrap w:val="0"/>
                  <w:vAlign w:val="center"/>
                </w:tcPr>
                <w:p w14:paraId="6805890D">
                  <w:pPr>
                    <w:pStyle w:val="2"/>
                    <w:keepNext/>
                    <w:keepLines w:val="0"/>
                    <w:pageBreakBefore w:val="0"/>
                    <w:widowControl w:val="0"/>
                    <w:kinsoku/>
                    <w:wordWrap/>
                    <w:overflowPunct w:val="0"/>
                    <w:topLinePunct w:val="0"/>
                    <w:autoSpaceDE/>
                    <w:autoSpaceDN/>
                    <w:bidi w:val="0"/>
                    <w:adjustRightInd/>
                    <w:snapToGrid w:val="0"/>
                    <w:spacing w:line="240" w:lineRule="auto"/>
                    <w:ind w:firstLine="0" w:firstLineChars="0"/>
                    <w:jc w:val="center"/>
                    <w:textAlignment w:val="auto"/>
                    <w:outlineLvl w:val="0"/>
                    <w:rPr>
                      <w:rFonts w:hint="eastAsia"/>
                      <w:b w:val="0"/>
                      <w:bCs w:val="0"/>
                      <w:color w:val="000000" w:themeColor="text1"/>
                      <w:sz w:val="21"/>
                      <w:szCs w:val="21"/>
                      <w:vertAlign w:val="baseline"/>
                      <w:lang w:val="en-US" w:eastAsia="zh-CN"/>
                    </w:rPr>
                  </w:pPr>
                  <w:r>
                    <w:rPr>
                      <w:rFonts w:hint="eastAsia"/>
                      <w:b w:val="0"/>
                      <w:bCs w:val="0"/>
                      <w:color w:val="000000" w:themeColor="text1"/>
                      <w:sz w:val="21"/>
                      <w:szCs w:val="21"/>
                      <w:vertAlign w:val="baseline"/>
                      <w:lang w:val="en-US" w:eastAsia="zh-CN"/>
                    </w:rPr>
                    <w:t>S为含硫量，本项目按照《天然气》（GB 17820-2018）中总硫的二类要求取100mg/m</w:t>
                  </w:r>
                  <w:r>
                    <w:rPr>
                      <w:rFonts w:hint="eastAsia"/>
                      <w:b w:val="0"/>
                      <w:bCs w:val="0"/>
                      <w:color w:val="000000" w:themeColor="text1"/>
                      <w:sz w:val="21"/>
                      <w:szCs w:val="21"/>
                      <w:vertAlign w:val="superscript"/>
                      <w:lang w:val="en-US" w:eastAsia="zh-CN"/>
                    </w:rPr>
                    <w:t>3</w:t>
                  </w:r>
                </w:p>
              </w:tc>
            </w:tr>
          </w:tbl>
          <w:p w14:paraId="178A8A7E">
            <w:pPr>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根据建设单位提供的资料，本项目热风炉天然气消耗总量约为8万m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/a。天然气燃烧烟气污染物颗粒物为0.023t/a（0.010kg/h）、SO</w:t>
            </w:r>
            <w:r>
              <w:rPr>
                <w:rFonts w:hint="eastAsia" w:ascii="Times New Roman" w:hAnsi="Times New Roman" w:eastAsia="宋体" w:cs="Times New Roman"/>
                <w:b w:val="0"/>
                <w:bCs w:val="0"/>
                <w:color w:val="000000" w:themeColor="text1"/>
                <w:sz w:val="24"/>
                <w:vertAlign w:val="subscript"/>
                <w:lang w:val="en-US" w:eastAsia="zh-CN"/>
              </w:rPr>
              <w:t>2</w:t>
            </w:r>
            <w:r>
              <w:rPr>
                <w:rFonts w:hint="eastAsia" w:ascii="Times New Roman" w:hAnsi="Times New Roman" w:eastAsia="宋体" w:cs="Times New Roman"/>
                <w:b w:val="0"/>
                <w:bCs w:val="0"/>
                <w:color w:val="000000" w:themeColor="text1"/>
                <w:sz w:val="24"/>
                <w:lang w:val="en-US" w:eastAsia="zh-CN"/>
              </w:rPr>
              <w:t>为0.016t/a（0.007kg/h）、NOx为0.075t/a（0.031kg/h）。</w:t>
            </w:r>
          </w:p>
          <w:p w14:paraId="67224BF8">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default" w:cs="Times New Roman"/>
                <w:color w:val="000000" w:themeColor="text1"/>
                <w:kern w:val="0"/>
                <w:sz w:val="24"/>
                <w:szCs w:val="24"/>
                <w:lang w:val="en-US" w:eastAsia="zh-CN" w:bidi="ar"/>
              </w:rPr>
            </w:pPr>
            <w:r>
              <w:rPr>
                <w:rFonts w:hint="eastAsia"/>
                <w:color w:val="000000" w:themeColor="text1"/>
                <w:sz w:val="24"/>
                <w:szCs w:val="24"/>
                <w:vertAlign w:val="baseline"/>
                <w:lang w:val="en-US" w:eastAsia="zh-CN"/>
              </w:rPr>
              <w:t>故本项目炭黑烘干过程中颗粒物的产生量为1.053t/a，</w:t>
            </w:r>
            <w:r>
              <w:rPr>
                <w:rFonts w:hint="eastAsia" w:ascii="Times New Roman" w:hAnsi="Times New Roman" w:eastAsia="宋体" w:cs="Times New Roman"/>
                <w:b w:val="0"/>
                <w:bCs w:val="0"/>
                <w:color w:val="000000" w:themeColor="text1"/>
                <w:sz w:val="24"/>
                <w:lang w:val="en-US" w:eastAsia="zh-CN"/>
              </w:rPr>
              <w:t>SO</w:t>
            </w:r>
            <w:r>
              <w:rPr>
                <w:rFonts w:hint="eastAsia" w:ascii="Times New Roman" w:hAnsi="Times New Roman" w:eastAsia="宋体" w:cs="Times New Roman"/>
                <w:b w:val="0"/>
                <w:bCs w:val="0"/>
                <w:color w:val="000000" w:themeColor="text1"/>
                <w:sz w:val="24"/>
                <w:vertAlign w:val="subscript"/>
                <w:lang w:val="en-US" w:eastAsia="zh-CN"/>
              </w:rPr>
              <w:t>2</w:t>
            </w:r>
            <w:r>
              <w:rPr>
                <w:rFonts w:hint="eastAsia" w:ascii="Times New Roman" w:hAnsi="Times New Roman" w:eastAsia="宋体" w:cs="Times New Roman"/>
                <w:b w:val="0"/>
                <w:bCs w:val="0"/>
                <w:color w:val="000000" w:themeColor="text1"/>
                <w:sz w:val="24"/>
                <w:vertAlign w:val="baseline"/>
                <w:lang w:val="en-US" w:eastAsia="zh-CN"/>
              </w:rPr>
              <w:t>的产生量</w:t>
            </w:r>
            <w:r>
              <w:rPr>
                <w:rFonts w:hint="eastAsia" w:ascii="Times New Roman" w:hAnsi="Times New Roman" w:eastAsia="宋体" w:cs="Times New Roman"/>
                <w:b w:val="0"/>
                <w:bCs w:val="0"/>
                <w:color w:val="000000" w:themeColor="text1"/>
                <w:sz w:val="24"/>
                <w:lang w:val="en-US" w:eastAsia="zh-CN"/>
              </w:rPr>
              <w:t>为0.016t/a、NOx</w:t>
            </w:r>
            <w:r>
              <w:rPr>
                <w:rFonts w:hint="eastAsia" w:ascii="Times New Roman" w:hAnsi="Times New Roman" w:eastAsia="宋体" w:cs="Times New Roman"/>
                <w:b w:val="0"/>
                <w:bCs w:val="0"/>
                <w:color w:val="000000" w:themeColor="text1"/>
                <w:sz w:val="24"/>
                <w:vertAlign w:val="baseline"/>
                <w:lang w:val="en-US" w:eastAsia="zh-CN"/>
              </w:rPr>
              <w:t>的产生量</w:t>
            </w:r>
            <w:r>
              <w:rPr>
                <w:rFonts w:hint="eastAsia" w:ascii="Times New Roman" w:hAnsi="Times New Roman" w:eastAsia="宋体" w:cs="Times New Roman"/>
                <w:b w:val="0"/>
                <w:bCs w:val="0"/>
                <w:color w:val="000000" w:themeColor="text1"/>
                <w:sz w:val="24"/>
                <w:lang w:val="en-US" w:eastAsia="zh-CN"/>
              </w:rPr>
              <w:t>为0.075t/a，经烘干器风道进入布袋除尘器处理后通过DA001排放，废气收集率100%，布袋除尘器处理效率99%，故烘干废气颗粒物排放量</w:t>
            </w:r>
            <w:r>
              <w:rPr>
                <w:rFonts w:hint="eastAsia" w:cs="Times New Roman"/>
                <w:b w:val="0"/>
                <w:bCs w:val="0"/>
                <w:color w:val="000000" w:themeColor="text1"/>
                <w:sz w:val="24"/>
                <w:lang w:val="en-US" w:eastAsia="zh-CN"/>
              </w:rPr>
              <w:t>细颗粒物</w:t>
            </w:r>
            <w:r>
              <w:rPr>
                <w:rFonts w:hint="eastAsia" w:ascii="Times New Roman" w:hAnsi="Times New Roman" w:eastAsia="宋体" w:cs="Times New Roman"/>
                <w:b w:val="0"/>
                <w:bCs w:val="0"/>
                <w:color w:val="000000" w:themeColor="text1"/>
                <w:sz w:val="24"/>
                <w:lang w:val="en-US" w:eastAsia="zh-CN"/>
              </w:rPr>
              <w:t>为0.011t/a（0.005kg/h）、SO</w:t>
            </w:r>
            <w:r>
              <w:rPr>
                <w:rFonts w:hint="eastAsia" w:ascii="Times New Roman" w:hAnsi="Times New Roman" w:eastAsia="宋体" w:cs="Times New Roman"/>
                <w:b w:val="0"/>
                <w:bCs w:val="0"/>
                <w:color w:val="000000" w:themeColor="text1"/>
                <w:sz w:val="24"/>
                <w:vertAlign w:val="subscript"/>
                <w:lang w:val="en-US" w:eastAsia="zh-CN"/>
              </w:rPr>
              <w:t>2</w:t>
            </w:r>
            <w:r>
              <w:rPr>
                <w:rFonts w:hint="eastAsia" w:ascii="Times New Roman" w:hAnsi="Times New Roman" w:eastAsia="宋体" w:cs="Times New Roman"/>
                <w:b w:val="0"/>
                <w:bCs w:val="0"/>
                <w:color w:val="000000" w:themeColor="text1"/>
                <w:sz w:val="24"/>
                <w:lang w:val="en-US" w:eastAsia="zh-CN"/>
              </w:rPr>
              <w:t>为0.016t/a（0.007kg/h）、NOx为0.075t/a（0.031kg/h）。</w:t>
            </w:r>
          </w:p>
          <w:p w14:paraId="47ACFD3E">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default" w:cs="Times New Roman"/>
                <w:b/>
                <w:bCs/>
                <w:color w:val="000000" w:themeColor="text1"/>
                <w:kern w:val="0"/>
                <w:sz w:val="24"/>
                <w:szCs w:val="24"/>
                <w:lang w:val="en-US" w:eastAsia="zh-CN" w:bidi="ar"/>
              </w:rPr>
            </w:pPr>
            <w:r>
              <w:rPr>
                <w:rFonts w:hint="eastAsia" w:cs="Times New Roman"/>
                <w:b/>
                <w:bCs/>
                <w:color w:val="000000" w:themeColor="text1"/>
                <w:kern w:val="0"/>
                <w:sz w:val="24"/>
                <w:szCs w:val="24"/>
                <w:lang w:val="en-US" w:eastAsia="zh-CN" w:bidi="ar"/>
              </w:rPr>
              <w:t>（3）塑料母粒混合废气</w:t>
            </w:r>
          </w:p>
          <w:p w14:paraId="3E976811">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项目投料混合过程产生的粉尘主要为PE 料（聚乙烯）、炭黑等原料投加混合过程，PE料为粒状，粒径约2-5mm，投料过程也会产生少量粉尘，炭黑为粒状，投料混合过程会产生粉尘。</w:t>
            </w:r>
          </w:p>
          <w:p w14:paraId="6F4CDACF">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参考《排放源统计调查产排污核算方法和系数手册》-《292 塑料制品行业系数手册》中“2922 塑料板、管、型材制造行业系数表”中“配料-混合-挤出”的颗粒物的产污系数6.0千克/吨-产品。本项目产品量为1500t/a ，故本项目投料混合颗粒物的产生量为6t/a。</w:t>
            </w:r>
          </w:p>
          <w:p w14:paraId="6D18270C">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投料、混合粉尘经集气罩收集至布袋除尘器处理后通过DA002排气筒（15m高）排放；未收集的粉尘在车间无组织排放。根据《排放源统计调查产排污核算方法和系数手册》-“2922  塑料板、管、型材制造行业系数表”，袋式除尘对颗粒物的处理效率为99%。</w:t>
            </w:r>
          </w:p>
          <w:p w14:paraId="76F29CBB">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参考生态环境部《主要污染物总量减排核算技术指南（2022 年修订）》（环办综合函〔2022〕350号），采用密闭式集气罩（负压）时，收集效率可达到90%。本项目混料机密闭生产，生产过程中主要通过设备排气口负压排气，投料过程中在投料料口上方设置集气罩，同时将整个混料机设置单独隔离罩（1.5*1.5*3m），隔离罩上方同步设置负压装置。因此本次评价收集效率90%计。</w:t>
            </w:r>
          </w:p>
          <w:p w14:paraId="174F7882">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本项目风机设计风量3000m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/h，废气收集率为90%，处理效率99%，运行时间2400h/a。则粉尘有组织产生量为5.4t/a。经以上措施处理后颗粒物有组织排放量为0.054t/a，排放速率0.0225kg/h。未收集粉尘在车间无组织形式排放，排放量为0.6t/a。</w:t>
            </w:r>
          </w:p>
          <w:p w14:paraId="61E8B32E">
            <w:pPr>
              <w:keepNext w:val="0"/>
              <w:keepLines w:val="0"/>
              <w:pageBreakBefore w:val="0"/>
              <w:widowControl/>
              <w:suppressLineNumbers w:val="0"/>
              <w:kinsoku/>
              <w:wordWrap/>
              <w:overflowPunct/>
              <w:topLinePunct w:val="0"/>
              <w:autoSpaceDE/>
              <w:autoSpaceDN/>
              <w:bidi w:val="0"/>
              <w:adjustRightInd/>
              <w:snapToGrid/>
              <w:spacing w:line="360" w:lineRule="auto"/>
              <w:ind w:left="0" w:right="0"/>
              <w:jc w:val="both"/>
              <w:textAlignment w:val="auto"/>
              <w:rPr>
                <w:rFonts w:hint="default" w:cs="Times New Roman"/>
                <w:b/>
                <w:bCs/>
                <w:color w:val="000000" w:themeColor="text1"/>
                <w:kern w:val="0"/>
                <w:sz w:val="24"/>
                <w:szCs w:val="24"/>
                <w:lang w:val="en-US" w:eastAsia="zh-CN" w:bidi="ar"/>
              </w:rPr>
            </w:pPr>
            <w:r>
              <w:rPr>
                <w:rFonts w:hint="eastAsia" w:cs="Times New Roman"/>
                <w:b/>
                <w:bCs/>
                <w:color w:val="000000" w:themeColor="text1"/>
                <w:kern w:val="0"/>
                <w:sz w:val="24"/>
                <w:szCs w:val="24"/>
                <w:lang w:val="en-US" w:eastAsia="zh-CN" w:bidi="ar"/>
              </w:rPr>
              <w:t>（4）挤出废气</w:t>
            </w:r>
          </w:p>
          <w:p w14:paraId="4761951D">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本项目所用塑料粒子物化性质，项目在通过挤出机将PE粒子熔化后挤出</w:t>
            </w:r>
            <w:r>
              <w:rPr>
                <w:rFonts w:hint="eastAsia" w:ascii="Times New Roman" w:hAnsi="Times New Roman" w:cs="Times New Roman"/>
                <w:b w:val="0"/>
                <w:bCs w:val="0"/>
                <w:color w:val="000000" w:themeColor="text1"/>
                <w:sz w:val="24"/>
                <w:lang w:val="en-US" w:eastAsia="zh-CN"/>
              </w:rPr>
              <w:t>成形</w:t>
            </w:r>
            <w:r>
              <w:rPr>
                <w:rFonts w:hint="eastAsia" w:ascii="Times New Roman" w:hAnsi="Times New Roman" w:eastAsia="宋体" w:cs="Times New Roman"/>
                <w:b w:val="0"/>
                <w:bCs w:val="0"/>
                <w:color w:val="000000" w:themeColor="text1"/>
                <w:sz w:val="24"/>
                <w:lang w:val="en-US" w:eastAsia="zh-CN"/>
              </w:rPr>
              <w:t>，本项目塑料颗粒的成型温度均在裂化分解温度以下，理论上在成型温度下不会裂化分解产生游离单体废气。但由于生产加工时需要将塑化熔融状的原料进行挤压</w:t>
            </w:r>
            <w:r>
              <w:rPr>
                <w:rFonts w:hint="eastAsia" w:ascii="Times New Roman" w:hAnsi="Times New Roman" w:cs="Times New Roman"/>
                <w:b w:val="0"/>
                <w:bCs w:val="0"/>
                <w:color w:val="000000" w:themeColor="text1"/>
                <w:sz w:val="24"/>
                <w:lang w:val="en-US" w:eastAsia="zh-CN"/>
              </w:rPr>
              <w:t>成形</w:t>
            </w:r>
            <w:r>
              <w:rPr>
                <w:rFonts w:hint="eastAsia" w:ascii="Times New Roman" w:hAnsi="Times New Roman" w:eastAsia="宋体" w:cs="Times New Roman"/>
                <w:b w:val="0"/>
                <w:bCs w:val="0"/>
                <w:color w:val="000000" w:themeColor="text1"/>
                <w:sz w:val="24"/>
                <w:lang w:val="en-US" w:eastAsia="zh-CN"/>
              </w:rPr>
              <w:t>，在挤塑剪切挤压力作用下，少量分子间发生断链、分解、降解，产生微量游离单体废气。</w:t>
            </w:r>
          </w:p>
          <w:p w14:paraId="69D8D903">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根据《排放源统计调查产排污核算方法和系数手册》中 292 塑料制品业系数手册，项目挤出过程中挥发性有机物（以非甲烷总烃表征）产污系数为2.7kg/吨-产品。本项目产品产量为1500t/a，故挤出工序的有机废气为4.05t/a。</w:t>
            </w:r>
          </w:p>
          <w:p w14:paraId="441E26E6">
            <w:pPr>
              <w:pStyle w:val="170"/>
              <w:keepNext w:val="0"/>
              <w:keepLines w:val="0"/>
              <w:pageBreakBefore w:val="0"/>
              <w:widowControl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塑料粒子挤出工序会产生极少量颗粒物，因挤出过程物料为熔融状态，仅产生少量颗粒物，参考《废塑料预处理行业环境影响评价中常见污染物源强估算及污染治理》（李飞，中国资源综合利用，2019年1月）挤出造粒废气中颗粒物产生系数取0. 15kg/t-原料，则颗粒物产生量约 0.228t/a。</w:t>
            </w:r>
          </w:p>
          <w:p w14:paraId="59361D2E">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在挤出机出料口等产污点设置集气罩，挤出废气经收集后通过冷凝器+两级活性炭吸附装置处理，参考生态环境部《主要污染物总量减排核算技术指南（2022 年修订）》（环办综合函〔2022〕350号），采用密闭式集气罩（负压）时，</w:t>
            </w:r>
            <w:r>
              <w:rPr>
                <w:rFonts w:hint="eastAsia" w:ascii="Times New Roman" w:hAnsi="Times New Roman" w:cs="Times New Roman"/>
                <w:b w:val="0"/>
                <w:bCs w:val="0"/>
                <w:color w:val="000000" w:themeColor="text1"/>
                <w:sz w:val="24"/>
                <w:lang w:val="en-US" w:eastAsia="zh-CN"/>
              </w:rPr>
              <w:t>本项目在挤出出料口设置集气罩，同时将挤出工序二次密闭，</w:t>
            </w:r>
            <w:r>
              <w:rPr>
                <w:rFonts w:hint="eastAsia" w:ascii="Times New Roman" w:hAnsi="Times New Roman" w:eastAsia="宋体" w:cs="Times New Roman"/>
                <w:b w:val="0"/>
                <w:bCs w:val="0"/>
                <w:color w:val="000000" w:themeColor="text1"/>
                <w:sz w:val="24"/>
                <w:lang w:val="en-US" w:eastAsia="zh-CN"/>
              </w:rPr>
              <w:t>收集效率可达到90%，本次评价收集效率90%计，则非甲烷总烃有组织产生量约为3.645t/a ，无组织产生量为0.405t/a；颗粒物有组织产生量约0.20</w:t>
            </w:r>
            <w:r>
              <w:rPr>
                <w:rFonts w:hint="eastAsia" w:ascii="Times New Roman" w:hAnsi="Times New Roman" w:cs="Times New Roman"/>
                <w:b w:val="0"/>
                <w:bCs w:val="0"/>
                <w:color w:val="000000" w:themeColor="text1"/>
                <w:sz w:val="24"/>
                <w:lang w:val="en-US" w:eastAsia="zh-CN"/>
              </w:rPr>
              <w:t>5</w:t>
            </w:r>
            <w:r>
              <w:rPr>
                <w:rFonts w:hint="eastAsia" w:ascii="Times New Roman" w:hAnsi="Times New Roman" w:eastAsia="宋体" w:cs="Times New Roman"/>
                <w:b w:val="0"/>
                <w:bCs w:val="0"/>
                <w:color w:val="000000" w:themeColor="text1"/>
                <w:sz w:val="24"/>
                <w:lang w:val="en-US" w:eastAsia="zh-CN"/>
              </w:rPr>
              <w:t>t/a ，无组织产生量为0.02</w:t>
            </w:r>
            <w:r>
              <w:rPr>
                <w:rFonts w:hint="eastAsia" w:ascii="Times New Roman" w:hAnsi="Times New Roman" w:cs="Times New Roman"/>
                <w:b w:val="0"/>
                <w:bCs w:val="0"/>
                <w:color w:val="000000" w:themeColor="text1"/>
                <w:sz w:val="24"/>
                <w:lang w:val="en-US" w:eastAsia="zh-CN"/>
              </w:rPr>
              <w:t>3</w:t>
            </w:r>
            <w:r>
              <w:rPr>
                <w:rFonts w:hint="eastAsia" w:ascii="Times New Roman" w:hAnsi="Times New Roman" w:eastAsia="宋体" w:cs="Times New Roman"/>
                <w:b w:val="0"/>
                <w:bCs w:val="0"/>
                <w:color w:val="000000" w:themeColor="text1"/>
                <w:sz w:val="24"/>
                <w:lang w:val="en-US" w:eastAsia="zh-CN"/>
              </w:rPr>
              <w:t>t/a。</w:t>
            </w:r>
          </w:p>
          <w:p w14:paraId="068CCD41">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《主要污染物总量减排核算技术指南（2022 年修订）》（环办综合函〔2022〕350号），挥发性有机物采用吸附-蒸气/氮气/空气等脱附-冷凝去除效率为60%，不再生一次性活性炭吸附去除效率15% ，本项目采用</w:t>
            </w:r>
            <w:r>
              <w:rPr>
                <w:rFonts w:hint="eastAsia" w:ascii="Times New Roman" w:hAnsi="Times New Roman" w:cs="Times New Roman"/>
                <w:b w:val="0"/>
                <w:bCs w:val="0"/>
                <w:color w:val="000000" w:themeColor="text1"/>
                <w:sz w:val="24"/>
                <w:lang w:val="en-US" w:eastAsia="zh-CN"/>
              </w:rPr>
              <w:t>一级</w:t>
            </w:r>
            <w:r>
              <w:rPr>
                <w:rFonts w:hint="eastAsia" w:ascii="Times New Roman" w:hAnsi="Times New Roman" w:eastAsia="宋体" w:cs="Times New Roman"/>
                <w:b w:val="0"/>
                <w:bCs w:val="0"/>
                <w:color w:val="000000" w:themeColor="text1"/>
                <w:sz w:val="24"/>
                <w:lang w:val="en-US" w:eastAsia="zh-CN"/>
              </w:rPr>
              <w:t>冷凝+两级活性炭吸附装置，综合去除效率约71.1%，经处理后，非甲烷总烃有组织排放量约为1.053t/a，处理后的尾气经15m高排气筒（DA002）排放。</w:t>
            </w:r>
          </w:p>
          <w:p w14:paraId="6ED3A524">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cs="Times New Roman"/>
                <w:b w:val="0"/>
                <w:bCs w:val="0"/>
                <w:color w:val="000000" w:themeColor="text1"/>
                <w:sz w:val="24"/>
                <w:lang w:val="en-US" w:eastAsia="zh-CN"/>
              </w:rPr>
              <w:t>本项目挤出废气中含有少量颗粒物，夹带在水蒸气以及有机废气中，经一级</w:t>
            </w:r>
            <w:r>
              <w:rPr>
                <w:rFonts w:hint="eastAsia" w:ascii="Times New Roman" w:hAnsi="Times New Roman" w:eastAsia="宋体" w:cs="Times New Roman"/>
                <w:b w:val="0"/>
                <w:bCs w:val="0"/>
                <w:color w:val="000000" w:themeColor="text1"/>
                <w:sz w:val="24"/>
                <w:lang w:val="en-US" w:eastAsia="zh-CN"/>
              </w:rPr>
              <w:t>冷凝+两级活性炭吸附装置处理后排放，颗粒物去除效率以50%计，颗粒物有组织排放量约为0.103t/a。</w:t>
            </w:r>
          </w:p>
          <w:p w14:paraId="4BCE3C83">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bCs/>
                <w:color w:val="000000" w:themeColor="text1"/>
                <w:sz w:val="24"/>
                <w:lang w:val="en-US" w:eastAsia="zh-CN"/>
              </w:rPr>
            </w:pPr>
            <w:r>
              <w:rPr>
                <w:rFonts w:hint="eastAsia" w:ascii="Times New Roman" w:hAnsi="Times New Roman" w:eastAsia="宋体" w:cs="Times New Roman"/>
                <w:b/>
                <w:bCs/>
                <w:color w:val="000000" w:themeColor="text1"/>
                <w:sz w:val="24"/>
                <w:lang w:val="en-US" w:eastAsia="zh-CN"/>
              </w:rPr>
              <w:t>（5）臭气浓度</w:t>
            </w:r>
          </w:p>
          <w:p w14:paraId="7C6EECDB">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挤出、成型工序中除产生有机废气外，同时还会伴有轻微异味产生，以臭气浓度进行表征，本次环评仅定性分析。本项目产生的轻微异味覆盖范围仅限于生产设备至生产车间边界，对外环境影响较小，该类异味对周边环境的影响不大，能够满足《恶臭污染物排放标准》（GB14554-93）表1恶臭污染物厂界标准值中二级标准和表2恶臭污染物排放标准值。</w:t>
            </w:r>
          </w:p>
          <w:p w14:paraId="22D23407">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bCs/>
                <w:color w:val="000000" w:themeColor="text1"/>
                <w:sz w:val="24"/>
                <w:lang w:val="en-US" w:eastAsia="zh-CN"/>
              </w:rPr>
            </w:pPr>
            <w:r>
              <w:rPr>
                <w:rFonts w:hint="eastAsia" w:ascii="Times New Roman" w:hAnsi="Times New Roman" w:eastAsia="宋体" w:cs="Times New Roman"/>
                <w:b/>
                <w:bCs/>
                <w:color w:val="000000" w:themeColor="text1"/>
                <w:sz w:val="24"/>
                <w:lang w:val="en-US" w:eastAsia="zh-CN"/>
              </w:rPr>
              <w:t>（</w:t>
            </w:r>
            <w:r>
              <w:rPr>
                <w:rFonts w:hint="eastAsia" w:ascii="Times New Roman" w:hAnsi="Times New Roman" w:cs="Times New Roman"/>
                <w:b/>
                <w:bCs/>
                <w:color w:val="000000" w:themeColor="text1"/>
                <w:sz w:val="24"/>
                <w:lang w:val="en-US" w:eastAsia="zh-CN"/>
              </w:rPr>
              <w:t>6</w:t>
            </w:r>
            <w:r>
              <w:rPr>
                <w:rFonts w:hint="eastAsia" w:ascii="Times New Roman" w:hAnsi="Times New Roman" w:eastAsia="宋体" w:cs="Times New Roman"/>
                <w:b/>
                <w:bCs/>
                <w:color w:val="000000" w:themeColor="text1"/>
                <w:sz w:val="24"/>
                <w:lang w:val="en-US" w:eastAsia="zh-CN"/>
              </w:rPr>
              <w:t>）色母粒烘干</w:t>
            </w:r>
          </w:p>
          <w:p w14:paraId="441C9E99">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bCs/>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本项目色母粒脱水后将产品转入烘干机低温烘2h，将脱水过程中</w:t>
            </w:r>
            <w:r>
              <w:rPr>
                <w:rFonts w:hint="eastAsia" w:ascii="Times New Roman" w:hAnsi="Times New Roman" w:cs="Times New Roman"/>
                <w:b w:val="0"/>
                <w:bCs w:val="0"/>
                <w:color w:val="000000" w:themeColor="text1"/>
                <w:sz w:val="24"/>
                <w:lang w:val="en-US" w:eastAsia="zh-CN"/>
              </w:rPr>
              <w:t>未</w:t>
            </w:r>
            <w:r>
              <w:rPr>
                <w:rFonts w:hint="eastAsia" w:ascii="Times New Roman" w:hAnsi="Times New Roman" w:eastAsia="宋体" w:cs="Times New Roman"/>
                <w:b w:val="0"/>
                <w:bCs w:val="0"/>
                <w:color w:val="000000" w:themeColor="text1"/>
                <w:sz w:val="24"/>
                <w:lang w:val="en-US" w:eastAsia="zh-CN"/>
              </w:rPr>
              <w:t>完全</w:t>
            </w:r>
            <w:r>
              <w:rPr>
                <w:rFonts w:hint="eastAsia" w:ascii="Times New Roman" w:hAnsi="Times New Roman" w:cs="Times New Roman"/>
                <w:b w:val="0"/>
                <w:bCs w:val="0"/>
                <w:color w:val="000000" w:themeColor="text1"/>
                <w:sz w:val="24"/>
                <w:lang w:val="en-US" w:eastAsia="zh-CN"/>
              </w:rPr>
              <w:t>脱出</w:t>
            </w:r>
            <w:r>
              <w:rPr>
                <w:rFonts w:hint="eastAsia" w:ascii="Times New Roman" w:hAnsi="Times New Roman" w:eastAsia="宋体" w:cs="Times New Roman"/>
                <w:b w:val="0"/>
                <w:bCs w:val="0"/>
                <w:color w:val="000000" w:themeColor="text1"/>
                <w:sz w:val="24"/>
                <w:lang w:val="en-US" w:eastAsia="zh-CN"/>
              </w:rPr>
              <w:t>的水分烘干，此过程温度为50</w:t>
            </w:r>
            <w:r>
              <w:rPr>
                <w:rFonts w:hint="eastAsia" w:ascii="宋体" w:hAnsi="宋体" w:eastAsia="宋体" w:cs="宋体"/>
                <w:b w:val="0"/>
                <w:bCs w:val="0"/>
                <w:color w:val="000000" w:themeColor="text1"/>
                <w:sz w:val="24"/>
                <w:lang w:val="en-US" w:eastAsia="zh-CN"/>
              </w:rPr>
              <w:t>℃</w:t>
            </w:r>
            <w:r>
              <w:rPr>
                <w:rFonts w:hint="eastAsia" w:ascii="Times New Roman" w:hAnsi="Times New Roman" w:eastAsia="宋体" w:cs="Times New Roman"/>
                <w:b w:val="0"/>
                <w:bCs w:val="0"/>
                <w:color w:val="000000" w:themeColor="text1"/>
                <w:sz w:val="24"/>
                <w:lang w:val="en-US" w:eastAsia="zh-CN"/>
              </w:rPr>
              <w:t>，塑料母粒不分解，不会产生挥发性有机物和颗粒物，只有少量水分，通过烘干机排气口排放即可。</w:t>
            </w:r>
          </w:p>
          <w:p w14:paraId="79B824CE">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bCs/>
                <w:color w:val="000000" w:themeColor="text1"/>
                <w:sz w:val="24"/>
                <w:lang w:val="en-US" w:eastAsia="zh-CN"/>
              </w:rPr>
            </w:pPr>
            <w:r>
              <w:rPr>
                <w:rFonts w:hint="eastAsia" w:ascii="Times New Roman" w:hAnsi="Times New Roman" w:eastAsia="宋体" w:cs="Times New Roman"/>
                <w:b/>
                <w:bCs/>
                <w:color w:val="000000" w:themeColor="text1"/>
                <w:sz w:val="24"/>
                <w:lang w:val="en-US" w:eastAsia="zh-CN"/>
              </w:rPr>
              <w:t>废气风量核算：</w:t>
            </w:r>
          </w:p>
          <w:p w14:paraId="05CFD35C">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本项目采用有边集气罩，按照《三废处理工程技术手册废气卷》中的有关公式，其废气收集系统的控制风速要在0.5~ 1.5m/s范围内，以保证收集效果</w:t>
            </w:r>
            <w:r>
              <w:rPr>
                <w:rFonts w:hint="eastAsia" w:ascii="Times New Roman" w:hAnsi="Times New Roman" w:cs="Times New Roman"/>
                <w:b w:val="0"/>
                <w:bCs w:val="0"/>
                <w:color w:val="000000" w:themeColor="text1"/>
                <w:sz w:val="24"/>
                <w:lang w:val="en-US" w:eastAsia="zh-CN"/>
              </w:rPr>
              <w:t>，</w:t>
            </w:r>
            <w:r>
              <w:rPr>
                <w:rFonts w:hint="eastAsia" w:ascii="Times New Roman" w:hAnsi="Times New Roman" w:eastAsia="宋体" w:cs="Times New Roman"/>
                <w:b w:val="0"/>
                <w:bCs w:val="0"/>
                <w:color w:val="000000" w:themeColor="text1"/>
                <w:sz w:val="24"/>
                <w:lang w:val="en-US" w:eastAsia="zh-CN"/>
              </w:rPr>
              <w:t>则按照以下经验公式计算得出各设备所需的风量 Q。</w:t>
            </w:r>
          </w:p>
          <w:p w14:paraId="657E2F83">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Q=0.75</w:t>
            </w:r>
            <w:r>
              <w:rPr>
                <w:rFonts w:hint="eastAsia" w:ascii="Times New Roman" w:hAnsi="Times New Roman" w:cs="Times New Roman"/>
                <w:b w:val="0"/>
                <w:bCs w:val="0"/>
                <w:color w:val="000000" w:themeColor="text1"/>
                <w:sz w:val="24"/>
                <w:lang w:val="en-US" w:eastAsia="zh-CN"/>
              </w:rPr>
              <w:t>(</w:t>
            </w:r>
            <w:r>
              <w:rPr>
                <w:rFonts w:hint="default" w:ascii="Times New Roman" w:hAnsi="Times New Roman" w:eastAsia="宋体" w:cs="Times New Roman"/>
                <w:b w:val="0"/>
                <w:bCs w:val="0"/>
                <w:color w:val="000000" w:themeColor="text1"/>
                <w:sz w:val="24"/>
                <w:lang w:val="en-US" w:eastAsia="zh-CN"/>
              </w:rPr>
              <w:t>10X</w:t>
            </w:r>
            <w:r>
              <w:rPr>
                <w:rFonts w:hint="default" w:ascii="Times New Roman" w:hAnsi="Times New Roman" w:eastAsia="宋体" w:cs="Times New Roman"/>
                <w:b w:val="0"/>
                <w:bCs w:val="0"/>
                <w:color w:val="000000" w:themeColor="text1"/>
                <w:sz w:val="24"/>
                <w:vertAlign w:val="superscript"/>
                <w:lang w:val="en-US" w:eastAsia="zh-CN"/>
              </w:rPr>
              <w:t>2</w:t>
            </w:r>
            <w:r>
              <w:rPr>
                <w:rFonts w:hint="default" w:ascii="Times New Roman" w:hAnsi="Times New Roman" w:eastAsia="宋体" w:cs="Times New Roman"/>
                <w:b w:val="0"/>
                <w:bCs w:val="0"/>
                <w:color w:val="000000" w:themeColor="text1"/>
                <w:sz w:val="24"/>
                <w:lang w:val="en-US" w:eastAsia="zh-CN"/>
              </w:rPr>
              <w:t>+F</w:t>
            </w:r>
            <w:r>
              <w:rPr>
                <w:rFonts w:hint="eastAsia" w:ascii="Times New Roman" w:hAnsi="Times New Roman" w:cs="Times New Roman"/>
                <w:b w:val="0"/>
                <w:bCs w:val="0"/>
                <w:color w:val="000000" w:themeColor="text1"/>
                <w:sz w:val="24"/>
                <w:lang w:val="en-US" w:eastAsia="zh-CN"/>
              </w:rPr>
              <w:t>)</w:t>
            </w:r>
            <w:r>
              <w:rPr>
                <w:rFonts w:hint="default" w:ascii="Times New Roman" w:hAnsi="Times New Roman" w:eastAsia="宋体" w:cs="Times New Roman"/>
                <w:b w:val="0"/>
                <w:bCs w:val="0"/>
                <w:color w:val="000000" w:themeColor="text1"/>
                <w:sz w:val="24"/>
                <w:lang w:val="en-US" w:eastAsia="zh-CN"/>
              </w:rPr>
              <w:t>×Vx</w:t>
            </w:r>
          </w:p>
          <w:p w14:paraId="23737FB2">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其中：Q—风量，m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/s；</w:t>
            </w:r>
          </w:p>
          <w:p w14:paraId="65FA54DC">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X—集气罩至污染源的距离，m；</w:t>
            </w:r>
          </w:p>
          <w:p w14:paraId="046DCC61">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F—集气罩口面积，m</w:t>
            </w:r>
            <w:r>
              <w:rPr>
                <w:rFonts w:hint="eastAsia" w:ascii="Times New Roman" w:hAnsi="Times New Roman" w:eastAsia="宋体" w:cs="Times New Roman"/>
                <w:b w:val="0"/>
                <w:bCs w:val="0"/>
                <w:color w:val="000000" w:themeColor="text1"/>
                <w:sz w:val="24"/>
                <w:vertAlign w:val="superscript"/>
                <w:lang w:val="en-US" w:eastAsia="zh-CN"/>
              </w:rPr>
              <w:t>2</w:t>
            </w:r>
            <w:r>
              <w:rPr>
                <w:rFonts w:hint="eastAsia" w:ascii="Times New Roman" w:hAnsi="Times New Roman" w:eastAsia="宋体" w:cs="Times New Roman"/>
                <w:b w:val="0"/>
                <w:bCs w:val="0"/>
                <w:color w:val="000000" w:themeColor="text1"/>
                <w:sz w:val="24"/>
                <w:lang w:val="en-US" w:eastAsia="zh-CN"/>
              </w:rPr>
              <w:t>；</w:t>
            </w:r>
          </w:p>
          <w:p w14:paraId="49A568A9">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eastAsia"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Vx—控制风速，本项目污染物以缓慢的速度扩散至相对平静的空气中，一般取值0.5~ 1.5m/s，本项目取1.0m/s；</w:t>
            </w:r>
          </w:p>
          <w:p w14:paraId="39836872">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本项目挤出集气罩与污染产生源的距离取0.5m，集气罩大小为0.8m×1.0m，计算得单个集气罩风量为8910Nm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/h，项目挤出机1台，共设置1个集气罩，风量需8910m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/h。根据《吸附法工业有机废气治理工程技术规范》</w:t>
            </w:r>
            <w:r>
              <w:rPr>
                <w:rFonts w:hint="eastAsia" w:ascii="Times New Roman" w:hAnsi="Times New Roman" w:cs="Times New Roman"/>
                <w:b w:val="0"/>
                <w:bCs w:val="0"/>
                <w:color w:val="000000" w:themeColor="text1"/>
                <w:sz w:val="24"/>
                <w:lang w:val="en-US" w:eastAsia="zh-CN"/>
              </w:rPr>
              <w:t>（</w:t>
            </w:r>
            <w:r>
              <w:rPr>
                <w:rFonts w:hint="eastAsia" w:ascii="Times New Roman" w:hAnsi="Times New Roman" w:eastAsia="宋体" w:cs="Times New Roman"/>
                <w:b w:val="0"/>
                <w:bCs w:val="0"/>
                <w:color w:val="000000" w:themeColor="text1"/>
                <w:sz w:val="24"/>
                <w:lang w:val="en-US" w:eastAsia="zh-CN"/>
              </w:rPr>
              <w:t>HJ2026-2013</w:t>
            </w:r>
            <w:r>
              <w:rPr>
                <w:rFonts w:hint="eastAsia" w:ascii="Times New Roman" w:hAnsi="Times New Roman" w:cs="Times New Roman"/>
                <w:b w:val="0"/>
                <w:bCs w:val="0"/>
                <w:color w:val="000000" w:themeColor="text1"/>
                <w:sz w:val="24"/>
                <w:lang w:val="en-US" w:eastAsia="zh-CN"/>
              </w:rPr>
              <w:t>）</w:t>
            </w:r>
            <w:r>
              <w:rPr>
                <w:rFonts w:hint="eastAsia" w:ascii="Times New Roman" w:hAnsi="Times New Roman" w:eastAsia="宋体" w:cs="Times New Roman"/>
                <w:b w:val="0"/>
                <w:bCs w:val="0"/>
                <w:color w:val="000000" w:themeColor="text1"/>
                <w:sz w:val="24"/>
                <w:lang w:val="en-US" w:eastAsia="zh-CN"/>
              </w:rPr>
              <w:t>的要求，活性炭吸附处理系统应预留 120%的风量余量，则设计风量应大于10692m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/h，考虑风机损耗，故本项目挤出设计风量拟采用15000m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/h。本项目挤出废气经冷凝+二级活性炭吸附处理后通过DA002排放。</w:t>
            </w:r>
          </w:p>
          <w:p w14:paraId="3C452A0E">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本项目在混料机的投料口、混料机出料口均设置集气罩（共2个集气罩），集气罩距离与污染产生源的距离取0.3m，集气罩尺寸为0.6m×0.6m，故本项目混料风量需设置6804m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/h，考虑风机损耗，混料风机设置10000m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/h。本项目混料废气</w:t>
            </w:r>
            <w:r>
              <w:rPr>
                <w:rFonts w:hint="eastAsia" w:ascii="Times New Roman" w:hAnsi="Times New Roman" w:cs="Times New Roman"/>
                <w:b w:val="0"/>
                <w:bCs w:val="0"/>
                <w:color w:val="000000" w:themeColor="text1"/>
                <w:sz w:val="24"/>
                <w:lang w:val="en-US" w:eastAsia="zh-CN"/>
              </w:rPr>
              <w:t>经</w:t>
            </w:r>
            <w:r>
              <w:rPr>
                <w:rFonts w:hint="eastAsia" w:ascii="Times New Roman" w:hAnsi="Times New Roman" w:eastAsia="宋体" w:cs="Times New Roman"/>
                <w:b w:val="0"/>
                <w:bCs w:val="0"/>
                <w:color w:val="000000" w:themeColor="text1"/>
                <w:sz w:val="24"/>
                <w:lang w:val="en-US" w:eastAsia="zh-CN"/>
              </w:rPr>
              <w:t>布袋除尘器处理后通过DA002排放。</w:t>
            </w:r>
          </w:p>
          <w:p w14:paraId="4390C7F4">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综上所述，本项目新建排气筒DA002的风量设置</w:t>
            </w:r>
            <w:r>
              <w:rPr>
                <w:rFonts w:hint="eastAsia" w:ascii="Times New Roman" w:hAnsi="Times New Roman" w:cs="Times New Roman"/>
                <w:b w:val="0"/>
                <w:bCs w:val="0"/>
                <w:color w:val="000000" w:themeColor="text1"/>
                <w:sz w:val="24"/>
                <w:lang w:val="en-US" w:eastAsia="zh-CN"/>
              </w:rPr>
              <w:t>30</w:t>
            </w:r>
            <w:r>
              <w:rPr>
                <w:rFonts w:hint="eastAsia" w:ascii="Times New Roman" w:hAnsi="Times New Roman" w:eastAsia="宋体" w:cs="Times New Roman"/>
                <w:b w:val="0"/>
                <w:bCs w:val="0"/>
                <w:color w:val="000000" w:themeColor="text1"/>
                <w:sz w:val="24"/>
                <w:lang w:val="en-US" w:eastAsia="zh-CN"/>
              </w:rPr>
              <w:t>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/h满足要求。</w:t>
            </w:r>
          </w:p>
          <w:p w14:paraId="31B88D69">
            <w:pPr>
              <w:pStyle w:val="170"/>
              <w:keepNext w:val="0"/>
              <w:keepLines w:val="0"/>
              <w:pageBreakBefore w:val="0"/>
              <w:kinsoku/>
              <w:wordWrap/>
              <w:overflowPunct/>
              <w:topLinePunct w:val="0"/>
              <w:autoSpaceDE/>
              <w:autoSpaceDN/>
              <w:bidi w:val="0"/>
              <w:adjustRightInd/>
              <w:snapToGrid/>
              <w:spacing w:line="360" w:lineRule="auto"/>
              <w:ind w:left="0" w:right="0" w:hanging="1"/>
              <w:textAlignment w:val="auto"/>
              <w:rPr>
                <w:rFonts w:hint="default" w:ascii="Times New Roman" w:hAnsi="Times New Roman" w:eastAsia="宋体" w:cs="Times New Roman"/>
                <w:b w:val="0"/>
                <w:bCs w:val="0"/>
                <w:color w:val="000000" w:themeColor="text1"/>
                <w:sz w:val="24"/>
                <w:lang w:val="en-US" w:eastAsia="zh-CN"/>
              </w:rPr>
            </w:pPr>
            <w:r>
              <w:rPr>
                <w:rFonts w:hint="eastAsia" w:ascii="Times New Roman" w:hAnsi="Times New Roman" w:eastAsia="宋体" w:cs="Times New Roman"/>
                <w:b w:val="0"/>
                <w:bCs w:val="0"/>
                <w:color w:val="000000" w:themeColor="text1"/>
                <w:sz w:val="24"/>
                <w:lang w:val="en-US" w:eastAsia="zh-CN"/>
              </w:rPr>
              <w:t>本项目炭黑造粒和烘干均为密闭设备，废气通过设备排气口负压收集，经布袋除尘器处理后通过现有DA001排气筒排放。本项目造粒和烘干的风量为</w:t>
            </w:r>
            <w:r>
              <w:rPr>
                <w:rFonts w:hint="eastAsia" w:ascii="Times New Roman" w:hAnsi="Times New Roman" w:cs="Times New Roman"/>
                <w:b w:val="0"/>
                <w:bCs w:val="0"/>
                <w:color w:val="000000" w:themeColor="text1"/>
                <w:sz w:val="24"/>
                <w:lang w:val="en-US" w:eastAsia="zh-CN"/>
              </w:rPr>
              <w:t>8</w:t>
            </w:r>
            <w:r>
              <w:rPr>
                <w:rFonts w:hint="eastAsia" w:ascii="Times New Roman" w:hAnsi="Times New Roman" w:eastAsia="宋体" w:cs="Times New Roman"/>
                <w:b w:val="0"/>
                <w:bCs w:val="0"/>
                <w:color w:val="000000" w:themeColor="text1"/>
                <w:sz w:val="24"/>
                <w:lang w:val="en-US" w:eastAsia="zh-CN"/>
              </w:rPr>
              <w:t>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/h，现有项目炭黑生产的废气处理风量为</w:t>
            </w:r>
            <w:r>
              <w:rPr>
                <w:rFonts w:hint="eastAsia" w:ascii="Times New Roman" w:hAnsi="Times New Roman" w:cs="Times New Roman"/>
                <w:b w:val="0"/>
                <w:bCs w:val="0"/>
                <w:color w:val="000000" w:themeColor="text1"/>
                <w:sz w:val="24"/>
                <w:lang w:val="en-US" w:eastAsia="zh-CN"/>
              </w:rPr>
              <w:t>120</w:t>
            </w:r>
            <w:r>
              <w:rPr>
                <w:rFonts w:hint="eastAsia" w:ascii="Times New Roman" w:hAnsi="Times New Roman" w:eastAsia="宋体" w:cs="Times New Roman"/>
                <w:b w:val="0"/>
                <w:bCs w:val="0"/>
                <w:color w:val="000000" w:themeColor="text1"/>
                <w:sz w:val="24"/>
                <w:lang w:val="en-US" w:eastAsia="zh-CN"/>
              </w:rPr>
              <w:t>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/h，扩建后DA001的风量为</w:t>
            </w:r>
            <w:r>
              <w:rPr>
                <w:rFonts w:hint="eastAsia" w:ascii="Times New Roman" w:hAnsi="Times New Roman" w:cs="Times New Roman"/>
                <w:b w:val="0"/>
                <w:bCs w:val="0"/>
                <w:color w:val="000000" w:themeColor="text1"/>
                <w:sz w:val="24"/>
                <w:lang w:val="en-US" w:eastAsia="zh-CN"/>
              </w:rPr>
              <w:t>2</w:t>
            </w:r>
            <w:r>
              <w:rPr>
                <w:rFonts w:hint="eastAsia" w:ascii="Times New Roman" w:hAnsi="Times New Roman" w:eastAsia="宋体" w:cs="Times New Roman"/>
                <w:b w:val="0"/>
                <w:bCs w:val="0"/>
                <w:color w:val="000000" w:themeColor="text1"/>
                <w:sz w:val="24"/>
                <w:lang w:val="en-US" w:eastAsia="zh-CN"/>
              </w:rPr>
              <w:t>0000m</w:t>
            </w:r>
            <w:r>
              <w:rPr>
                <w:rFonts w:hint="eastAsia" w:ascii="Times New Roman" w:hAnsi="Times New Roman" w:eastAsia="宋体" w:cs="Times New Roman"/>
                <w:b w:val="0"/>
                <w:bCs w:val="0"/>
                <w:color w:val="000000" w:themeColor="text1"/>
                <w:sz w:val="24"/>
                <w:vertAlign w:val="superscript"/>
                <w:lang w:val="en-US" w:eastAsia="zh-CN"/>
              </w:rPr>
              <w:t>3</w:t>
            </w:r>
            <w:r>
              <w:rPr>
                <w:rFonts w:hint="eastAsia" w:ascii="Times New Roman" w:hAnsi="Times New Roman" w:eastAsia="宋体" w:cs="Times New Roman"/>
                <w:b w:val="0"/>
                <w:bCs w:val="0"/>
                <w:color w:val="000000" w:themeColor="text1"/>
                <w:sz w:val="24"/>
                <w:lang w:val="en-US" w:eastAsia="zh-CN"/>
              </w:rPr>
              <w:t>/h。</w:t>
            </w:r>
          </w:p>
          <w:p w14:paraId="6741DC31">
            <w:pPr>
              <w:pStyle w:val="170"/>
              <w:spacing w:before="39" w:line="359" w:lineRule="auto"/>
              <w:ind w:left="109" w:right="21" w:hanging="1"/>
              <w:rPr>
                <w:rFonts w:hint="default" w:ascii="Times New Roman" w:hAnsi="Times New Roman" w:eastAsia="宋体" w:cs="Times New Roman"/>
                <w:color w:val="000000" w:themeColor="text1"/>
              </w:rPr>
            </w:pPr>
          </w:p>
        </w:tc>
      </w:tr>
    </w:tbl>
    <w:p w14:paraId="3DCB5FF4">
      <w:pPr>
        <w:adjustRightInd w:val="0"/>
        <w:snapToGrid w:val="0"/>
        <w:ind w:firstLine="562"/>
        <w:rPr>
          <w:rFonts w:hint="default" w:ascii="Times New Roman" w:hAnsi="Times New Roman" w:eastAsia="宋体" w:cs="Times New Roman"/>
          <w:b/>
          <w:color w:val="000000" w:themeColor="text1"/>
          <w:kern w:val="0"/>
          <w:sz w:val="28"/>
          <w:szCs w:val="28"/>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tbl>
      <w:tblPr>
        <w:tblStyle w:val="33"/>
        <w:tblW w:w="12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2499"/>
      </w:tblGrid>
      <w:tr w14:paraId="2B393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91" w:hRule="atLeast"/>
          <w:jc w:val="center"/>
        </w:trPr>
        <w:tc>
          <w:tcPr>
            <w:tcW w:w="421" w:type="dxa"/>
            <w:tcMar>
              <w:left w:w="28" w:type="dxa"/>
              <w:right w:w="28" w:type="dxa"/>
            </w:tcMar>
            <w:vAlign w:val="center"/>
          </w:tcPr>
          <w:p w14:paraId="624CD278">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运营</w:t>
            </w:r>
          </w:p>
          <w:p w14:paraId="12A482FC">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期环</w:t>
            </w:r>
          </w:p>
          <w:p w14:paraId="50DE5482">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境影</w:t>
            </w:r>
          </w:p>
          <w:p w14:paraId="4F5CB466">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响和</w:t>
            </w:r>
          </w:p>
          <w:p w14:paraId="79A0DF9B">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保护</w:t>
            </w:r>
          </w:p>
          <w:p w14:paraId="793F5A2A">
            <w:pPr>
              <w:adjustRightInd w:val="0"/>
              <w:snapToGrid w:val="0"/>
              <w:spacing w:line="240" w:lineRule="auto"/>
              <w:ind w:firstLine="0" w:firstLineChars="0"/>
              <w:jc w:val="center"/>
              <w:rPr>
                <w:rFonts w:hint="default" w:ascii="Times New Roman" w:hAnsi="Times New Roman" w:eastAsia="宋体" w:cs="Times New Roman"/>
                <w:bCs/>
                <w:color w:val="000000" w:themeColor="text1"/>
                <w:kern w:val="2"/>
                <w:sz w:val="21"/>
                <w:szCs w:val="21"/>
              </w:rPr>
            </w:pPr>
            <w:r>
              <w:rPr>
                <w:rFonts w:hint="default" w:ascii="Times New Roman" w:hAnsi="Times New Roman" w:eastAsia="宋体" w:cs="Times New Roman"/>
                <w:b/>
                <w:bCs w:val="0"/>
                <w:color w:val="000000" w:themeColor="text1"/>
                <w:szCs w:val="21"/>
              </w:rPr>
              <w:t>措施</w:t>
            </w:r>
          </w:p>
        </w:tc>
        <w:tc>
          <w:tcPr>
            <w:tcW w:w="12499" w:type="dxa"/>
            <w:vAlign w:val="center"/>
          </w:tcPr>
          <w:p w14:paraId="0577E0FD">
            <w:pPr>
              <w:pStyle w:val="7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b/>
                <w:color w:val="000000" w:themeColor="text1"/>
                <w:sz w:val="21"/>
                <w:szCs w:val="21"/>
              </w:rPr>
              <w:t>表</w:t>
            </w:r>
            <w:r>
              <w:rPr>
                <w:rFonts w:hint="default" w:ascii="Times New Roman" w:hAnsi="Times New Roman" w:eastAsia="宋体" w:cs="Times New Roman"/>
                <w:b/>
                <w:color w:val="000000" w:themeColor="text1"/>
                <w:sz w:val="21"/>
                <w:szCs w:val="21"/>
                <w:lang w:val="en-US"/>
              </w:rPr>
              <w:t>4-</w:t>
            </w:r>
            <w:r>
              <w:rPr>
                <w:rFonts w:hint="eastAsia" w:ascii="Times New Roman" w:hAnsi="Times New Roman" w:eastAsia="宋体" w:cs="Times New Roman"/>
                <w:b/>
                <w:color w:val="000000" w:themeColor="text1"/>
                <w:sz w:val="21"/>
                <w:szCs w:val="21"/>
                <w:lang w:val="en-US" w:eastAsia="zh-CN"/>
              </w:rPr>
              <w:t xml:space="preserve">7 </w:t>
            </w:r>
            <w:r>
              <w:rPr>
                <w:rFonts w:hint="default" w:ascii="Times New Roman" w:hAnsi="Times New Roman" w:eastAsia="宋体" w:cs="Times New Roman"/>
                <w:b/>
                <w:color w:val="000000" w:themeColor="text1"/>
                <w:sz w:val="21"/>
                <w:szCs w:val="21"/>
                <w:lang w:val="en-US"/>
              </w:rPr>
              <w:t xml:space="preserve"> </w:t>
            </w:r>
            <w:r>
              <w:rPr>
                <w:rFonts w:hint="eastAsia" w:ascii="Times New Roman" w:hAnsi="Times New Roman" w:eastAsia="宋体" w:cs="Times New Roman"/>
                <w:b/>
                <w:color w:val="000000" w:themeColor="text1"/>
                <w:sz w:val="21"/>
                <w:szCs w:val="21"/>
                <w:lang w:val="en-US" w:eastAsia="zh-CN"/>
              </w:rPr>
              <w:t>本项目</w:t>
            </w:r>
            <w:r>
              <w:rPr>
                <w:rFonts w:hint="default" w:ascii="Times New Roman" w:hAnsi="Times New Roman" w:eastAsia="宋体" w:cs="Times New Roman"/>
                <w:b/>
                <w:color w:val="000000" w:themeColor="text1"/>
                <w:sz w:val="21"/>
                <w:szCs w:val="21"/>
              </w:rPr>
              <w:t>废气产排情况一览表</w:t>
            </w:r>
          </w:p>
          <w:tbl>
            <w:tblPr>
              <w:tblStyle w:val="131"/>
              <w:tblpPr w:leftFromText="180" w:rightFromText="180" w:vertAnchor="text" w:horzAnchor="page" w:tblpX="-88" w:tblpY="277"/>
              <w:tblOverlap w:val="never"/>
              <w:tblW w:w="1243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69"/>
              <w:gridCol w:w="742"/>
              <w:gridCol w:w="929"/>
              <w:gridCol w:w="1039"/>
              <w:gridCol w:w="775"/>
              <w:gridCol w:w="945"/>
              <w:gridCol w:w="720"/>
              <w:gridCol w:w="645"/>
              <w:gridCol w:w="870"/>
              <w:gridCol w:w="702"/>
              <w:gridCol w:w="779"/>
              <w:gridCol w:w="829"/>
              <w:gridCol w:w="885"/>
              <w:gridCol w:w="750"/>
              <w:gridCol w:w="1157"/>
            </w:tblGrid>
            <w:tr w14:paraId="097D3D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669" w:type="dxa"/>
                  <w:vMerge w:val="restart"/>
                  <w:tcBorders>
                    <w:tl2br w:val="nil"/>
                    <w:tr2bl w:val="nil"/>
                  </w:tcBorders>
                  <w:vAlign w:val="center"/>
                </w:tcPr>
                <w:p w14:paraId="5445888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废气产污环节</w:t>
                  </w:r>
                </w:p>
              </w:tc>
              <w:tc>
                <w:tcPr>
                  <w:tcW w:w="742" w:type="dxa"/>
                  <w:vMerge w:val="restart"/>
                  <w:tcBorders>
                    <w:tl2br w:val="nil"/>
                    <w:tr2bl w:val="nil"/>
                  </w:tcBorders>
                  <w:vAlign w:val="center"/>
                </w:tcPr>
                <w:p w14:paraId="445DDB6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污染物种类</w:t>
                  </w:r>
                </w:p>
              </w:tc>
              <w:tc>
                <w:tcPr>
                  <w:tcW w:w="929" w:type="dxa"/>
                  <w:vMerge w:val="restart"/>
                  <w:tcBorders>
                    <w:tl2br w:val="nil"/>
                    <w:tr2bl w:val="nil"/>
                  </w:tcBorders>
                  <w:vAlign w:val="center"/>
                </w:tcPr>
                <w:p w14:paraId="6E78684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color w:val="000000" w:themeColor="text1"/>
                      <w:spacing w:val="-4"/>
                      <w:sz w:val="21"/>
                      <w:szCs w:val="21"/>
                      <w:lang w:val="en-US" w:eastAsia="zh-CN"/>
                    </w:rPr>
                  </w:pPr>
                  <w:r>
                    <w:rPr>
                      <w:rFonts w:hint="eastAsia" w:ascii="Times New Roman" w:hAnsi="Times New Roman" w:eastAsia="宋体" w:cs="Times New Roman"/>
                      <w:b/>
                      <w:bCs/>
                      <w:color w:val="000000" w:themeColor="text1"/>
                      <w:spacing w:val="-4"/>
                      <w:sz w:val="21"/>
                      <w:szCs w:val="21"/>
                      <w:lang w:val="en-US" w:eastAsia="zh-CN"/>
                    </w:rPr>
                    <w:t>排放形式</w:t>
                  </w:r>
                </w:p>
              </w:tc>
              <w:tc>
                <w:tcPr>
                  <w:tcW w:w="1814" w:type="dxa"/>
                  <w:gridSpan w:val="2"/>
                  <w:tcBorders>
                    <w:tl2br w:val="nil"/>
                    <w:tr2bl w:val="nil"/>
                  </w:tcBorders>
                  <w:vAlign w:val="center"/>
                </w:tcPr>
                <w:p w14:paraId="4DA392C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rPr>
                  </w:pPr>
                  <w:r>
                    <w:rPr>
                      <w:rFonts w:hint="default" w:ascii="Times New Roman" w:hAnsi="Times New Roman" w:eastAsia="宋体" w:cs="Times New Roman"/>
                      <w:b/>
                      <w:bCs/>
                      <w:color w:val="000000" w:themeColor="text1"/>
                      <w:spacing w:val="-2"/>
                      <w:sz w:val="21"/>
                      <w:szCs w:val="21"/>
                    </w:rPr>
                    <w:t>污染物产生量</w:t>
                  </w:r>
                </w:p>
              </w:tc>
              <w:tc>
                <w:tcPr>
                  <w:tcW w:w="3180" w:type="dxa"/>
                  <w:gridSpan w:val="4"/>
                  <w:tcBorders>
                    <w:tl2br w:val="nil"/>
                    <w:tr2bl w:val="nil"/>
                  </w:tcBorders>
                  <w:vAlign w:val="center"/>
                </w:tcPr>
                <w:p w14:paraId="279DEC6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3"/>
                      <w:sz w:val="21"/>
                      <w:szCs w:val="21"/>
                    </w:rPr>
                    <w:t>治理设施</w:t>
                  </w:r>
                </w:p>
              </w:tc>
              <w:tc>
                <w:tcPr>
                  <w:tcW w:w="2310" w:type="dxa"/>
                  <w:gridSpan w:val="3"/>
                  <w:tcBorders>
                    <w:tl2br w:val="nil"/>
                    <w:tr2bl w:val="nil"/>
                  </w:tcBorders>
                  <w:vAlign w:val="center"/>
                </w:tcPr>
                <w:p w14:paraId="2B0A9BC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2"/>
                      <w:sz w:val="21"/>
                      <w:szCs w:val="21"/>
                    </w:rPr>
                    <w:t>污染物排放量</w:t>
                  </w:r>
                </w:p>
              </w:tc>
              <w:tc>
                <w:tcPr>
                  <w:tcW w:w="1635" w:type="dxa"/>
                  <w:gridSpan w:val="2"/>
                  <w:tcBorders>
                    <w:tl2br w:val="nil"/>
                    <w:tr2bl w:val="nil"/>
                  </w:tcBorders>
                  <w:vAlign w:val="center"/>
                </w:tcPr>
                <w:p w14:paraId="3732EA5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2"/>
                      <w:sz w:val="21"/>
                      <w:szCs w:val="21"/>
                    </w:rPr>
                    <w:t>排放标准</w:t>
                  </w:r>
                </w:p>
              </w:tc>
              <w:tc>
                <w:tcPr>
                  <w:tcW w:w="1157" w:type="dxa"/>
                  <w:vMerge w:val="restart"/>
                  <w:tcBorders>
                    <w:tl2br w:val="nil"/>
                    <w:tr2bl w:val="nil"/>
                  </w:tcBorders>
                  <w:vAlign w:val="center"/>
                </w:tcPr>
                <w:p w14:paraId="4302F4E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color w:val="000000" w:themeColor="text1"/>
                      <w:spacing w:val="-2"/>
                      <w:sz w:val="21"/>
                      <w:szCs w:val="21"/>
                      <w:lang w:val="en-US" w:eastAsia="zh-CN"/>
                    </w:rPr>
                  </w:pPr>
                  <w:r>
                    <w:rPr>
                      <w:rFonts w:hint="eastAsia" w:ascii="Times New Roman" w:hAnsi="Times New Roman" w:eastAsia="宋体" w:cs="Times New Roman"/>
                      <w:b/>
                      <w:bCs/>
                      <w:color w:val="000000" w:themeColor="text1"/>
                      <w:spacing w:val="-2"/>
                      <w:sz w:val="21"/>
                      <w:szCs w:val="21"/>
                      <w:lang w:val="en-US" w:eastAsia="zh-CN"/>
                    </w:rPr>
                    <w:t>排放时间</w:t>
                  </w:r>
                </w:p>
                <w:p w14:paraId="63D7B62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lang w:val="en-US" w:eastAsia="zh-CN"/>
                    </w:rPr>
                  </w:pPr>
                  <w:r>
                    <w:rPr>
                      <w:rFonts w:hint="eastAsia" w:ascii="Times New Roman" w:hAnsi="Times New Roman" w:cs="Times New Roman"/>
                      <w:b/>
                      <w:bCs/>
                      <w:color w:val="000000" w:themeColor="text1"/>
                      <w:spacing w:val="-2"/>
                      <w:sz w:val="21"/>
                      <w:szCs w:val="21"/>
                      <w:lang w:val="en-US" w:eastAsia="zh-CN"/>
                    </w:rPr>
                    <w:t>(</w:t>
                  </w:r>
                  <w:r>
                    <w:rPr>
                      <w:rFonts w:hint="eastAsia" w:ascii="Times New Roman" w:hAnsi="Times New Roman" w:eastAsia="宋体" w:cs="Times New Roman"/>
                      <w:b/>
                      <w:bCs/>
                      <w:color w:val="000000" w:themeColor="text1"/>
                      <w:spacing w:val="-2"/>
                      <w:sz w:val="21"/>
                      <w:szCs w:val="21"/>
                      <w:lang w:val="en-US" w:eastAsia="zh-CN"/>
                    </w:rPr>
                    <w:t>h/a</w:t>
                  </w:r>
                  <w:r>
                    <w:rPr>
                      <w:rFonts w:hint="eastAsia" w:ascii="Times New Roman" w:hAnsi="Times New Roman" w:cs="Times New Roman"/>
                      <w:b/>
                      <w:bCs/>
                      <w:color w:val="000000" w:themeColor="text1"/>
                      <w:spacing w:val="-2"/>
                      <w:sz w:val="21"/>
                      <w:szCs w:val="21"/>
                      <w:lang w:val="en-US" w:eastAsia="zh-CN"/>
                    </w:rPr>
                    <w:t>)</w:t>
                  </w:r>
                </w:p>
              </w:tc>
            </w:tr>
            <w:tr w14:paraId="3DA1C6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669" w:type="dxa"/>
                  <w:vMerge w:val="continue"/>
                  <w:tcBorders>
                    <w:tl2br w:val="nil"/>
                    <w:tr2bl w:val="nil"/>
                  </w:tcBorders>
                  <w:vAlign w:val="center"/>
                </w:tcPr>
                <w:p w14:paraId="245414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p>
              </w:tc>
              <w:tc>
                <w:tcPr>
                  <w:tcW w:w="742" w:type="dxa"/>
                  <w:vMerge w:val="continue"/>
                  <w:tcBorders>
                    <w:tl2br w:val="nil"/>
                    <w:tr2bl w:val="nil"/>
                  </w:tcBorders>
                  <w:vAlign w:val="center"/>
                </w:tcPr>
                <w:p w14:paraId="6A9CBD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p>
              </w:tc>
              <w:tc>
                <w:tcPr>
                  <w:tcW w:w="929" w:type="dxa"/>
                  <w:vMerge w:val="continue"/>
                  <w:tcBorders>
                    <w:tl2br w:val="nil"/>
                    <w:tr2bl w:val="nil"/>
                  </w:tcBorders>
                  <w:vAlign w:val="center"/>
                </w:tcPr>
                <w:p w14:paraId="6D36DDC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p>
              </w:tc>
              <w:tc>
                <w:tcPr>
                  <w:tcW w:w="1039" w:type="dxa"/>
                  <w:tcBorders>
                    <w:tl2br w:val="nil"/>
                    <w:tr2bl w:val="nil"/>
                  </w:tcBorders>
                  <w:vAlign w:val="center"/>
                </w:tcPr>
                <w:p w14:paraId="523FF98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3"/>
                      <w:sz w:val="21"/>
                      <w:szCs w:val="21"/>
                    </w:rPr>
                    <w:t>产生速</w:t>
                  </w:r>
                  <w:r>
                    <w:rPr>
                      <w:rFonts w:hint="default" w:ascii="Times New Roman" w:hAnsi="Times New Roman" w:eastAsia="宋体" w:cs="Times New Roman"/>
                      <w:b/>
                      <w:bCs/>
                      <w:color w:val="000000" w:themeColor="text1"/>
                      <w:sz w:val="21"/>
                      <w:szCs w:val="21"/>
                    </w:rPr>
                    <w:t>率</w:t>
                  </w:r>
                </w:p>
                <w:p w14:paraId="20858C6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1"/>
                      <w:sz w:val="21"/>
                      <w:szCs w:val="21"/>
                    </w:rPr>
                    <w:t>kg/h</w:t>
                  </w:r>
                </w:p>
              </w:tc>
              <w:tc>
                <w:tcPr>
                  <w:tcW w:w="775" w:type="dxa"/>
                  <w:tcBorders>
                    <w:tl2br w:val="nil"/>
                    <w:tr2bl w:val="nil"/>
                  </w:tcBorders>
                  <w:vAlign w:val="center"/>
                </w:tcPr>
                <w:p w14:paraId="090BC5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3"/>
                      <w:sz w:val="21"/>
                      <w:szCs w:val="21"/>
                    </w:rPr>
                    <w:t>产生量</w:t>
                  </w:r>
                  <w:r>
                    <w:rPr>
                      <w:rFonts w:hint="default" w:ascii="Times New Roman" w:hAnsi="Times New Roman" w:eastAsia="宋体" w:cs="Times New Roman"/>
                      <w:b/>
                      <w:bCs/>
                      <w:color w:val="000000" w:themeColor="text1"/>
                      <w:spacing w:val="-1"/>
                      <w:sz w:val="21"/>
                      <w:szCs w:val="21"/>
                    </w:rPr>
                    <w:t>t/a</w:t>
                  </w:r>
                </w:p>
              </w:tc>
              <w:tc>
                <w:tcPr>
                  <w:tcW w:w="945" w:type="dxa"/>
                  <w:tcBorders>
                    <w:tl2br w:val="nil"/>
                    <w:tr2bl w:val="nil"/>
                  </w:tcBorders>
                  <w:vAlign w:val="center"/>
                </w:tcPr>
                <w:p w14:paraId="6C9135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lang w:val="en-US" w:eastAsia="zh-CN"/>
                    </w:rPr>
                  </w:pPr>
                  <w:r>
                    <w:rPr>
                      <w:rFonts w:hint="default" w:ascii="Times New Roman" w:hAnsi="Times New Roman" w:eastAsia="宋体" w:cs="Times New Roman"/>
                      <w:b/>
                      <w:bCs/>
                      <w:color w:val="000000" w:themeColor="text1"/>
                      <w:spacing w:val="-2"/>
                      <w:sz w:val="21"/>
                      <w:szCs w:val="21"/>
                      <w:lang w:val="en-US" w:eastAsia="zh-CN"/>
                    </w:rPr>
                    <w:t>治理设施</w:t>
                  </w:r>
                </w:p>
              </w:tc>
              <w:tc>
                <w:tcPr>
                  <w:tcW w:w="720" w:type="dxa"/>
                  <w:tcBorders>
                    <w:tl2br w:val="nil"/>
                    <w:tr2bl w:val="nil"/>
                  </w:tcBorders>
                  <w:vAlign w:val="center"/>
                </w:tcPr>
                <w:p w14:paraId="6CFE91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lang w:val="en-US" w:eastAsia="zh-CN"/>
                    </w:rPr>
                  </w:pPr>
                  <w:r>
                    <w:rPr>
                      <w:rFonts w:hint="default" w:ascii="Times New Roman" w:hAnsi="Times New Roman" w:eastAsia="宋体" w:cs="Times New Roman"/>
                      <w:b/>
                      <w:bCs/>
                      <w:color w:val="000000" w:themeColor="text1"/>
                      <w:spacing w:val="-2"/>
                      <w:sz w:val="21"/>
                      <w:szCs w:val="21"/>
                      <w:lang w:val="en-US" w:eastAsia="zh-CN"/>
                    </w:rPr>
                    <w:t>收集效率%</w:t>
                  </w:r>
                </w:p>
              </w:tc>
              <w:tc>
                <w:tcPr>
                  <w:tcW w:w="645" w:type="dxa"/>
                  <w:tcBorders>
                    <w:tl2br w:val="nil"/>
                    <w:tr2bl w:val="nil"/>
                  </w:tcBorders>
                  <w:vAlign w:val="center"/>
                </w:tcPr>
                <w:p w14:paraId="14CD28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lang w:val="en-US" w:eastAsia="zh-CN"/>
                    </w:rPr>
                  </w:pPr>
                </w:p>
                <w:p w14:paraId="3B9DCF3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2"/>
                      <w:sz w:val="21"/>
                      <w:szCs w:val="21"/>
                      <w:lang w:val="en-US" w:eastAsia="zh-CN"/>
                    </w:rPr>
                  </w:pPr>
                  <w:r>
                    <w:rPr>
                      <w:rFonts w:hint="default" w:ascii="Times New Roman" w:hAnsi="Times New Roman" w:eastAsia="宋体" w:cs="Times New Roman"/>
                      <w:b/>
                      <w:bCs/>
                      <w:color w:val="000000" w:themeColor="text1"/>
                      <w:spacing w:val="-2"/>
                      <w:sz w:val="21"/>
                      <w:szCs w:val="21"/>
                      <w:lang w:val="en-US" w:eastAsia="zh-CN"/>
                    </w:rPr>
                    <w:t>处理效率%</w:t>
                  </w:r>
                </w:p>
              </w:tc>
              <w:tc>
                <w:tcPr>
                  <w:tcW w:w="870" w:type="dxa"/>
                  <w:tcBorders>
                    <w:tl2br w:val="nil"/>
                    <w:tr2bl w:val="nil"/>
                  </w:tcBorders>
                  <w:vAlign w:val="center"/>
                </w:tcPr>
                <w:p w14:paraId="185114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p>
                <w:p w14:paraId="27A07E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p>
                <w:p w14:paraId="15AB249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4"/>
                      <w:sz w:val="21"/>
                      <w:szCs w:val="21"/>
                    </w:rPr>
                    <w:t>风量</w:t>
                  </w:r>
                  <w:r>
                    <w:rPr>
                      <w:rFonts w:hint="default" w:ascii="Times New Roman" w:hAnsi="Times New Roman" w:eastAsia="宋体" w:cs="Times New Roman"/>
                      <w:b/>
                      <w:bCs/>
                      <w:color w:val="000000" w:themeColor="text1"/>
                      <w:sz w:val="21"/>
                      <w:szCs w:val="21"/>
                    </w:rPr>
                    <w:t>m</w:t>
                  </w:r>
                  <w:r>
                    <w:rPr>
                      <w:rFonts w:hint="eastAsia" w:ascii="Times New Roman" w:hAnsi="Times New Roman" w:eastAsia="宋体" w:cs="Times New Roman"/>
                      <w:b/>
                      <w:bCs/>
                      <w:color w:val="000000" w:themeColor="text1"/>
                      <w:sz w:val="21"/>
                      <w:szCs w:val="21"/>
                      <w:vertAlign w:val="superscript"/>
                      <w:lang w:val="en-US" w:eastAsia="zh-CN"/>
                    </w:rPr>
                    <w:t>3</w:t>
                  </w:r>
                  <w:r>
                    <w:rPr>
                      <w:rFonts w:hint="default" w:ascii="Times New Roman" w:hAnsi="Times New Roman" w:eastAsia="宋体" w:cs="Times New Roman"/>
                      <w:b/>
                      <w:bCs/>
                      <w:color w:val="000000" w:themeColor="text1"/>
                      <w:sz w:val="21"/>
                      <w:szCs w:val="21"/>
                    </w:rPr>
                    <w:t>/h</w:t>
                  </w:r>
                </w:p>
              </w:tc>
              <w:tc>
                <w:tcPr>
                  <w:tcW w:w="702" w:type="dxa"/>
                  <w:tcBorders>
                    <w:tl2br w:val="nil"/>
                    <w:tr2bl w:val="nil"/>
                  </w:tcBorders>
                  <w:vAlign w:val="center"/>
                </w:tcPr>
                <w:p w14:paraId="2697577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4"/>
                      <w:sz w:val="21"/>
                      <w:szCs w:val="21"/>
                    </w:rPr>
                    <w:t>排放</w:t>
                  </w:r>
                  <w:r>
                    <w:rPr>
                      <w:rFonts w:hint="default" w:ascii="Times New Roman" w:hAnsi="Times New Roman" w:eastAsia="宋体" w:cs="Times New Roman"/>
                      <w:b/>
                      <w:bCs/>
                      <w:color w:val="000000" w:themeColor="text1"/>
                      <w:spacing w:val="29"/>
                      <w:sz w:val="21"/>
                      <w:szCs w:val="21"/>
                    </w:rPr>
                    <w:t>浓度</w:t>
                  </w:r>
                  <w:r>
                    <w:rPr>
                      <w:rFonts w:hint="default" w:ascii="Times New Roman" w:hAnsi="Times New Roman" w:eastAsia="宋体" w:cs="Times New Roman"/>
                      <w:b/>
                      <w:bCs/>
                      <w:color w:val="000000" w:themeColor="text1"/>
                      <w:sz w:val="21"/>
                      <w:szCs w:val="21"/>
                    </w:rPr>
                    <w:t>mg/m</w:t>
                  </w:r>
                  <w:r>
                    <w:rPr>
                      <w:rFonts w:hint="eastAsia" w:ascii="Times New Roman" w:hAnsi="Times New Roman" w:eastAsia="宋体" w:cs="Times New Roman"/>
                      <w:b/>
                      <w:bCs/>
                      <w:color w:val="000000" w:themeColor="text1"/>
                      <w:sz w:val="21"/>
                      <w:szCs w:val="21"/>
                      <w:vertAlign w:val="superscript"/>
                      <w:lang w:val="en-US" w:eastAsia="zh-CN"/>
                    </w:rPr>
                    <w:t>3</w:t>
                  </w:r>
                </w:p>
              </w:tc>
              <w:tc>
                <w:tcPr>
                  <w:tcW w:w="779" w:type="dxa"/>
                  <w:tcBorders>
                    <w:tl2br w:val="nil"/>
                    <w:tr2bl w:val="nil"/>
                  </w:tcBorders>
                  <w:vAlign w:val="center"/>
                </w:tcPr>
                <w:p w14:paraId="50DAB8E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3"/>
                      <w:sz w:val="21"/>
                      <w:szCs w:val="21"/>
                    </w:rPr>
                    <w:t>排放速</w:t>
                  </w:r>
                  <w:r>
                    <w:rPr>
                      <w:rFonts w:hint="default" w:ascii="Times New Roman" w:hAnsi="Times New Roman" w:eastAsia="宋体" w:cs="Times New Roman"/>
                      <w:b/>
                      <w:bCs/>
                      <w:color w:val="000000" w:themeColor="text1"/>
                      <w:sz w:val="21"/>
                      <w:szCs w:val="21"/>
                    </w:rPr>
                    <w:t>率</w:t>
                  </w:r>
                </w:p>
                <w:p w14:paraId="6CC741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pacing w:val="-1"/>
                      <w:sz w:val="21"/>
                      <w:szCs w:val="21"/>
                    </w:rPr>
                    <w:t>kg/h</w:t>
                  </w:r>
                </w:p>
              </w:tc>
              <w:tc>
                <w:tcPr>
                  <w:tcW w:w="829" w:type="dxa"/>
                  <w:tcBorders>
                    <w:tl2br w:val="nil"/>
                    <w:tr2bl w:val="nil"/>
                  </w:tcBorders>
                  <w:vAlign w:val="center"/>
                </w:tcPr>
                <w:p w14:paraId="0B9C900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pacing w:val="-4"/>
                      <w:sz w:val="21"/>
                      <w:szCs w:val="21"/>
                    </w:rPr>
                    <w:t>排放</w:t>
                  </w:r>
                  <w:r>
                    <w:rPr>
                      <w:rFonts w:hint="default" w:ascii="Times New Roman" w:hAnsi="Times New Roman" w:eastAsia="宋体" w:cs="Times New Roman"/>
                      <w:b/>
                      <w:bCs/>
                      <w:color w:val="000000" w:themeColor="text1"/>
                      <w:spacing w:val="-2"/>
                      <w:sz w:val="21"/>
                      <w:szCs w:val="21"/>
                    </w:rPr>
                    <w:t>量</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bCs/>
                      <w:color w:val="000000" w:themeColor="text1"/>
                      <w:spacing w:val="-1"/>
                      <w:sz w:val="21"/>
                      <w:szCs w:val="21"/>
                    </w:rPr>
                    <w:t>t/a</w:t>
                  </w:r>
                </w:p>
              </w:tc>
              <w:tc>
                <w:tcPr>
                  <w:tcW w:w="885" w:type="dxa"/>
                  <w:tcBorders>
                    <w:tl2br w:val="nil"/>
                    <w:tr2bl w:val="nil"/>
                  </w:tcBorders>
                  <w:vAlign w:val="center"/>
                </w:tcPr>
                <w:p w14:paraId="14D11E8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排放</w:t>
                  </w:r>
                </w:p>
                <w:p w14:paraId="20E5E5D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速</w:t>
                  </w:r>
                  <w:r>
                    <w:rPr>
                      <w:rFonts w:hint="default" w:ascii="Times New Roman" w:hAnsi="Times New Roman" w:eastAsia="宋体" w:cs="Times New Roman"/>
                      <w:b/>
                      <w:bCs/>
                      <w:color w:val="000000" w:themeColor="text1"/>
                      <w:spacing w:val="-9"/>
                      <w:sz w:val="21"/>
                      <w:szCs w:val="21"/>
                    </w:rPr>
                    <w:t>率</w:t>
                  </w:r>
                  <w:r>
                    <w:rPr>
                      <w:rFonts w:hint="default" w:ascii="Times New Roman" w:hAnsi="Times New Roman" w:eastAsia="宋体" w:cs="Times New Roman"/>
                      <w:b/>
                      <w:bCs/>
                      <w:color w:val="000000" w:themeColor="text1"/>
                      <w:spacing w:val="-1"/>
                      <w:sz w:val="21"/>
                      <w:szCs w:val="21"/>
                    </w:rPr>
                    <w:t>kg/h</w:t>
                  </w:r>
                </w:p>
              </w:tc>
              <w:tc>
                <w:tcPr>
                  <w:tcW w:w="750" w:type="dxa"/>
                  <w:tcBorders>
                    <w:tl2br w:val="nil"/>
                    <w:tr2bl w:val="nil"/>
                  </w:tcBorders>
                  <w:vAlign w:val="center"/>
                </w:tcPr>
                <w:p w14:paraId="75067D3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pacing w:val="-4"/>
                      <w:sz w:val="21"/>
                      <w:szCs w:val="21"/>
                    </w:rPr>
                    <w:t>排放</w:t>
                  </w:r>
                  <w:r>
                    <w:rPr>
                      <w:rFonts w:hint="default" w:ascii="Times New Roman" w:hAnsi="Times New Roman" w:eastAsia="宋体" w:cs="Times New Roman"/>
                      <w:b/>
                      <w:bCs/>
                      <w:color w:val="000000" w:themeColor="text1"/>
                      <w:spacing w:val="29"/>
                      <w:sz w:val="21"/>
                      <w:szCs w:val="21"/>
                    </w:rPr>
                    <w:t>度</w:t>
                  </w:r>
                  <w:r>
                    <w:rPr>
                      <w:rFonts w:hint="default" w:ascii="Times New Roman" w:hAnsi="Times New Roman" w:eastAsia="宋体" w:cs="Times New Roman"/>
                      <w:b/>
                      <w:bCs/>
                      <w:color w:val="000000" w:themeColor="text1"/>
                      <w:sz w:val="21"/>
                      <w:szCs w:val="21"/>
                    </w:rPr>
                    <w:t>mg/m</w:t>
                  </w:r>
                  <w:r>
                    <w:rPr>
                      <w:rFonts w:hint="eastAsia" w:ascii="Times New Roman" w:hAnsi="Times New Roman" w:eastAsia="宋体" w:cs="Times New Roman"/>
                      <w:b/>
                      <w:bCs/>
                      <w:color w:val="000000" w:themeColor="text1"/>
                      <w:sz w:val="21"/>
                      <w:szCs w:val="21"/>
                      <w:vertAlign w:val="superscript"/>
                      <w:lang w:val="en-US" w:eastAsia="zh-CN"/>
                    </w:rPr>
                    <w:t>3</w:t>
                  </w:r>
                </w:p>
              </w:tc>
              <w:tc>
                <w:tcPr>
                  <w:tcW w:w="1157" w:type="dxa"/>
                  <w:vMerge w:val="continue"/>
                  <w:tcBorders>
                    <w:tl2br w:val="nil"/>
                    <w:tr2bl w:val="nil"/>
                  </w:tcBorders>
                  <w:vAlign w:val="center"/>
                </w:tcPr>
                <w:p w14:paraId="03F999D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p>
              </w:tc>
            </w:tr>
            <w:tr w14:paraId="547F8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69" w:type="dxa"/>
                  <w:tcBorders>
                    <w:tl2br w:val="nil"/>
                    <w:tr2bl w:val="nil"/>
                  </w:tcBorders>
                  <w:vAlign w:val="center"/>
                </w:tcPr>
                <w:p w14:paraId="0D2218E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10"/>
                      <w:sz w:val="21"/>
                      <w:szCs w:val="21"/>
                      <w:lang w:val="en-US" w:eastAsia="zh-CN"/>
                    </w:rPr>
                    <w:t>造粒</w:t>
                  </w:r>
                </w:p>
              </w:tc>
              <w:tc>
                <w:tcPr>
                  <w:tcW w:w="742" w:type="dxa"/>
                  <w:tcBorders>
                    <w:tl2br w:val="nil"/>
                    <w:tr2bl w:val="nil"/>
                  </w:tcBorders>
                  <w:vAlign w:val="center"/>
                </w:tcPr>
                <w:p w14:paraId="3FBFD6C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7546B2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25AEA1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4.010</w:t>
                  </w:r>
                </w:p>
              </w:tc>
              <w:tc>
                <w:tcPr>
                  <w:tcW w:w="775" w:type="dxa"/>
                  <w:tcBorders>
                    <w:tl2br w:val="nil"/>
                    <w:tr2bl w:val="nil"/>
                  </w:tcBorders>
                  <w:vAlign w:val="center"/>
                </w:tcPr>
                <w:p w14:paraId="257A02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9.623</w:t>
                  </w:r>
                </w:p>
              </w:tc>
              <w:tc>
                <w:tcPr>
                  <w:tcW w:w="945" w:type="dxa"/>
                  <w:vMerge w:val="restart"/>
                  <w:tcBorders>
                    <w:tl2br w:val="nil"/>
                    <w:tr2bl w:val="nil"/>
                  </w:tcBorders>
                  <w:vAlign w:val="center"/>
                </w:tcPr>
                <w:p w14:paraId="1679DD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布袋</w:t>
                  </w:r>
                  <w:r>
                    <w:rPr>
                      <w:rFonts w:hint="default" w:ascii="Times New Roman" w:hAnsi="Times New Roman" w:eastAsia="宋体" w:cs="Times New Roman"/>
                      <w:color w:val="000000" w:themeColor="text1"/>
                      <w:spacing w:val="-2"/>
                      <w:sz w:val="21"/>
                      <w:szCs w:val="21"/>
                      <w:lang w:val="en-US" w:eastAsia="zh-CN"/>
                    </w:rPr>
                    <w:t>除尘</w:t>
                  </w:r>
                </w:p>
              </w:tc>
              <w:tc>
                <w:tcPr>
                  <w:tcW w:w="720" w:type="dxa"/>
                  <w:tcBorders>
                    <w:tl2br w:val="nil"/>
                    <w:tr2bl w:val="nil"/>
                  </w:tcBorders>
                  <w:vAlign w:val="center"/>
                </w:tcPr>
                <w:p w14:paraId="751960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pacing w:val="-4"/>
                      <w:sz w:val="21"/>
                      <w:szCs w:val="21"/>
                    </w:rPr>
                    <w:t>9</w:t>
                  </w:r>
                  <w:r>
                    <w:rPr>
                      <w:rFonts w:hint="eastAsia" w:cs="Times New Roman"/>
                      <w:color w:val="000000" w:themeColor="text1"/>
                      <w:spacing w:val="-4"/>
                      <w:sz w:val="21"/>
                      <w:szCs w:val="21"/>
                      <w:lang w:val="en-US" w:eastAsia="zh-CN"/>
                    </w:rPr>
                    <w:t>5</w:t>
                  </w:r>
                </w:p>
              </w:tc>
              <w:tc>
                <w:tcPr>
                  <w:tcW w:w="645" w:type="dxa"/>
                  <w:vMerge w:val="restart"/>
                  <w:tcBorders>
                    <w:tl2br w:val="nil"/>
                    <w:tr2bl w:val="nil"/>
                  </w:tcBorders>
                  <w:vAlign w:val="center"/>
                </w:tcPr>
                <w:p w14:paraId="412749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99</w:t>
                  </w:r>
                </w:p>
              </w:tc>
              <w:tc>
                <w:tcPr>
                  <w:tcW w:w="870" w:type="dxa"/>
                  <w:vMerge w:val="restart"/>
                  <w:tcBorders>
                    <w:tl2br w:val="nil"/>
                    <w:tr2bl w:val="nil"/>
                  </w:tcBorders>
                  <w:vAlign w:val="center"/>
                </w:tcPr>
                <w:p w14:paraId="0A12863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rPr>
                  </w:pPr>
                  <w:r>
                    <w:rPr>
                      <w:rFonts w:hint="eastAsia" w:ascii="Times New Roman" w:hAnsi="Times New Roman" w:cs="Times New Roman"/>
                      <w:color w:val="000000" w:themeColor="text1"/>
                      <w:spacing w:val="-2"/>
                      <w:sz w:val="21"/>
                      <w:szCs w:val="21"/>
                      <w:lang w:val="en-US" w:eastAsia="zh-CN"/>
                    </w:rPr>
                    <w:t>20000</w:t>
                  </w:r>
                </w:p>
              </w:tc>
              <w:tc>
                <w:tcPr>
                  <w:tcW w:w="702" w:type="dxa"/>
                  <w:vMerge w:val="restart"/>
                  <w:tcBorders>
                    <w:tl2br w:val="nil"/>
                    <w:tr2bl w:val="nil"/>
                  </w:tcBorders>
                  <w:vAlign w:val="center"/>
                </w:tcPr>
                <w:p w14:paraId="3CDB13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2.25</w:t>
                  </w:r>
                </w:p>
              </w:tc>
              <w:tc>
                <w:tcPr>
                  <w:tcW w:w="779" w:type="dxa"/>
                  <w:vMerge w:val="restart"/>
                  <w:tcBorders>
                    <w:tl2br w:val="nil"/>
                    <w:tr2bl w:val="nil"/>
                  </w:tcBorders>
                  <w:vAlign w:val="center"/>
                </w:tcPr>
                <w:p w14:paraId="15FFBF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0.04</w:t>
                  </w:r>
                  <w:r>
                    <w:rPr>
                      <w:rFonts w:hint="eastAsia" w:cs="Times New Roman"/>
                      <w:color w:val="000000" w:themeColor="text1"/>
                      <w:sz w:val="21"/>
                      <w:szCs w:val="21"/>
                      <w:lang w:val="en-US" w:eastAsia="zh-CN"/>
                    </w:rPr>
                    <w:t>5</w:t>
                  </w:r>
                </w:p>
              </w:tc>
              <w:tc>
                <w:tcPr>
                  <w:tcW w:w="829" w:type="dxa"/>
                  <w:vMerge w:val="restart"/>
                  <w:tcBorders>
                    <w:tl2br w:val="nil"/>
                    <w:tr2bl w:val="nil"/>
                  </w:tcBorders>
                  <w:vAlign w:val="center"/>
                </w:tcPr>
                <w:p w14:paraId="7D8468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107</w:t>
                  </w:r>
                </w:p>
              </w:tc>
              <w:tc>
                <w:tcPr>
                  <w:tcW w:w="885" w:type="dxa"/>
                  <w:vMerge w:val="restart"/>
                  <w:tcBorders>
                    <w:tl2br w:val="nil"/>
                    <w:tr2bl w:val="nil"/>
                  </w:tcBorders>
                  <w:vAlign w:val="center"/>
                </w:tcPr>
                <w:p w14:paraId="5B05BCB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0.36</w:t>
                  </w:r>
                </w:p>
              </w:tc>
              <w:tc>
                <w:tcPr>
                  <w:tcW w:w="750" w:type="dxa"/>
                  <w:vMerge w:val="restart"/>
                  <w:tcBorders>
                    <w:tl2br w:val="nil"/>
                    <w:tr2bl w:val="nil"/>
                  </w:tcBorders>
                  <w:vAlign w:val="center"/>
                </w:tcPr>
                <w:p w14:paraId="638CE0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c>
                <w:tcPr>
                  <w:tcW w:w="1157" w:type="dxa"/>
                  <w:vMerge w:val="restart"/>
                  <w:tcBorders>
                    <w:tl2br w:val="nil"/>
                    <w:tr2bl w:val="nil"/>
                  </w:tcBorders>
                  <w:vAlign w:val="center"/>
                </w:tcPr>
                <w:p w14:paraId="09963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2400</w:t>
                  </w:r>
                </w:p>
              </w:tc>
            </w:tr>
            <w:tr w14:paraId="2D64EC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69" w:type="dxa"/>
                  <w:vMerge w:val="restart"/>
                  <w:tcBorders>
                    <w:tl2br w:val="nil"/>
                    <w:tr2bl w:val="nil"/>
                  </w:tcBorders>
                  <w:vAlign w:val="center"/>
                </w:tcPr>
                <w:p w14:paraId="1E324F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烘干</w:t>
                  </w:r>
                </w:p>
              </w:tc>
              <w:tc>
                <w:tcPr>
                  <w:tcW w:w="742" w:type="dxa"/>
                  <w:tcBorders>
                    <w:tl2br w:val="nil"/>
                    <w:tr2bl w:val="nil"/>
                  </w:tcBorders>
                  <w:vAlign w:val="center"/>
                </w:tcPr>
                <w:p w14:paraId="5131A31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8"/>
                      <w:sz w:val="21"/>
                      <w:szCs w:val="21"/>
                      <w:lang w:val="en-US" w:eastAsia="zh-CN"/>
                    </w:rPr>
                    <w:t>颗粒物</w:t>
                  </w:r>
                </w:p>
              </w:tc>
              <w:tc>
                <w:tcPr>
                  <w:tcW w:w="929" w:type="dxa"/>
                  <w:tcBorders>
                    <w:tl2br w:val="nil"/>
                    <w:tr2bl w:val="nil"/>
                  </w:tcBorders>
                  <w:vAlign w:val="center"/>
                </w:tcPr>
                <w:p w14:paraId="4BBBA5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0652E8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0.439</w:t>
                  </w:r>
                </w:p>
              </w:tc>
              <w:tc>
                <w:tcPr>
                  <w:tcW w:w="775" w:type="dxa"/>
                  <w:tcBorders>
                    <w:tl2br w:val="nil"/>
                    <w:tr2bl w:val="nil"/>
                  </w:tcBorders>
                  <w:vAlign w:val="center"/>
                </w:tcPr>
                <w:p w14:paraId="4BA142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1.053</w:t>
                  </w:r>
                </w:p>
              </w:tc>
              <w:tc>
                <w:tcPr>
                  <w:tcW w:w="945" w:type="dxa"/>
                  <w:vMerge w:val="continue"/>
                  <w:tcBorders>
                    <w:tl2br w:val="nil"/>
                    <w:tr2bl w:val="nil"/>
                  </w:tcBorders>
                  <w:vAlign w:val="center"/>
                </w:tcPr>
                <w:p w14:paraId="4D81DC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p>
              </w:tc>
              <w:tc>
                <w:tcPr>
                  <w:tcW w:w="720" w:type="dxa"/>
                  <w:vMerge w:val="restart"/>
                  <w:tcBorders>
                    <w:tl2br w:val="nil"/>
                    <w:tr2bl w:val="nil"/>
                  </w:tcBorders>
                  <w:vAlign w:val="center"/>
                </w:tcPr>
                <w:p w14:paraId="69C699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100</w:t>
                  </w:r>
                </w:p>
              </w:tc>
              <w:tc>
                <w:tcPr>
                  <w:tcW w:w="645" w:type="dxa"/>
                  <w:vMerge w:val="continue"/>
                  <w:tcBorders>
                    <w:tl2br w:val="nil"/>
                    <w:tr2bl w:val="nil"/>
                  </w:tcBorders>
                  <w:vAlign w:val="center"/>
                </w:tcPr>
                <w:p w14:paraId="2DA136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870" w:type="dxa"/>
                  <w:vMerge w:val="continue"/>
                  <w:tcBorders>
                    <w:tl2br w:val="nil"/>
                    <w:tr2bl w:val="nil"/>
                  </w:tcBorders>
                  <w:vAlign w:val="center"/>
                </w:tcPr>
                <w:p w14:paraId="59105E2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vMerge w:val="continue"/>
                  <w:tcBorders>
                    <w:tl2br w:val="nil"/>
                    <w:tr2bl w:val="nil"/>
                  </w:tcBorders>
                  <w:vAlign w:val="center"/>
                </w:tcPr>
                <w:p w14:paraId="6BD3CC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779" w:type="dxa"/>
                  <w:vMerge w:val="continue"/>
                  <w:tcBorders>
                    <w:tl2br w:val="nil"/>
                    <w:tr2bl w:val="nil"/>
                  </w:tcBorders>
                  <w:vAlign w:val="center"/>
                </w:tcPr>
                <w:p w14:paraId="60DA82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829" w:type="dxa"/>
                  <w:vMerge w:val="continue"/>
                  <w:tcBorders>
                    <w:tl2br w:val="nil"/>
                    <w:tr2bl w:val="nil"/>
                  </w:tcBorders>
                  <w:vAlign w:val="center"/>
                </w:tcPr>
                <w:p w14:paraId="2DD701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885" w:type="dxa"/>
                  <w:vMerge w:val="continue"/>
                  <w:tcBorders>
                    <w:tl2br w:val="nil"/>
                    <w:tr2bl w:val="nil"/>
                  </w:tcBorders>
                  <w:vAlign w:val="center"/>
                </w:tcPr>
                <w:p w14:paraId="1747AC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50" w:type="dxa"/>
                  <w:vMerge w:val="continue"/>
                  <w:tcBorders>
                    <w:tl2br w:val="nil"/>
                    <w:tr2bl w:val="nil"/>
                  </w:tcBorders>
                  <w:vAlign w:val="center"/>
                </w:tcPr>
                <w:p w14:paraId="235B20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1157" w:type="dxa"/>
                  <w:vMerge w:val="continue"/>
                  <w:tcBorders>
                    <w:tl2br w:val="nil"/>
                    <w:tr2bl w:val="nil"/>
                  </w:tcBorders>
                  <w:vAlign w:val="center"/>
                </w:tcPr>
                <w:p w14:paraId="4A5974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r>
            <w:tr w14:paraId="0030C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69" w:type="dxa"/>
                  <w:vMerge w:val="continue"/>
                  <w:tcBorders>
                    <w:tl2br w:val="nil"/>
                    <w:tr2bl w:val="nil"/>
                  </w:tcBorders>
                  <w:vAlign w:val="center"/>
                </w:tcPr>
                <w:p w14:paraId="2CC598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742" w:type="dxa"/>
                  <w:tcBorders>
                    <w:tl2br w:val="nil"/>
                    <w:tr2bl w:val="nil"/>
                  </w:tcBorders>
                  <w:vAlign w:val="center"/>
                </w:tcPr>
                <w:p w14:paraId="553029F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5"/>
                      <w:sz w:val="21"/>
                      <w:szCs w:val="21"/>
                      <w:lang w:val="en-US" w:eastAsia="zh-CN"/>
                    </w:rPr>
                  </w:pPr>
                  <w:r>
                    <w:rPr>
                      <w:rFonts w:hint="eastAsia" w:ascii="Times New Roman" w:hAnsi="Times New Roman" w:eastAsia="宋体" w:cs="Times New Roman"/>
                      <w:color w:val="000000" w:themeColor="text1"/>
                      <w:spacing w:val="-5"/>
                      <w:sz w:val="21"/>
                      <w:szCs w:val="21"/>
                      <w:lang w:val="en-US" w:eastAsia="zh-CN"/>
                    </w:rPr>
                    <w:t>SO</w:t>
                  </w:r>
                  <w:r>
                    <w:rPr>
                      <w:rFonts w:hint="eastAsia" w:ascii="Times New Roman" w:hAnsi="Times New Roman" w:eastAsia="宋体" w:cs="Times New Roman"/>
                      <w:color w:val="000000" w:themeColor="text1"/>
                      <w:spacing w:val="-5"/>
                      <w:sz w:val="21"/>
                      <w:szCs w:val="21"/>
                      <w:vertAlign w:val="subscript"/>
                      <w:lang w:val="en-US" w:eastAsia="zh-CN"/>
                    </w:rPr>
                    <w:t>2</w:t>
                  </w:r>
                </w:p>
              </w:tc>
              <w:tc>
                <w:tcPr>
                  <w:tcW w:w="929" w:type="dxa"/>
                  <w:tcBorders>
                    <w:tl2br w:val="nil"/>
                    <w:tr2bl w:val="nil"/>
                  </w:tcBorders>
                  <w:vAlign w:val="center"/>
                </w:tcPr>
                <w:p w14:paraId="6EB524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2F7528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0.007</w:t>
                  </w:r>
                </w:p>
              </w:tc>
              <w:tc>
                <w:tcPr>
                  <w:tcW w:w="775" w:type="dxa"/>
                  <w:tcBorders>
                    <w:tl2br w:val="nil"/>
                    <w:tr2bl w:val="nil"/>
                  </w:tcBorders>
                  <w:vAlign w:val="center"/>
                </w:tcPr>
                <w:p w14:paraId="71D60A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0.016</w:t>
                  </w:r>
                </w:p>
              </w:tc>
              <w:tc>
                <w:tcPr>
                  <w:tcW w:w="945" w:type="dxa"/>
                  <w:vMerge w:val="continue"/>
                  <w:tcBorders>
                    <w:tl2br w:val="nil"/>
                    <w:tr2bl w:val="nil"/>
                  </w:tcBorders>
                  <w:vAlign w:val="center"/>
                </w:tcPr>
                <w:p w14:paraId="24F67F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p>
              </w:tc>
              <w:tc>
                <w:tcPr>
                  <w:tcW w:w="720" w:type="dxa"/>
                  <w:vMerge w:val="continue"/>
                  <w:tcBorders>
                    <w:tl2br w:val="nil"/>
                    <w:tr2bl w:val="nil"/>
                  </w:tcBorders>
                  <w:vAlign w:val="center"/>
                </w:tcPr>
                <w:p w14:paraId="35E91A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645" w:type="dxa"/>
                  <w:tcBorders>
                    <w:tl2br w:val="nil"/>
                    <w:tr2bl w:val="nil"/>
                  </w:tcBorders>
                  <w:vAlign w:val="center"/>
                </w:tcPr>
                <w:p w14:paraId="116BED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70" w:type="dxa"/>
                  <w:vMerge w:val="continue"/>
                  <w:tcBorders>
                    <w:tl2br w:val="nil"/>
                    <w:tr2bl w:val="nil"/>
                  </w:tcBorders>
                  <w:vAlign w:val="center"/>
                </w:tcPr>
                <w:p w14:paraId="57D5217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tcBorders>
                    <w:tl2br w:val="nil"/>
                    <w:tr2bl w:val="nil"/>
                  </w:tcBorders>
                  <w:vAlign w:val="center"/>
                </w:tcPr>
                <w:p w14:paraId="07DB52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cs="Times New Roman"/>
                      <w:color w:val="000000" w:themeColor="text1"/>
                      <w:spacing w:val="-1"/>
                      <w:sz w:val="21"/>
                      <w:szCs w:val="21"/>
                      <w:lang w:val="en-US" w:eastAsia="zh-CN"/>
                    </w:rPr>
                    <w:t>0.35</w:t>
                  </w:r>
                </w:p>
              </w:tc>
              <w:tc>
                <w:tcPr>
                  <w:tcW w:w="779" w:type="dxa"/>
                  <w:tcBorders>
                    <w:tl2br w:val="nil"/>
                    <w:tr2bl w:val="nil"/>
                  </w:tcBorders>
                  <w:vAlign w:val="center"/>
                </w:tcPr>
                <w:p w14:paraId="7E0E74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1"/>
                      <w:sz w:val="21"/>
                      <w:szCs w:val="21"/>
                    </w:rPr>
                  </w:pPr>
                  <w:r>
                    <w:rPr>
                      <w:rFonts w:hint="eastAsia" w:ascii="Times New Roman" w:hAnsi="Times New Roman" w:eastAsia="宋体" w:cs="Times New Roman"/>
                      <w:color w:val="000000" w:themeColor="text1"/>
                      <w:spacing w:val="-1"/>
                      <w:sz w:val="21"/>
                      <w:szCs w:val="21"/>
                      <w:lang w:val="en-US" w:eastAsia="zh-CN"/>
                    </w:rPr>
                    <w:t>0.007</w:t>
                  </w:r>
                </w:p>
              </w:tc>
              <w:tc>
                <w:tcPr>
                  <w:tcW w:w="829" w:type="dxa"/>
                  <w:tcBorders>
                    <w:tl2br w:val="nil"/>
                    <w:tr2bl w:val="nil"/>
                  </w:tcBorders>
                  <w:vAlign w:val="center"/>
                </w:tcPr>
                <w:p w14:paraId="13E82B4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2"/>
                      <w:sz w:val="21"/>
                      <w:szCs w:val="21"/>
                    </w:rPr>
                  </w:pPr>
                  <w:r>
                    <w:rPr>
                      <w:rFonts w:hint="eastAsia" w:ascii="Times New Roman" w:hAnsi="Times New Roman" w:eastAsia="宋体" w:cs="Times New Roman"/>
                      <w:color w:val="000000" w:themeColor="text1"/>
                      <w:spacing w:val="-1"/>
                      <w:sz w:val="21"/>
                      <w:szCs w:val="21"/>
                      <w:lang w:val="en-US" w:eastAsia="zh-CN"/>
                    </w:rPr>
                    <w:t>0.016</w:t>
                  </w:r>
                </w:p>
              </w:tc>
              <w:tc>
                <w:tcPr>
                  <w:tcW w:w="885" w:type="dxa"/>
                  <w:tcBorders>
                    <w:tl2br w:val="nil"/>
                    <w:tr2bl w:val="nil"/>
                  </w:tcBorders>
                  <w:vAlign w:val="center"/>
                </w:tcPr>
                <w:p w14:paraId="38E77C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1.6</w:t>
                  </w:r>
                </w:p>
              </w:tc>
              <w:tc>
                <w:tcPr>
                  <w:tcW w:w="750" w:type="dxa"/>
                  <w:tcBorders>
                    <w:tl2br w:val="nil"/>
                    <w:tr2bl w:val="nil"/>
                  </w:tcBorders>
                  <w:vAlign w:val="center"/>
                </w:tcPr>
                <w:p w14:paraId="1117A1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0"/>
                      <w:sz w:val="21"/>
                      <w:szCs w:val="21"/>
                      <w:lang w:val="en-US" w:eastAsia="zh-CN"/>
                    </w:rPr>
                  </w:pPr>
                  <w:r>
                    <w:rPr>
                      <w:rFonts w:hint="eastAsia" w:ascii="Times New Roman" w:hAnsi="Times New Roman" w:eastAsia="宋体" w:cs="Times New Roman"/>
                      <w:color w:val="000000" w:themeColor="text1"/>
                      <w:spacing w:val="-10"/>
                      <w:sz w:val="21"/>
                      <w:szCs w:val="21"/>
                      <w:lang w:val="en-US" w:eastAsia="zh-CN"/>
                    </w:rPr>
                    <w:t>200</w:t>
                  </w:r>
                </w:p>
              </w:tc>
              <w:tc>
                <w:tcPr>
                  <w:tcW w:w="1157" w:type="dxa"/>
                  <w:vMerge w:val="continue"/>
                  <w:tcBorders>
                    <w:tl2br w:val="nil"/>
                    <w:tr2bl w:val="nil"/>
                  </w:tcBorders>
                  <w:vAlign w:val="center"/>
                </w:tcPr>
                <w:p w14:paraId="4DDD6C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0"/>
                      <w:sz w:val="21"/>
                      <w:szCs w:val="21"/>
                    </w:rPr>
                  </w:pPr>
                </w:p>
              </w:tc>
            </w:tr>
            <w:tr w14:paraId="1CC33E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669" w:type="dxa"/>
                  <w:vMerge w:val="continue"/>
                  <w:tcBorders>
                    <w:tl2br w:val="nil"/>
                    <w:tr2bl w:val="nil"/>
                  </w:tcBorders>
                  <w:vAlign w:val="center"/>
                </w:tcPr>
                <w:p w14:paraId="6A2DC6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742" w:type="dxa"/>
                  <w:tcBorders>
                    <w:tl2br w:val="nil"/>
                    <w:tr2bl w:val="nil"/>
                  </w:tcBorders>
                  <w:vAlign w:val="center"/>
                </w:tcPr>
                <w:p w14:paraId="4B44499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5"/>
                      <w:sz w:val="21"/>
                      <w:szCs w:val="21"/>
                      <w:lang w:val="en-US" w:eastAsia="zh-CN"/>
                    </w:rPr>
                  </w:pPr>
                  <w:r>
                    <w:rPr>
                      <w:rFonts w:hint="eastAsia" w:ascii="Times New Roman" w:hAnsi="Times New Roman" w:eastAsia="宋体" w:cs="Times New Roman"/>
                      <w:color w:val="000000" w:themeColor="text1"/>
                      <w:spacing w:val="-5"/>
                      <w:sz w:val="21"/>
                      <w:szCs w:val="21"/>
                      <w:lang w:val="en-US" w:eastAsia="zh-CN"/>
                    </w:rPr>
                    <w:t>NOx</w:t>
                  </w:r>
                </w:p>
              </w:tc>
              <w:tc>
                <w:tcPr>
                  <w:tcW w:w="929" w:type="dxa"/>
                  <w:tcBorders>
                    <w:tl2br w:val="nil"/>
                    <w:tr2bl w:val="nil"/>
                  </w:tcBorders>
                  <w:vAlign w:val="center"/>
                </w:tcPr>
                <w:p w14:paraId="22F98E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2BED24D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0.031</w:t>
                  </w:r>
                </w:p>
              </w:tc>
              <w:tc>
                <w:tcPr>
                  <w:tcW w:w="775" w:type="dxa"/>
                  <w:tcBorders>
                    <w:tl2br w:val="nil"/>
                    <w:tr2bl w:val="nil"/>
                  </w:tcBorders>
                  <w:vAlign w:val="center"/>
                </w:tcPr>
                <w:p w14:paraId="122FDF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0.075</w:t>
                  </w:r>
                </w:p>
              </w:tc>
              <w:tc>
                <w:tcPr>
                  <w:tcW w:w="945" w:type="dxa"/>
                  <w:vMerge w:val="continue"/>
                  <w:tcBorders>
                    <w:tl2br w:val="nil"/>
                    <w:tr2bl w:val="nil"/>
                  </w:tcBorders>
                  <w:vAlign w:val="center"/>
                </w:tcPr>
                <w:p w14:paraId="0EFFBE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p>
              </w:tc>
              <w:tc>
                <w:tcPr>
                  <w:tcW w:w="720" w:type="dxa"/>
                  <w:vMerge w:val="continue"/>
                  <w:tcBorders>
                    <w:tl2br w:val="nil"/>
                    <w:tr2bl w:val="nil"/>
                  </w:tcBorders>
                  <w:vAlign w:val="center"/>
                </w:tcPr>
                <w:p w14:paraId="7B350F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645" w:type="dxa"/>
                  <w:tcBorders>
                    <w:tl2br w:val="nil"/>
                    <w:tr2bl w:val="nil"/>
                  </w:tcBorders>
                  <w:vAlign w:val="center"/>
                </w:tcPr>
                <w:p w14:paraId="2792BC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p>
              </w:tc>
              <w:tc>
                <w:tcPr>
                  <w:tcW w:w="870" w:type="dxa"/>
                  <w:vMerge w:val="continue"/>
                  <w:tcBorders>
                    <w:tl2br w:val="nil"/>
                    <w:tr2bl w:val="nil"/>
                  </w:tcBorders>
                  <w:vAlign w:val="center"/>
                </w:tcPr>
                <w:p w14:paraId="2D51A08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tcBorders>
                    <w:tl2br w:val="nil"/>
                    <w:tr2bl w:val="nil"/>
                  </w:tcBorders>
                  <w:vAlign w:val="center"/>
                </w:tcPr>
                <w:p w14:paraId="715E4E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cs="Times New Roman"/>
                      <w:color w:val="000000" w:themeColor="text1"/>
                      <w:spacing w:val="-1"/>
                      <w:sz w:val="21"/>
                      <w:szCs w:val="21"/>
                      <w:lang w:val="en-US" w:eastAsia="zh-CN"/>
                    </w:rPr>
                    <w:t>1.55</w:t>
                  </w:r>
                </w:p>
              </w:tc>
              <w:tc>
                <w:tcPr>
                  <w:tcW w:w="779" w:type="dxa"/>
                  <w:tcBorders>
                    <w:tl2br w:val="nil"/>
                    <w:tr2bl w:val="nil"/>
                  </w:tcBorders>
                  <w:vAlign w:val="center"/>
                </w:tcPr>
                <w:p w14:paraId="085B98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1"/>
                      <w:sz w:val="21"/>
                      <w:szCs w:val="21"/>
                    </w:rPr>
                  </w:pPr>
                  <w:r>
                    <w:rPr>
                      <w:rFonts w:hint="eastAsia" w:ascii="Times New Roman" w:hAnsi="Times New Roman" w:eastAsia="宋体" w:cs="Times New Roman"/>
                      <w:color w:val="000000" w:themeColor="text1"/>
                      <w:spacing w:val="-1"/>
                      <w:sz w:val="21"/>
                      <w:szCs w:val="21"/>
                      <w:lang w:val="en-US" w:eastAsia="zh-CN"/>
                    </w:rPr>
                    <w:t>0.031</w:t>
                  </w:r>
                </w:p>
              </w:tc>
              <w:tc>
                <w:tcPr>
                  <w:tcW w:w="829" w:type="dxa"/>
                  <w:tcBorders>
                    <w:tl2br w:val="nil"/>
                    <w:tr2bl w:val="nil"/>
                  </w:tcBorders>
                  <w:vAlign w:val="center"/>
                </w:tcPr>
                <w:p w14:paraId="57A1E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2"/>
                      <w:sz w:val="21"/>
                      <w:szCs w:val="21"/>
                    </w:rPr>
                  </w:pPr>
                  <w:r>
                    <w:rPr>
                      <w:rFonts w:hint="eastAsia" w:ascii="Times New Roman" w:hAnsi="Times New Roman" w:eastAsia="宋体" w:cs="Times New Roman"/>
                      <w:color w:val="000000" w:themeColor="text1"/>
                      <w:spacing w:val="-1"/>
                      <w:sz w:val="21"/>
                      <w:szCs w:val="21"/>
                      <w:lang w:val="en-US" w:eastAsia="zh-CN"/>
                    </w:rPr>
                    <w:t>0.075</w:t>
                  </w:r>
                </w:p>
              </w:tc>
              <w:tc>
                <w:tcPr>
                  <w:tcW w:w="885" w:type="dxa"/>
                  <w:tcBorders>
                    <w:tl2br w:val="nil"/>
                    <w:tr2bl w:val="nil"/>
                  </w:tcBorders>
                  <w:vAlign w:val="center"/>
                </w:tcPr>
                <w:p w14:paraId="57F62E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0.47</w:t>
                  </w:r>
                </w:p>
              </w:tc>
              <w:tc>
                <w:tcPr>
                  <w:tcW w:w="750" w:type="dxa"/>
                  <w:tcBorders>
                    <w:tl2br w:val="nil"/>
                    <w:tr2bl w:val="nil"/>
                  </w:tcBorders>
                  <w:vAlign w:val="center"/>
                </w:tcPr>
                <w:p w14:paraId="20EA429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0"/>
                      <w:sz w:val="21"/>
                      <w:szCs w:val="21"/>
                      <w:lang w:val="en-US" w:eastAsia="zh-CN"/>
                    </w:rPr>
                  </w:pPr>
                  <w:r>
                    <w:rPr>
                      <w:rFonts w:hint="eastAsia" w:ascii="Times New Roman" w:hAnsi="Times New Roman" w:eastAsia="宋体" w:cs="Times New Roman"/>
                      <w:color w:val="000000" w:themeColor="text1"/>
                      <w:spacing w:val="-10"/>
                      <w:sz w:val="21"/>
                      <w:szCs w:val="21"/>
                      <w:lang w:val="en-US" w:eastAsia="zh-CN"/>
                    </w:rPr>
                    <w:t>200</w:t>
                  </w:r>
                </w:p>
              </w:tc>
              <w:tc>
                <w:tcPr>
                  <w:tcW w:w="1157" w:type="dxa"/>
                  <w:vMerge w:val="continue"/>
                  <w:tcBorders>
                    <w:tl2br w:val="nil"/>
                    <w:tr2bl w:val="nil"/>
                  </w:tcBorders>
                  <w:vAlign w:val="center"/>
                </w:tcPr>
                <w:p w14:paraId="19792C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0"/>
                      <w:sz w:val="21"/>
                      <w:szCs w:val="21"/>
                    </w:rPr>
                  </w:pPr>
                </w:p>
              </w:tc>
            </w:tr>
            <w:tr w14:paraId="0D850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69" w:type="dxa"/>
                  <w:tcBorders>
                    <w:tl2br w:val="nil"/>
                    <w:tr2bl w:val="nil"/>
                  </w:tcBorders>
                  <w:vAlign w:val="center"/>
                </w:tcPr>
                <w:p w14:paraId="3AA9892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8"/>
                      <w:sz w:val="21"/>
                      <w:szCs w:val="21"/>
                      <w:lang w:val="en-US" w:eastAsia="zh-CN"/>
                    </w:rPr>
                  </w:pPr>
                  <w:r>
                    <w:rPr>
                      <w:rFonts w:hint="eastAsia" w:ascii="Times New Roman" w:hAnsi="Times New Roman" w:eastAsia="宋体" w:cs="Times New Roman"/>
                      <w:color w:val="000000" w:themeColor="text1"/>
                      <w:spacing w:val="-8"/>
                      <w:sz w:val="21"/>
                      <w:szCs w:val="21"/>
                      <w:lang w:val="en-US" w:eastAsia="zh-CN"/>
                    </w:rPr>
                    <w:t>混合</w:t>
                  </w:r>
                </w:p>
              </w:tc>
              <w:tc>
                <w:tcPr>
                  <w:tcW w:w="742" w:type="dxa"/>
                  <w:tcBorders>
                    <w:tl2br w:val="nil"/>
                    <w:tr2bl w:val="nil"/>
                  </w:tcBorders>
                  <w:vAlign w:val="center"/>
                </w:tcPr>
                <w:p w14:paraId="3CF36D5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1105D6B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11F6DB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2.25</w:t>
                  </w:r>
                </w:p>
              </w:tc>
              <w:tc>
                <w:tcPr>
                  <w:tcW w:w="775" w:type="dxa"/>
                  <w:tcBorders>
                    <w:tl2br w:val="nil"/>
                    <w:tr2bl w:val="nil"/>
                  </w:tcBorders>
                  <w:vAlign w:val="center"/>
                </w:tcPr>
                <w:p w14:paraId="475951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5.4</w:t>
                  </w:r>
                </w:p>
              </w:tc>
              <w:tc>
                <w:tcPr>
                  <w:tcW w:w="945" w:type="dxa"/>
                  <w:tcBorders>
                    <w:tl2br w:val="nil"/>
                    <w:tr2bl w:val="nil"/>
                  </w:tcBorders>
                  <w:vAlign w:val="center"/>
                </w:tcPr>
                <w:p w14:paraId="6CC6A2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布袋</w:t>
                  </w:r>
                  <w:r>
                    <w:rPr>
                      <w:rFonts w:hint="default" w:ascii="Times New Roman" w:hAnsi="Times New Roman" w:eastAsia="宋体" w:cs="Times New Roman"/>
                      <w:color w:val="000000" w:themeColor="text1"/>
                      <w:spacing w:val="-2"/>
                      <w:sz w:val="21"/>
                      <w:szCs w:val="21"/>
                      <w:lang w:val="en-US" w:eastAsia="zh-CN"/>
                    </w:rPr>
                    <w:t>除尘</w:t>
                  </w:r>
                </w:p>
              </w:tc>
              <w:tc>
                <w:tcPr>
                  <w:tcW w:w="720" w:type="dxa"/>
                  <w:tcBorders>
                    <w:tl2br w:val="nil"/>
                    <w:tr2bl w:val="nil"/>
                  </w:tcBorders>
                  <w:vAlign w:val="center"/>
                </w:tcPr>
                <w:p w14:paraId="3D1285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w:t>
                  </w:r>
                </w:p>
              </w:tc>
              <w:tc>
                <w:tcPr>
                  <w:tcW w:w="645" w:type="dxa"/>
                  <w:tcBorders>
                    <w:tl2br w:val="nil"/>
                    <w:tr2bl w:val="nil"/>
                  </w:tcBorders>
                  <w:vAlign w:val="center"/>
                </w:tcPr>
                <w:p w14:paraId="5E326F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99</w:t>
                  </w:r>
                </w:p>
              </w:tc>
              <w:tc>
                <w:tcPr>
                  <w:tcW w:w="870" w:type="dxa"/>
                  <w:vMerge w:val="restart"/>
                  <w:tcBorders>
                    <w:tl2br w:val="nil"/>
                    <w:tr2bl w:val="nil"/>
                  </w:tcBorders>
                  <w:vAlign w:val="center"/>
                </w:tcPr>
                <w:p w14:paraId="0752A56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1"/>
                      <w:sz w:val="21"/>
                      <w:szCs w:val="21"/>
                      <w:lang w:val="en-US" w:eastAsia="zh-CN"/>
                    </w:rPr>
                    <w:t>30</w:t>
                  </w:r>
                  <w:r>
                    <w:rPr>
                      <w:rFonts w:hint="default" w:ascii="Times New Roman" w:hAnsi="Times New Roman" w:eastAsia="宋体" w:cs="Times New Roman"/>
                      <w:color w:val="000000" w:themeColor="text1"/>
                      <w:spacing w:val="-1"/>
                      <w:sz w:val="21"/>
                      <w:szCs w:val="21"/>
                    </w:rPr>
                    <w:t>000</w:t>
                  </w:r>
                </w:p>
              </w:tc>
              <w:tc>
                <w:tcPr>
                  <w:tcW w:w="702" w:type="dxa"/>
                  <w:vMerge w:val="restart"/>
                  <w:tcBorders>
                    <w:tl2br w:val="nil"/>
                    <w:tr2bl w:val="nil"/>
                  </w:tcBorders>
                  <w:vAlign w:val="center"/>
                </w:tcPr>
                <w:p w14:paraId="323BE0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2.2</w:t>
                  </w:r>
                </w:p>
              </w:tc>
              <w:tc>
                <w:tcPr>
                  <w:tcW w:w="779" w:type="dxa"/>
                  <w:vMerge w:val="restart"/>
                  <w:tcBorders>
                    <w:tl2br w:val="nil"/>
                    <w:tr2bl w:val="nil"/>
                  </w:tcBorders>
                  <w:vAlign w:val="center"/>
                </w:tcPr>
                <w:p w14:paraId="10E72C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w:t>
                  </w:r>
                  <w:r>
                    <w:rPr>
                      <w:rFonts w:hint="eastAsia" w:cs="Times New Roman"/>
                      <w:color w:val="000000" w:themeColor="text1"/>
                      <w:sz w:val="21"/>
                      <w:szCs w:val="21"/>
                      <w:lang w:val="en-US" w:eastAsia="zh-CN"/>
                    </w:rPr>
                    <w:t>66</w:t>
                  </w:r>
                </w:p>
              </w:tc>
              <w:tc>
                <w:tcPr>
                  <w:tcW w:w="829" w:type="dxa"/>
                  <w:vMerge w:val="restart"/>
                  <w:tcBorders>
                    <w:tl2br w:val="nil"/>
                    <w:tr2bl w:val="nil"/>
                  </w:tcBorders>
                  <w:vAlign w:val="center"/>
                </w:tcPr>
                <w:p w14:paraId="4C26EA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159</w:t>
                  </w:r>
                </w:p>
              </w:tc>
              <w:tc>
                <w:tcPr>
                  <w:tcW w:w="885" w:type="dxa"/>
                  <w:vMerge w:val="restart"/>
                  <w:tcBorders>
                    <w:tl2br w:val="nil"/>
                    <w:tr2bl w:val="nil"/>
                  </w:tcBorders>
                  <w:vAlign w:val="center"/>
                </w:tcPr>
                <w:p w14:paraId="75E0F3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0.36</w:t>
                  </w:r>
                </w:p>
              </w:tc>
              <w:tc>
                <w:tcPr>
                  <w:tcW w:w="750" w:type="dxa"/>
                  <w:vMerge w:val="restart"/>
                  <w:tcBorders>
                    <w:tl2br w:val="nil"/>
                    <w:tr2bl w:val="nil"/>
                  </w:tcBorders>
                  <w:vAlign w:val="center"/>
                </w:tcPr>
                <w:p w14:paraId="2B20403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15</w:t>
                  </w:r>
                </w:p>
              </w:tc>
              <w:tc>
                <w:tcPr>
                  <w:tcW w:w="1157" w:type="dxa"/>
                  <w:vMerge w:val="restart"/>
                  <w:tcBorders>
                    <w:tl2br w:val="nil"/>
                    <w:tr2bl w:val="nil"/>
                  </w:tcBorders>
                  <w:vAlign w:val="center"/>
                </w:tcPr>
                <w:p w14:paraId="1B372B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2400</w:t>
                  </w:r>
                </w:p>
              </w:tc>
            </w:tr>
            <w:tr w14:paraId="01AEA1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69" w:type="dxa"/>
                  <w:vMerge w:val="restart"/>
                  <w:tcBorders>
                    <w:tl2br w:val="nil"/>
                    <w:tr2bl w:val="nil"/>
                  </w:tcBorders>
                  <w:vAlign w:val="center"/>
                </w:tcPr>
                <w:p w14:paraId="3133528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8"/>
                      <w:sz w:val="21"/>
                      <w:szCs w:val="21"/>
                    </w:rPr>
                    <w:t>挤</w:t>
                  </w:r>
                  <w:r>
                    <w:rPr>
                      <w:rFonts w:hint="default" w:ascii="Times New Roman" w:hAnsi="Times New Roman" w:eastAsia="宋体" w:cs="Times New Roman"/>
                      <w:color w:val="000000" w:themeColor="text1"/>
                      <w:spacing w:val="-4"/>
                      <w:sz w:val="21"/>
                      <w:szCs w:val="21"/>
                    </w:rPr>
                    <w:t>出</w:t>
                  </w:r>
                </w:p>
              </w:tc>
              <w:tc>
                <w:tcPr>
                  <w:tcW w:w="742" w:type="dxa"/>
                  <w:tcBorders>
                    <w:tl2br w:val="nil"/>
                    <w:tr2bl w:val="nil"/>
                  </w:tcBorders>
                  <w:vAlign w:val="center"/>
                </w:tcPr>
                <w:p w14:paraId="7AD2D8C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43425F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0A124B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0.085</w:t>
                  </w:r>
                </w:p>
              </w:tc>
              <w:tc>
                <w:tcPr>
                  <w:tcW w:w="775" w:type="dxa"/>
                  <w:tcBorders>
                    <w:tl2br w:val="nil"/>
                    <w:tr2bl w:val="nil"/>
                  </w:tcBorders>
                  <w:vAlign w:val="center"/>
                </w:tcPr>
                <w:p w14:paraId="5D5941C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0.205</w:t>
                  </w:r>
                </w:p>
              </w:tc>
              <w:tc>
                <w:tcPr>
                  <w:tcW w:w="945" w:type="dxa"/>
                  <w:vMerge w:val="restart"/>
                  <w:tcBorders>
                    <w:tl2br w:val="nil"/>
                    <w:tr2bl w:val="nil"/>
                  </w:tcBorders>
                  <w:vAlign w:val="center"/>
                </w:tcPr>
                <w:p w14:paraId="13AC52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冷凝+二级活性炭</w:t>
                  </w:r>
                </w:p>
              </w:tc>
              <w:tc>
                <w:tcPr>
                  <w:tcW w:w="720" w:type="dxa"/>
                  <w:vMerge w:val="restart"/>
                  <w:tcBorders>
                    <w:tl2br w:val="nil"/>
                    <w:tr2bl w:val="nil"/>
                  </w:tcBorders>
                  <w:vAlign w:val="center"/>
                </w:tcPr>
                <w:p w14:paraId="798D35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90</w:t>
                  </w:r>
                </w:p>
              </w:tc>
              <w:tc>
                <w:tcPr>
                  <w:tcW w:w="645" w:type="dxa"/>
                  <w:tcBorders>
                    <w:tl2br w:val="nil"/>
                    <w:tr2bl w:val="nil"/>
                  </w:tcBorders>
                  <w:vAlign w:val="center"/>
                </w:tcPr>
                <w:p w14:paraId="545ABAA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eastAsia" w:cs="Times New Roman"/>
                      <w:color w:val="000000" w:themeColor="text1"/>
                      <w:spacing w:val="-2"/>
                      <w:sz w:val="21"/>
                      <w:szCs w:val="21"/>
                      <w:lang w:val="en-US" w:eastAsia="zh-CN"/>
                    </w:rPr>
                    <w:t>50</w:t>
                  </w:r>
                </w:p>
              </w:tc>
              <w:tc>
                <w:tcPr>
                  <w:tcW w:w="870" w:type="dxa"/>
                  <w:vMerge w:val="continue"/>
                  <w:tcBorders>
                    <w:tl2br w:val="nil"/>
                    <w:tr2bl w:val="nil"/>
                  </w:tcBorders>
                  <w:vAlign w:val="center"/>
                </w:tcPr>
                <w:p w14:paraId="61011CC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vMerge w:val="continue"/>
                  <w:tcBorders>
                    <w:tl2br w:val="nil"/>
                    <w:tr2bl w:val="nil"/>
                  </w:tcBorders>
                  <w:vAlign w:val="center"/>
                </w:tcPr>
                <w:p w14:paraId="58AE2F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cs="Times New Roman"/>
                      <w:color w:val="000000" w:themeColor="text1"/>
                      <w:sz w:val="21"/>
                      <w:szCs w:val="21"/>
                      <w:lang w:val="en-US" w:eastAsia="zh-CN"/>
                    </w:rPr>
                  </w:pPr>
                </w:p>
              </w:tc>
              <w:tc>
                <w:tcPr>
                  <w:tcW w:w="779" w:type="dxa"/>
                  <w:vMerge w:val="continue"/>
                  <w:tcBorders>
                    <w:tl2br w:val="nil"/>
                    <w:tr2bl w:val="nil"/>
                  </w:tcBorders>
                  <w:vAlign w:val="center"/>
                </w:tcPr>
                <w:p w14:paraId="29FD3C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829" w:type="dxa"/>
                  <w:vMerge w:val="continue"/>
                  <w:tcBorders>
                    <w:tl2br w:val="nil"/>
                    <w:tr2bl w:val="nil"/>
                  </w:tcBorders>
                  <w:vAlign w:val="center"/>
                </w:tcPr>
                <w:p w14:paraId="757ACB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885" w:type="dxa"/>
                  <w:vMerge w:val="continue"/>
                  <w:tcBorders>
                    <w:tl2br w:val="nil"/>
                    <w:tr2bl w:val="nil"/>
                  </w:tcBorders>
                  <w:vAlign w:val="center"/>
                </w:tcPr>
                <w:p w14:paraId="2D36E5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50" w:type="dxa"/>
                  <w:vMerge w:val="continue"/>
                  <w:tcBorders>
                    <w:tl2br w:val="nil"/>
                    <w:tr2bl w:val="nil"/>
                  </w:tcBorders>
                  <w:vAlign w:val="center"/>
                </w:tcPr>
                <w:p w14:paraId="7C2FB0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1157" w:type="dxa"/>
                  <w:vMerge w:val="continue"/>
                  <w:tcBorders>
                    <w:tl2br w:val="nil"/>
                    <w:tr2bl w:val="nil"/>
                  </w:tcBorders>
                  <w:vAlign w:val="center"/>
                </w:tcPr>
                <w:p w14:paraId="3CDC2F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r>
            <w:tr w14:paraId="26C12D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69" w:type="dxa"/>
                  <w:vMerge w:val="continue"/>
                  <w:tcBorders>
                    <w:tl2br w:val="nil"/>
                    <w:tr2bl w:val="nil"/>
                  </w:tcBorders>
                  <w:vAlign w:val="center"/>
                </w:tcPr>
                <w:p w14:paraId="016F91C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42" w:type="dxa"/>
                  <w:tcBorders>
                    <w:tl2br w:val="nil"/>
                    <w:tr2bl w:val="nil"/>
                  </w:tcBorders>
                  <w:vAlign w:val="center"/>
                </w:tcPr>
                <w:p w14:paraId="406B998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5"/>
                      <w:sz w:val="21"/>
                      <w:szCs w:val="21"/>
                    </w:rPr>
                    <w:t>非甲</w:t>
                  </w:r>
                </w:p>
                <w:p w14:paraId="2EB34E0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烷总</w:t>
                  </w:r>
                  <w:r>
                    <w:rPr>
                      <w:rFonts w:hint="default" w:ascii="Times New Roman" w:hAnsi="Times New Roman" w:eastAsia="宋体" w:cs="Times New Roman"/>
                      <w:color w:val="000000" w:themeColor="text1"/>
                      <w:sz w:val="21"/>
                      <w:szCs w:val="21"/>
                    </w:rPr>
                    <w:t>烃</w:t>
                  </w:r>
                </w:p>
              </w:tc>
              <w:tc>
                <w:tcPr>
                  <w:tcW w:w="929" w:type="dxa"/>
                  <w:tcBorders>
                    <w:tl2br w:val="nil"/>
                    <w:tr2bl w:val="nil"/>
                  </w:tcBorders>
                  <w:vAlign w:val="center"/>
                </w:tcPr>
                <w:p w14:paraId="3E716D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7717E6E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0.417</w:t>
                  </w:r>
                </w:p>
              </w:tc>
              <w:tc>
                <w:tcPr>
                  <w:tcW w:w="775" w:type="dxa"/>
                  <w:tcBorders>
                    <w:tl2br w:val="nil"/>
                    <w:tr2bl w:val="nil"/>
                  </w:tcBorders>
                  <w:vAlign w:val="center"/>
                </w:tcPr>
                <w:p w14:paraId="4A10B59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3.645</w:t>
                  </w:r>
                </w:p>
              </w:tc>
              <w:tc>
                <w:tcPr>
                  <w:tcW w:w="945" w:type="dxa"/>
                  <w:vMerge w:val="continue"/>
                  <w:tcBorders>
                    <w:tl2br w:val="nil"/>
                    <w:tr2bl w:val="nil"/>
                  </w:tcBorders>
                  <w:vAlign w:val="center"/>
                </w:tcPr>
                <w:p w14:paraId="6F3B65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p>
              </w:tc>
              <w:tc>
                <w:tcPr>
                  <w:tcW w:w="720" w:type="dxa"/>
                  <w:vMerge w:val="continue"/>
                  <w:tcBorders>
                    <w:tl2br w:val="nil"/>
                    <w:tr2bl w:val="nil"/>
                  </w:tcBorders>
                  <w:vAlign w:val="center"/>
                </w:tcPr>
                <w:p w14:paraId="303297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645" w:type="dxa"/>
                  <w:tcBorders>
                    <w:tl2br w:val="nil"/>
                    <w:tr2bl w:val="nil"/>
                  </w:tcBorders>
                  <w:vAlign w:val="center"/>
                </w:tcPr>
                <w:p w14:paraId="1791609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71.1</w:t>
                  </w:r>
                </w:p>
              </w:tc>
              <w:tc>
                <w:tcPr>
                  <w:tcW w:w="870" w:type="dxa"/>
                  <w:vMerge w:val="continue"/>
                  <w:tcBorders>
                    <w:tl2br w:val="nil"/>
                    <w:tr2bl w:val="nil"/>
                  </w:tcBorders>
                  <w:vAlign w:val="center"/>
                </w:tcPr>
                <w:p w14:paraId="11FFD08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tcBorders>
                    <w:tl2br w:val="nil"/>
                    <w:tr2bl w:val="nil"/>
                  </w:tcBorders>
                  <w:vAlign w:val="center"/>
                </w:tcPr>
                <w:p w14:paraId="2EF61D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14.63</w:t>
                  </w:r>
                </w:p>
              </w:tc>
              <w:tc>
                <w:tcPr>
                  <w:tcW w:w="779" w:type="dxa"/>
                  <w:tcBorders>
                    <w:tl2br w:val="nil"/>
                    <w:tr2bl w:val="nil"/>
                  </w:tcBorders>
                  <w:vAlign w:val="center"/>
                </w:tcPr>
                <w:p w14:paraId="555237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0.439</w:t>
                  </w:r>
                </w:p>
              </w:tc>
              <w:tc>
                <w:tcPr>
                  <w:tcW w:w="829" w:type="dxa"/>
                  <w:tcBorders>
                    <w:tl2br w:val="nil"/>
                    <w:tr2bl w:val="nil"/>
                  </w:tcBorders>
                  <w:vAlign w:val="center"/>
                </w:tcPr>
                <w:p w14:paraId="7662773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1.053</w:t>
                  </w:r>
                </w:p>
              </w:tc>
              <w:tc>
                <w:tcPr>
                  <w:tcW w:w="885" w:type="dxa"/>
                  <w:tcBorders>
                    <w:tl2br w:val="nil"/>
                    <w:tr2bl w:val="nil"/>
                  </w:tcBorders>
                  <w:vAlign w:val="center"/>
                </w:tcPr>
                <w:p w14:paraId="2F32528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50" w:type="dxa"/>
                  <w:tcBorders>
                    <w:tl2br w:val="nil"/>
                    <w:tr2bl w:val="nil"/>
                  </w:tcBorders>
                  <w:vAlign w:val="center"/>
                </w:tcPr>
                <w:p w14:paraId="56B327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20</w:t>
                  </w:r>
                </w:p>
              </w:tc>
              <w:tc>
                <w:tcPr>
                  <w:tcW w:w="1157" w:type="dxa"/>
                  <w:vMerge w:val="continue"/>
                  <w:tcBorders>
                    <w:tl2br w:val="nil"/>
                    <w:tr2bl w:val="nil"/>
                  </w:tcBorders>
                  <w:vAlign w:val="center"/>
                </w:tcPr>
                <w:p w14:paraId="053052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r>
            <w:tr w14:paraId="135A2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669" w:type="dxa"/>
                  <w:vMerge w:val="continue"/>
                  <w:tcBorders>
                    <w:tl2br w:val="nil"/>
                    <w:tr2bl w:val="nil"/>
                  </w:tcBorders>
                  <w:vAlign w:val="center"/>
                </w:tcPr>
                <w:p w14:paraId="632F190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42" w:type="dxa"/>
                  <w:tcBorders>
                    <w:tl2br w:val="nil"/>
                    <w:tr2bl w:val="nil"/>
                  </w:tcBorders>
                  <w:vAlign w:val="center"/>
                </w:tcPr>
                <w:p w14:paraId="46E702B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臭气浓度</w:t>
                  </w:r>
                </w:p>
              </w:tc>
              <w:tc>
                <w:tcPr>
                  <w:tcW w:w="929" w:type="dxa"/>
                  <w:tcBorders>
                    <w:tl2br w:val="nil"/>
                    <w:tr2bl w:val="nil"/>
                  </w:tcBorders>
                  <w:vAlign w:val="center"/>
                </w:tcPr>
                <w:p w14:paraId="6600D7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r>
                    <w:rPr>
                      <w:rFonts w:hint="default" w:ascii="Times New Roman" w:hAnsi="Times New Roman" w:eastAsia="宋体" w:cs="Times New Roman"/>
                      <w:color w:val="000000" w:themeColor="text1"/>
                      <w:spacing w:val="-2"/>
                      <w:sz w:val="21"/>
                      <w:szCs w:val="21"/>
                      <w:lang w:val="en-US" w:eastAsia="zh-CN"/>
                    </w:rPr>
                    <w:t>有组织</w:t>
                  </w:r>
                </w:p>
              </w:tc>
              <w:tc>
                <w:tcPr>
                  <w:tcW w:w="1039" w:type="dxa"/>
                  <w:tcBorders>
                    <w:tl2br w:val="nil"/>
                    <w:tr2bl w:val="nil"/>
                  </w:tcBorders>
                  <w:vAlign w:val="center"/>
                </w:tcPr>
                <w:p w14:paraId="44B185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75" w:type="dxa"/>
                  <w:tcBorders>
                    <w:tl2br w:val="nil"/>
                    <w:tr2bl w:val="nil"/>
                  </w:tcBorders>
                  <w:vAlign w:val="center"/>
                </w:tcPr>
                <w:p w14:paraId="62D7F4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少量</w:t>
                  </w:r>
                </w:p>
              </w:tc>
              <w:tc>
                <w:tcPr>
                  <w:tcW w:w="945" w:type="dxa"/>
                  <w:vMerge w:val="continue"/>
                  <w:tcBorders>
                    <w:tl2br w:val="nil"/>
                    <w:tr2bl w:val="nil"/>
                  </w:tcBorders>
                  <w:vAlign w:val="center"/>
                </w:tcPr>
                <w:p w14:paraId="73A1ED6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2"/>
                      <w:sz w:val="21"/>
                      <w:szCs w:val="21"/>
                      <w:lang w:val="en-US" w:eastAsia="zh-CN"/>
                    </w:rPr>
                  </w:pPr>
                </w:p>
              </w:tc>
              <w:tc>
                <w:tcPr>
                  <w:tcW w:w="720" w:type="dxa"/>
                  <w:vMerge w:val="continue"/>
                  <w:tcBorders>
                    <w:tl2br w:val="nil"/>
                    <w:tr2bl w:val="nil"/>
                  </w:tcBorders>
                  <w:vAlign w:val="center"/>
                </w:tcPr>
                <w:p w14:paraId="1E25CE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p>
              </w:tc>
              <w:tc>
                <w:tcPr>
                  <w:tcW w:w="645" w:type="dxa"/>
                  <w:tcBorders>
                    <w:tl2br w:val="nil"/>
                    <w:tr2bl w:val="nil"/>
                  </w:tcBorders>
                  <w:vAlign w:val="center"/>
                </w:tcPr>
                <w:p w14:paraId="32F57F6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2"/>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71.1</w:t>
                  </w:r>
                </w:p>
              </w:tc>
              <w:tc>
                <w:tcPr>
                  <w:tcW w:w="870" w:type="dxa"/>
                  <w:vMerge w:val="continue"/>
                  <w:tcBorders>
                    <w:tl2br w:val="nil"/>
                    <w:tr2bl w:val="nil"/>
                  </w:tcBorders>
                  <w:vAlign w:val="center"/>
                </w:tcPr>
                <w:p w14:paraId="6E4D9EA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702" w:type="dxa"/>
                  <w:tcBorders>
                    <w:tl2br w:val="nil"/>
                    <w:tr2bl w:val="nil"/>
                  </w:tcBorders>
                  <w:vAlign w:val="center"/>
                </w:tcPr>
                <w:p w14:paraId="2299DB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79" w:type="dxa"/>
                  <w:tcBorders>
                    <w:tl2br w:val="nil"/>
                    <w:tr2bl w:val="nil"/>
                  </w:tcBorders>
                  <w:vAlign w:val="center"/>
                </w:tcPr>
                <w:p w14:paraId="72047D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829" w:type="dxa"/>
                  <w:tcBorders>
                    <w:tl2br w:val="nil"/>
                    <w:tr2bl w:val="nil"/>
                  </w:tcBorders>
                  <w:vAlign w:val="center"/>
                </w:tcPr>
                <w:p w14:paraId="4AEAB0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少量</w:t>
                  </w:r>
                </w:p>
              </w:tc>
              <w:tc>
                <w:tcPr>
                  <w:tcW w:w="885" w:type="dxa"/>
                  <w:tcBorders>
                    <w:tl2br w:val="nil"/>
                    <w:tr2bl w:val="nil"/>
                  </w:tcBorders>
                  <w:vAlign w:val="center"/>
                </w:tcPr>
                <w:p w14:paraId="3D9159C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50" w:type="dxa"/>
                  <w:tcBorders>
                    <w:tl2br w:val="nil"/>
                    <w:tr2bl w:val="nil"/>
                  </w:tcBorders>
                  <w:vAlign w:val="center"/>
                </w:tcPr>
                <w:p w14:paraId="134D35D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cs="Times New Roman"/>
                      <w:color w:val="000000" w:themeColor="text1"/>
                      <w:sz w:val="21"/>
                      <w:szCs w:val="21"/>
                      <w:lang w:val="en-US" w:eastAsia="zh-CN"/>
                    </w:rPr>
                  </w:pPr>
                  <w:r>
                    <w:rPr>
                      <w:rFonts w:hint="eastAsia" w:cs="Times New Roman"/>
                      <w:color w:val="000000" w:themeColor="text1"/>
                      <w:sz w:val="21"/>
                      <w:szCs w:val="21"/>
                      <w:lang w:val="en-US" w:eastAsia="zh-CN"/>
                    </w:rPr>
                    <w:t>2000</w:t>
                  </w:r>
                </w:p>
                <w:p w14:paraId="5292E3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（无量纲）</w:t>
                  </w:r>
                </w:p>
              </w:tc>
              <w:tc>
                <w:tcPr>
                  <w:tcW w:w="1157" w:type="dxa"/>
                  <w:vMerge w:val="continue"/>
                  <w:tcBorders>
                    <w:tl2br w:val="nil"/>
                    <w:tr2bl w:val="nil"/>
                  </w:tcBorders>
                  <w:vAlign w:val="center"/>
                </w:tcPr>
                <w:p w14:paraId="39806D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r>
            <w:tr w14:paraId="53944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669" w:type="dxa"/>
                  <w:tcBorders>
                    <w:tl2br w:val="nil"/>
                    <w:tr2bl w:val="nil"/>
                  </w:tcBorders>
                  <w:vAlign w:val="center"/>
                </w:tcPr>
                <w:p w14:paraId="3EB7A8D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造粒</w:t>
                  </w:r>
                </w:p>
              </w:tc>
              <w:tc>
                <w:tcPr>
                  <w:tcW w:w="742" w:type="dxa"/>
                  <w:tcBorders>
                    <w:tl2br w:val="nil"/>
                    <w:tr2bl w:val="nil"/>
                  </w:tcBorders>
                  <w:vAlign w:val="center"/>
                </w:tcPr>
                <w:p w14:paraId="0643462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3F0C44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eastAsia="宋体" w:cs="Times New Roman"/>
                      <w:color w:val="000000" w:themeColor="text1"/>
                      <w:spacing w:val="-1"/>
                      <w:sz w:val="21"/>
                      <w:szCs w:val="21"/>
                      <w:lang w:val="en-US" w:eastAsia="zh-CN"/>
                    </w:rPr>
                    <w:t>无组织</w:t>
                  </w:r>
                </w:p>
              </w:tc>
              <w:tc>
                <w:tcPr>
                  <w:tcW w:w="1039" w:type="dxa"/>
                  <w:tcBorders>
                    <w:tl2br w:val="nil"/>
                    <w:tr2bl w:val="nil"/>
                  </w:tcBorders>
                  <w:vAlign w:val="center"/>
                </w:tcPr>
                <w:p w14:paraId="158446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040</w:t>
                  </w:r>
                </w:p>
              </w:tc>
              <w:tc>
                <w:tcPr>
                  <w:tcW w:w="775" w:type="dxa"/>
                  <w:tcBorders>
                    <w:tl2br w:val="nil"/>
                    <w:tr2bl w:val="nil"/>
                  </w:tcBorders>
                  <w:vAlign w:val="center"/>
                </w:tcPr>
                <w:p w14:paraId="0C9624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.097</w:t>
                  </w:r>
                </w:p>
              </w:tc>
              <w:tc>
                <w:tcPr>
                  <w:tcW w:w="945" w:type="dxa"/>
                  <w:tcBorders>
                    <w:tl2br w:val="nil"/>
                    <w:tr2bl w:val="nil"/>
                  </w:tcBorders>
                  <w:vAlign w:val="center"/>
                </w:tcPr>
                <w:p w14:paraId="48CF70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20" w:type="dxa"/>
                  <w:tcBorders>
                    <w:tl2br w:val="nil"/>
                    <w:tr2bl w:val="nil"/>
                  </w:tcBorders>
                  <w:vAlign w:val="center"/>
                </w:tcPr>
                <w:p w14:paraId="00FEEA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645" w:type="dxa"/>
                  <w:tcBorders>
                    <w:tl2br w:val="nil"/>
                    <w:tr2bl w:val="nil"/>
                  </w:tcBorders>
                  <w:vAlign w:val="center"/>
                </w:tcPr>
                <w:p w14:paraId="3873B1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70" w:type="dxa"/>
                  <w:tcBorders>
                    <w:tl2br w:val="nil"/>
                    <w:tr2bl w:val="nil"/>
                  </w:tcBorders>
                  <w:vAlign w:val="center"/>
                </w:tcPr>
                <w:p w14:paraId="761E3C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2" w:type="dxa"/>
                  <w:tcBorders>
                    <w:tl2br w:val="nil"/>
                    <w:tr2bl w:val="nil"/>
                  </w:tcBorders>
                  <w:vAlign w:val="center"/>
                </w:tcPr>
                <w:p w14:paraId="5507E8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79" w:type="dxa"/>
                  <w:tcBorders>
                    <w:tl2br w:val="nil"/>
                    <w:tr2bl w:val="nil"/>
                  </w:tcBorders>
                  <w:vAlign w:val="center"/>
                </w:tcPr>
                <w:p w14:paraId="149604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040</w:t>
                  </w:r>
                </w:p>
              </w:tc>
              <w:tc>
                <w:tcPr>
                  <w:tcW w:w="829" w:type="dxa"/>
                  <w:tcBorders>
                    <w:tl2br w:val="nil"/>
                    <w:tr2bl w:val="nil"/>
                  </w:tcBorders>
                  <w:vAlign w:val="center"/>
                </w:tcPr>
                <w:p w14:paraId="6C43C1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.097</w:t>
                  </w:r>
                </w:p>
              </w:tc>
              <w:tc>
                <w:tcPr>
                  <w:tcW w:w="885" w:type="dxa"/>
                  <w:tcBorders>
                    <w:tl2br w:val="nil"/>
                    <w:tr2bl w:val="nil"/>
                  </w:tcBorders>
                  <w:vAlign w:val="center"/>
                </w:tcPr>
                <w:p w14:paraId="5404AFA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50" w:type="dxa"/>
                  <w:tcBorders>
                    <w:tl2br w:val="nil"/>
                    <w:tr2bl w:val="nil"/>
                  </w:tcBorders>
                  <w:vAlign w:val="center"/>
                </w:tcPr>
                <w:p w14:paraId="170959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157" w:type="dxa"/>
                  <w:vMerge w:val="restart"/>
                  <w:tcBorders>
                    <w:tl2br w:val="nil"/>
                    <w:tr2bl w:val="nil"/>
                  </w:tcBorders>
                  <w:vAlign w:val="center"/>
                </w:tcPr>
                <w:p w14:paraId="7A5C8B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7"/>
                      <w:sz w:val="21"/>
                      <w:szCs w:val="21"/>
                      <w:lang w:val="en-US" w:eastAsia="zh-CN"/>
                    </w:rPr>
                  </w:pPr>
                  <w:r>
                    <w:rPr>
                      <w:rFonts w:hint="eastAsia" w:ascii="Times New Roman" w:hAnsi="Times New Roman" w:eastAsia="宋体" w:cs="Times New Roman"/>
                      <w:color w:val="000000" w:themeColor="text1"/>
                      <w:sz w:val="21"/>
                      <w:szCs w:val="21"/>
                      <w:lang w:val="en-US" w:eastAsia="zh-CN"/>
                    </w:rPr>
                    <w:t>2400</w:t>
                  </w:r>
                </w:p>
              </w:tc>
            </w:tr>
            <w:tr w14:paraId="264C56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669" w:type="dxa"/>
                  <w:tcBorders>
                    <w:tl2br w:val="nil"/>
                    <w:tr2bl w:val="nil"/>
                  </w:tcBorders>
                  <w:vAlign w:val="center"/>
                </w:tcPr>
                <w:p w14:paraId="33C9ED0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混合</w:t>
                  </w:r>
                </w:p>
              </w:tc>
              <w:tc>
                <w:tcPr>
                  <w:tcW w:w="742" w:type="dxa"/>
                  <w:tcBorders>
                    <w:tl2br w:val="nil"/>
                    <w:tr2bl w:val="nil"/>
                  </w:tcBorders>
                  <w:vAlign w:val="center"/>
                </w:tcPr>
                <w:p w14:paraId="23B40B1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6EACF6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eastAsia="宋体" w:cs="Times New Roman"/>
                      <w:color w:val="000000" w:themeColor="text1"/>
                      <w:spacing w:val="-1"/>
                      <w:sz w:val="21"/>
                      <w:szCs w:val="21"/>
                      <w:lang w:val="en-US" w:eastAsia="zh-CN"/>
                    </w:rPr>
                    <w:t>无组织</w:t>
                  </w:r>
                </w:p>
              </w:tc>
              <w:tc>
                <w:tcPr>
                  <w:tcW w:w="1039" w:type="dxa"/>
                  <w:tcBorders>
                    <w:tl2br w:val="nil"/>
                    <w:tr2bl w:val="nil"/>
                  </w:tcBorders>
                  <w:vAlign w:val="center"/>
                </w:tcPr>
                <w:p w14:paraId="18046A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0.25</w:t>
                  </w:r>
                </w:p>
              </w:tc>
              <w:tc>
                <w:tcPr>
                  <w:tcW w:w="775" w:type="dxa"/>
                  <w:tcBorders>
                    <w:tl2br w:val="nil"/>
                    <w:tr2bl w:val="nil"/>
                  </w:tcBorders>
                  <w:vAlign w:val="center"/>
                </w:tcPr>
                <w:p w14:paraId="65CF83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w:t>
                  </w:r>
                </w:p>
              </w:tc>
              <w:tc>
                <w:tcPr>
                  <w:tcW w:w="945" w:type="dxa"/>
                  <w:tcBorders>
                    <w:tl2br w:val="nil"/>
                    <w:tr2bl w:val="nil"/>
                  </w:tcBorders>
                  <w:vAlign w:val="center"/>
                </w:tcPr>
                <w:p w14:paraId="053762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20" w:type="dxa"/>
                  <w:tcBorders>
                    <w:tl2br w:val="nil"/>
                    <w:tr2bl w:val="nil"/>
                  </w:tcBorders>
                  <w:vAlign w:val="center"/>
                </w:tcPr>
                <w:p w14:paraId="092124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645" w:type="dxa"/>
                  <w:tcBorders>
                    <w:tl2br w:val="nil"/>
                    <w:tr2bl w:val="nil"/>
                  </w:tcBorders>
                  <w:vAlign w:val="center"/>
                </w:tcPr>
                <w:p w14:paraId="253F6B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70" w:type="dxa"/>
                  <w:tcBorders>
                    <w:tl2br w:val="nil"/>
                    <w:tr2bl w:val="nil"/>
                  </w:tcBorders>
                  <w:vAlign w:val="center"/>
                </w:tcPr>
                <w:p w14:paraId="449191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2" w:type="dxa"/>
                  <w:tcBorders>
                    <w:tl2br w:val="nil"/>
                    <w:tr2bl w:val="nil"/>
                  </w:tcBorders>
                  <w:vAlign w:val="center"/>
                </w:tcPr>
                <w:p w14:paraId="5838859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79" w:type="dxa"/>
                  <w:tcBorders>
                    <w:tl2br w:val="nil"/>
                    <w:tr2bl w:val="nil"/>
                  </w:tcBorders>
                  <w:vAlign w:val="center"/>
                </w:tcPr>
                <w:p w14:paraId="627917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0.25</w:t>
                  </w:r>
                </w:p>
              </w:tc>
              <w:tc>
                <w:tcPr>
                  <w:tcW w:w="829" w:type="dxa"/>
                  <w:tcBorders>
                    <w:tl2br w:val="nil"/>
                    <w:tr2bl w:val="nil"/>
                  </w:tcBorders>
                  <w:vAlign w:val="center"/>
                </w:tcPr>
                <w:p w14:paraId="5D743B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0.6</w:t>
                  </w:r>
                </w:p>
              </w:tc>
              <w:tc>
                <w:tcPr>
                  <w:tcW w:w="885" w:type="dxa"/>
                  <w:tcBorders>
                    <w:tl2br w:val="nil"/>
                    <w:tr2bl w:val="nil"/>
                  </w:tcBorders>
                  <w:vAlign w:val="center"/>
                </w:tcPr>
                <w:p w14:paraId="480357E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50" w:type="dxa"/>
                  <w:tcBorders>
                    <w:tl2br w:val="nil"/>
                    <w:tr2bl w:val="nil"/>
                  </w:tcBorders>
                  <w:vAlign w:val="center"/>
                </w:tcPr>
                <w:p w14:paraId="71ED33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7"/>
                      <w:sz w:val="21"/>
                      <w:szCs w:val="21"/>
                      <w:lang w:val="en-US" w:eastAsia="zh-CN"/>
                    </w:rPr>
                  </w:pPr>
                  <w:r>
                    <w:rPr>
                      <w:rFonts w:hint="eastAsia" w:ascii="Times New Roman" w:hAnsi="Times New Roman" w:eastAsia="宋体" w:cs="Times New Roman"/>
                      <w:color w:val="000000" w:themeColor="text1"/>
                      <w:spacing w:val="-7"/>
                      <w:sz w:val="21"/>
                      <w:szCs w:val="21"/>
                      <w:lang w:val="en-US" w:eastAsia="zh-CN"/>
                    </w:rPr>
                    <w:t>/</w:t>
                  </w:r>
                </w:p>
              </w:tc>
              <w:tc>
                <w:tcPr>
                  <w:tcW w:w="1157" w:type="dxa"/>
                  <w:vMerge w:val="continue"/>
                  <w:tcBorders>
                    <w:tl2br w:val="nil"/>
                    <w:tr2bl w:val="nil"/>
                  </w:tcBorders>
                  <w:vAlign w:val="center"/>
                </w:tcPr>
                <w:p w14:paraId="4E1163B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7"/>
                      <w:sz w:val="21"/>
                      <w:szCs w:val="21"/>
                      <w:lang w:val="en-US" w:eastAsia="zh-CN"/>
                    </w:rPr>
                  </w:pPr>
                </w:p>
              </w:tc>
            </w:tr>
            <w:tr w14:paraId="6F5FD8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669" w:type="dxa"/>
                  <w:tcBorders>
                    <w:tl2br w:val="nil"/>
                    <w:tr2bl w:val="nil"/>
                  </w:tcBorders>
                  <w:vAlign w:val="center"/>
                </w:tcPr>
                <w:p w14:paraId="0008AC5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挤出</w:t>
                  </w:r>
                </w:p>
              </w:tc>
              <w:tc>
                <w:tcPr>
                  <w:tcW w:w="742" w:type="dxa"/>
                  <w:tcBorders>
                    <w:tl2br w:val="nil"/>
                    <w:tr2bl w:val="nil"/>
                  </w:tcBorders>
                  <w:vAlign w:val="center"/>
                </w:tcPr>
                <w:p w14:paraId="354A74B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颗粒</w:t>
                  </w:r>
                  <w:r>
                    <w:rPr>
                      <w:rFonts w:hint="default" w:ascii="Times New Roman" w:hAnsi="Times New Roman" w:eastAsia="宋体" w:cs="Times New Roman"/>
                      <w:color w:val="000000" w:themeColor="text1"/>
                      <w:sz w:val="21"/>
                      <w:szCs w:val="21"/>
                    </w:rPr>
                    <w:t>物</w:t>
                  </w:r>
                </w:p>
              </w:tc>
              <w:tc>
                <w:tcPr>
                  <w:tcW w:w="929" w:type="dxa"/>
                  <w:tcBorders>
                    <w:tl2br w:val="nil"/>
                    <w:tr2bl w:val="nil"/>
                  </w:tcBorders>
                  <w:vAlign w:val="center"/>
                </w:tcPr>
                <w:p w14:paraId="68C005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eastAsia" w:cs="Times New Roman"/>
                      <w:color w:val="000000" w:themeColor="text1"/>
                      <w:spacing w:val="-1"/>
                      <w:sz w:val="21"/>
                      <w:szCs w:val="21"/>
                      <w:lang w:val="en-US" w:eastAsia="zh-CN"/>
                    </w:rPr>
                    <w:t>无组织</w:t>
                  </w:r>
                </w:p>
              </w:tc>
              <w:tc>
                <w:tcPr>
                  <w:tcW w:w="1039" w:type="dxa"/>
                  <w:tcBorders>
                    <w:tl2br w:val="nil"/>
                    <w:tr2bl w:val="nil"/>
                  </w:tcBorders>
                  <w:vAlign w:val="center"/>
                </w:tcPr>
                <w:p w14:paraId="27BD9A5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0.010</w:t>
                  </w:r>
                </w:p>
              </w:tc>
              <w:tc>
                <w:tcPr>
                  <w:tcW w:w="775" w:type="dxa"/>
                  <w:tcBorders>
                    <w:tl2br w:val="nil"/>
                    <w:tr2bl w:val="nil"/>
                  </w:tcBorders>
                  <w:vAlign w:val="center"/>
                </w:tcPr>
                <w:p w14:paraId="3B1D652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0.023</w:t>
                  </w:r>
                </w:p>
              </w:tc>
              <w:tc>
                <w:tcPr>
                  <w:tcW w:w="945" w:type="dxa"/>
                  <w:tcBorders>
                    <w:tl2br w:val="nil"/>
                    <w:tr2bl w:val="nil"/>
                  </w:tcBorders>
                  <w:vAlign w:val="center"/>
                </w:tcPr>
                <w:p w14:paraId="44C861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20" w:type="dxa"/>
                  <w:tcBorders>
                    <w:tl2br w:val="nil"/>
                    <w:tr2bl w:val="nil"/>
                  </w:tcBorders>
                  <w:vAlign w:val="center"/>
                </w:tcPr>
                <w:p w14:paraId="4AE2AC7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645" w:type="dxa"/>
                  <w:tcBorders>
                    <w:tl2br w:val="nil"/>
                    <w:tr2bl w:val="nil"/>
                  </w:tcBorders>
                  <w:vAlign w:val="center"/>
                </w:tcPr>
                <w:p w14:paraId="21F832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870" w:type="dxa"/>
                  <w:tcBorders>
                    <w:tl2br w:val="nil"/>
                    <w:tr2bl w:val="nil"/>
                  </w:tcBorders>
                  <w:vAlign w:val="center"/>
                </w:tcPr>
                <w:p w14:paraId="37BDD3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02" w:type="dxa"/>
                  <w:tcBorders>
                    <w:tl2br w:val="nil"/>
                    <w:tr2bl w:val="nil"/>
                  </w:tcBorders>
                  <w:vAlign w:val="center"/>
                </w:tcPr>
                <w:p w14:paraId="4521AB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79" w:type="dxa"/>
                  <w:tcBorders>
                    <w:tl2br w:val="nil"/>
                    <w:tr2bl w:val="nil"/>
                  </w:tcBorders>
                  <w:vAlign w:val="center"/>
                </w:tcPr>
                <w:p w14:paraId="3FBBCE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0.010</w:t>
                  </w:r>
                </w:p>
              </w:tc>
              <w:tc>
                <w:tcPr>
                  <w:tcW w:w="829" w:type="dxa"/>
                  <w:tcBorders>
                    <w:tl2br w:val="nil"/>
                    <w:tr2bl w:val="nil"/>
                  </w:tcBorders>
                  <w:vAlign w:val="center"/>
                </w:tcPr>
                <w:p w14:paraId="5D34C5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0.023</w:t>
                  </w:r>
                </w:p>
              </w:tc>
              <w:tc>
                <w:tcPr>
                  <w:tcW w:w="885" w:type="dxa"/>
                  <w:tcBorders>
                    <w:tl2br w:val="nil"/>
                    <w:tr2bl w:val="nil"/>
                  </w:tcBorders>
                  <w:vAlign w:val="center"/>
                </w:tcPr>
                <w:p w14:paraId="42C0924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p>
              </w:tc>
              <w:tc>
                <w:tcPr>
                  <w:tcW w:w="750" w:type="dxa"/>
                  <w:tcBorders>
                    <w:tl2br w:val="nil"/>
                    <w:tr2bl w:val="nil"/>
                  </w:tcBorders>
                  <w:vAlign w:val="center"/>
                </w:tcPr>
                <w:p w14:paraId="265F896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7"/>
                      <w:sz w:val="21"/>
                      <w:szCs w:val="21"/>
                      <w:lang w:val="en-US" w:eastAsia="zh-CN"/>
                    </w:rPr>
                  </w:pPr>
                  <w:r>
                    <w:rPr>
                      <w:rFonts w:hint="eastAsia" w:cs="Times New Roman"/>
                      <w:color w:val="000000" w:themeColor="text1"/>
                      <w:spacing w:val="-7"/>
                      <w:sz w:val="21"/>
                      <w:szCs w:val="21"/>
                      <w:lang w:val="en-US" w:eastAsia="zh-CN"/>
                    </w:rPr>
                    <w:t>/</w:t>
                  </w:r>
                </w:p>
              </w:tc>
              <w:tc>
                <w:tcPr>
                  <w:tcW w:w="1157" w:type="dxa"/>
                  <w:vMerge w:val="continue"/>
                  <w:tcBorders>
                    <w:tl2br w:val="nil"/>
                    <w:tr2bl w:val="nil"/>
                  </w:tcBorders>
                  <w:vAlign w:val="center"/>
                </w:tcPr>
                <w:p w14:paraId="42B140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7"/>
                      <w:sz w:val="21"/>
                      <w:szCs w:val="21"/>
                      <w:lang w:val="en-US" w:eastAsia="zh-CN"/>
                    </w:rPr>
                  </w:pPr>
                </w:p>
              </w:tc>
            </w:tr>
            <w:tr w14:paraId="06E314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69" w:type="dxa"/>
                  <w:tcBorders>
                    <w:tl2br w:val="nil"/>
                    <w:tr2bl w:val="nil"/>
                  </w:tcBorders>
                  <w:vAlign w:val="center"/>
                </w:tcPr>
                <w:p w14:paraId="71188AF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挤出</w:t>
                  </w:r>
                </w:p>
              </w:tc>
              <w:tc>
                <w:tcPr>
                  <w:tcW w:w="742" w:type="dxa"/>
                  <w:tcBorders>
                    <w:tl2br w:val="nil"/>
                    <w:tr2bl w:val="nil"/>
                  </w:tcBorders>
                  <w:vAlign w:val="center"/>
                </w:tcPr>
                <w:p w14:paraId="71BAF80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5"/>
                      <w:sz w:val="21"/>
                      <w:szCs w:val="21"/>
                    </w:rPr>
                    <w:t>非甲</w:t>
                  </w:r>
                </w:p>
                <w:p w14:paraId="12F6D74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烷总</w:t>
                  </w:r>
                  <w:r>
                    <w:rPr>
                      <w:rFonts w:hint="default" w:ascii="Times New Roman" w:hAnsi="Times New Roman" w:eastAsia="宋体" w:cs="Times New Roman"/>
                      <w:color w:val="000000" w:themeColor="text1"/>
                      <w:sz w:val="21"/>
                      <w:szCs w:val="21"/>
                    </w:rPr>
                    <w:t>烃</w:t>
                  </w:r>
                </w:p>
              </w:tc>
              <w:tc>
                <w:tcPr>
                  <w:tcW w:w="929" w:type="dxa"/>
                  <w:tcBorders>
                    <w:tl2br w:val="nil"/>
                    <w:tr2bl w:val="nil"/>
                  </w:tcBorders>
                  <w:vAlign w:val="center"/>
                </w:tcPr>
                <w:p w14:paraId="04E6B18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rPr>
                  </w:pPr>
                  <w:r>
                    <w:rPr>
                      <w:rFonts w:hint="default" w:ascii="Times New Roman" w:hAnsi="Times New Roman" w:eastAsia="宋体" w:cs="Times New Roman"/>
                      <w:color w:val="000000" w:themeColor="text1"/>
                      <w:spacing w:val="-1"/>
                      <w:sz w:val="21"/>
                      <w:szCs w:val="21"/>
                      <w:lang w:val="en-US" w:eastAsia="zh-CN"/>
                    </w:rPr>
                    <w:t>无组织</w:t>
                  </w:r>
                </w:p>
              </w:tc>
              <w:tc>
                <w:tcPr>
                  <w:tcW w:w="1039" w:type="dxa"/>
                  <w:tcBorders>
                    <w:tl2br w:val="nil"/>
                    <w:tr2bl w:val="nil"/>
                  </w:tcBorders>
                  <w:vAlign w:val="center"/>
                </w:tcPr>
                <w:p w14:paraId="784F25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169</w:t>
                  </w:r>
                </w:p>
              </w:tc>
              <w:tc>
                <w:tcPr>
                  <w:tcW w:w="775" w:type="dxa"/>
                  <w:tcBorders>
                    <w:tl2br w:val="nil"/>
                    <w:tr2bl w:val="nil"/>
                  </w:tcBorders>
                  <w:vAlign w:val="center"/>
                </w:tcPr>
                <w:p w14:paraId="230E0C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405</w:t>
                  </w:r>
                </w:p>
              </w:tc>
              <w:tc>
                <w:tcPr>
                  <w:tcW w:w="945" w:type="dxa"/>
                  <w:tcBorders>
                    <w:tl2br w:val="nil"/>
                    <w:tr2bl w:val="nil"/>
                  </w:tcBorders>
                  <w:vAlign w:val="center"/>
                </w:tcPr>
                <w:p w14:paraId="7C6368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20" w:type="dxa"/>
                  <w:tcBorders>
                    <w:tl2br w:val="nil"/>
                    <w:tr2bl w:val="nil"/>
                  </w:tcBorders>
                  <w:vAlign w:val="center"/>
                </w:tcPr>
                <w:p w14:paraId="2CCDBE7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645" w:type="dxa"/>
                  <w:tcBorders>
                    <w:tl2br w:val="nil"/>
                    <w:tr2bl w:val="nil"/>
                  </w:tcBorders>
                  <w:vAlign w:val="center"/>
                </w:tcPr>
                <w:p w14:paraId="6821B6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870" w:type="dxa"/>
                  <w:tcBorders>
                    <w:tl2br w:val="nil"/>
                    <w:tr2bl w:val="nil"/>
                  </w:tcBorders>
                  <w:vAlign w:val="center"/>
                </w:tcPr>
                <w:p w14:paraId="5E7E5F7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702" w:type="dxa"/>
                  <w:tcBorders>
                    <w:tl2br w:val="nil"/>
                    <w:tr2bl w:val="nil"/>
                  </w:tcBorders>
                  <w:vAlign w:val="center"/>
                </w:tcPr>
                <w:p w14:paraId="07DDE3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79" w:type="dxa"/>
                  <w:tcBorders>
                    <w:tl2br w:val="nil"/>
                    <w:tr2bl w:val="nil"/>
                  </w:tcBorders>
                  <w:vAlign w:val="center"/>
                </w:tcPr>
                <w:p w14:paraId="56D4D2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169</w:t>
                  </w:r>
                </w:p>
              </w:tc>
              <w:tc>
                <w:tcPr>
                  <w:tcW w:w="829" w:type="dxa"/>
                  <w:tcBorders>
                    <w:tl2br w:val="nil"/>
                    <w:tr2bl w:val="nil"/>
                  </w:tcBorders>
                  <w:vAlign w:val="center"/>
                </w:tcPr>
                <w:p w14:paraId="4054D7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405</w:t>
                  </w:r>
                </w:p>
              </w:tc>
              <w:tc>
                <w:tcPr>
                  <w:tcW w:w="885" w:type="dxa"/>
                  <w:tcBorders>
                    <w:tl2br w:val="nil"/>
                    <w:tr2bl w:val="nil"/>
                  </w:tcBorders>
                  <w:vAlign w:val="center"/>
                </w:tcPr>
                <w:p w14:paraId="5A4745D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750" w:type="dxa"/>
                  <w:tcBorders>
                    <w:tl2br w:val="nil"/>
                    <w:tr2bl w:val="nil"/>
                  </w:tcBorders>
                  <w:vAlign w:val="center"/>
                </w:tcPr>
                <w:p w14:paraId="22C6AC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7"/>
                      <w:sz w:val="21"/>
                      <w:szCs w:val="21"/>
                    </w:rPr>
                    <w:t>1.5</w:t>
                  </w:r>
                </w:p>
              </w:tc>
              <w:tc>
                <w:tcPr>
                  <w:tcW w:w="1157" w:type="dxa"/>
                  <w:vMerge w:val="continue"/>
                  <w:tcBorders>
                    <w:tl2br w:val="nil"/>
                    <w:tr2bl w:val="nil"/>
                  </w:tcBorders>
                  <w:vAlign w:val="center"/>
                </w:tcPr>
                <w:p w14:paraId="0CAAAD7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7"/>
                      <w:sz w:val="21"/>
                      <w:szCs w:val="21"/>
                    </w:rPr>
                  </w:pPr>
                </w:p>
              </w:tc>
            </w:tr>
            <w:tr w14:paraId="21E109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669" w:type="dxa"/>
                  <w:tcBorders>
                    <w:tl2br w:val="nil"/>
                    <w:tr2bl w:val="nil"/>
                  </w:tcBorders>
                  <w:vAlign w:val="center"/>
                </w:tcPr>
                <w:p w14:paraId="6D533A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挤出</w:t>
                  </w:r>
                </w:p>
              </w:tc>
              <w:tc>
                <w:tcPr>
                  <w:tcW w:w="742" w:type="dxa"/>
                  <w:tcBorders>
                    <w:tl2br w:val="nil"/>
                    <w:tr2bl w:val="nil"/>
                  </w:tcBorders>
                  <w:vAlign w:val="center"/>
                </w:tcPr>
                <w:p w14:paraId="192EADC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eastAsia" w:ascii="Times New Roman" w:hAnsi="Times New Roman" w:cs="Times New Roman"/>
                      <w:color w:val="000000" w:themeColor="text1"/>
                      <w:spacing w:val="-4"/>
                      <w:sz w:val="21"/>
                      <w:szCs w:val="21"/>
                      <w:lang w:val="en-US" w:eastAsia="zh-CN"/>
                    </w:rPr>
                    <w:t>臭气浓度</w:t>
                  </w:r>
                </w:p>
              </w:tc>
              <w:tc>
                <w:tcPr>
                  <w:tcW w:w="929" w:type="dxa"/>
                  <w:tcBorders>
                    <w:tl2br w:val="nil"/>
                    <w:tr2bl w:val="nil"/>
                  </w:tcBorders>
                  <w:vAlign w:val="center"/>
                </w:tcPr>
                <w:p w14:paraId="095F64A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1"/>
                      <w:sz w:val="21"/>
                      <w:szCs w:val="21"/>
                      <w:lang w:val="en-US" w:eastAsia="zh-CN"/>
                    </w:rPr>
                  </w:pPr>
                  <w:r>
                    <w:rPr>
                      <w:rFonts w:hint="default" w:ascii="Times New Roman" w:hAnsi="Times New Roman" w:eastAsia="宋体" w:cs="Times New Roman"/>
                      <w:color w:val="000000" w:themeColor="text1"/>
                      <w:spacing w:val="-1"/>
                      <w:sz w:val="21"/>
                      <w:szCs w:val="21"/>
                      <w:lang w:val="en-US" w:eastAsia="zh-CN"/>
                    </w:rPr>
                    <w:t>无组织</w:t>
                  </w:r>
                </w:p>
              </w:tc>
              <w:tc>
                <w:tcPr>
                  <w:tcW w:w="1039" w:type="dxa"/>
                  <w:tcBorders>
                    <w:tl2br w:val="nil"/>
                    <w:tr2bl w:val="nil"/>
                  </w:tcBorders>
                  <w:vAlign w:val="center"/>
                </w:tcPr>
                <w:p w14:paraId="5D57A0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75" w:type="dxa"/>
                  <w:tcBorders>
                    <w:tl2br w:val="nil"/>
                    <w:tr2bl w:val="nil"/>
                  </w:tcBorders>
                  <w:vAlign w:val="center"/>
                </w:tcPr>
                <w:p w14:paraId="4BC50AD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少量</w:t>
                  </w:r>
                </w:p>
              </w:tc>
              <w:tc>
                <w:tcPr>
                  <w:tcW w:w="945" w:type="dxa"/>
                  <w:tcBorders>
                    <w:tl2br w:val="nil"/>
                    <w:tr2bl w:val="nil"/>
                  </w:tcBorders>
                  <w:vAlign w:val="center"/>
                </w:tcPr>
                <w:p w14:paraId="53788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20" w:type="dxa"/>
                  <w:tcBorders>
                    <w:tl2br w:val="nil"/>
                    <w:tr2bl w:val="nil"/>
                  </w:tcBorders>
                  <w:vAlign w:val="center"/>
                </w:tcPr>
                <w:p w14:paraId="0C21DA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645" w:type="dxa"/>
                  <w:tcBorders>
                    <w:tl2br w:val="nil"/>
                    <w:tr2bl w:val="nil"/>
                  </w:tcBorders>
                  <w:vAlign w:val="center"/>
                </w:tcPr>
                <w:p w14:paraId="2845F7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870" w:type="dxa"/>
                  <w:tcBorders>
                    <w:tl2br w:val="nil"/>
                    <w:tr2bl w:val="nil"/>
                  </w:tcBorders>
                  <w:vAlign w:val="center"/>
                </w:tcPr>
                <w:p w14:paraId="6E1B70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02" w:type="dxa"/>
                  <w:tcBorders>
                    <w:tl2br w:val="nil"/>
                    <w:tr2bl w:val="nil"/>
                  </w:tcBorders>
                  <w:vAlign w:val="center"/>
                </w:tcPr>
                <w:p w14:paraId="419B3B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779" w:type="dxa"/>
                  <w:tcBorders>
                    <w:tl2br w:val="nil"/>
                    <w:tr2bl w:val="nil"/>
                  </w:tcBorders>
                  <w:vAlign w:val="center"/>
                </w:tcPr>
                <w:p w14:paraId="6B4A01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829" w:type="dxa"/>
                  <w:tcBorders>
                    <w:tl2br w:val="nil"/>
                    <w:tr2bl w:val="nil"/>
                  </w:tcBorders>
                  <w:vAlign w:val="center"/>
                </w:tcPr>
                <w:p w14:paraId="046B86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少量</w:t>
                  </w:r>
                </w:p>
              </w:tc>
              <w:tc>
                <w:tcPr>
                  <w:tcW w:w="885" w:type="dxa"/>
                  <w:tcBorders>
                    <w:tl2br w:val="nil"/>
                    <w:tr2bl w:val="nil"/>
                  </w:tcBorders>
                  <w:vAlign w:val="center"/>
                </w:tcPr>
                <w:p w14:paraId="1D8D64B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w:t>
                  </w:r>
                </w:p>
              </w:tc>
              <w:tc>
                <w:tcPr>
                  <w:tcW w:w="750" w:type="dxa"/>
                  <w:tcBorders>
                    <w:tl2br w:val="nil"/>
                    <w:tr2bl w:val="nil"/>
                  </w:tcBorders>
                  <w:vAlign w:val="center"/>
                </w:tcPr>
                <w:p w14:paraId="51A032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7"/>
                      <w:sz w:val="21"/>
                      <w:szCs w:val="21"/>
                      <w:lang w:val="en-US" w:eastAsia="zh-CN"/>
                    </w:rPr>
                  </w:pPr>
                  <w:r>
                    <w:rPr>
                      <w:rFonts w:hint="eastAsia" w:cs="Times New Roman"/>
                      <w:color w:val="000000" w:themeColor="text1"/>
                      <w:spacing w:val="-7"/>
                      <w:sz w:val="21"/>
                      <w:szCs w:val="21"/>
                      <w:lang w:val="en-US" w:eastAsia="zh-CN"/>
                    </w:rPr>
                    <w:t>20</w:t>
                  </w:r>
                  <w:r>
                    <w:rPr>
                      <w:rFonts w:hint="eastAsia" w:cs="Times New Roman"/>
                      <w:color w:val="000000" w:themeColor="text1"/>
                      <w:sz w:val="21"/>
                      <w:szCs w:val="21"/>
                      <w:lang w:val="en-US" w:eastAsia="zh-CN"/>
                    </w:rPr>
                    <w:t>（无量纲）</w:t>
                  </w:r>
                </w:p>
              </w:tc>
              <w:tc>
                <w:tcPr>
                  <w:tcW w:w="1157" w:type="dxa"/>
                  <w:vMerge w:val="continue"/>
                  <w:tcBorders>
                    <w:tl2br w:val="nil"/>
                    <w:tr2bl w:val="nil"/>
                  </w:tcBorders>
                  <w:vAlign w:val="center"/>
                </w:tcPr>
                <w:p w14:paraId="62D5E9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7"/>
                      <w:sz w:val="21"/>
                      <w:szCs w:val="21"/>
                    </w:rPr>
                  </w:pPr>
                </w:p>
              </w:tc>
            </w:tr>
          </w:tbl>
          <w:p w14:paraId="3CB4B59E">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表4-</w:t>
            </w:r>
            <w:r>
              <w:rPr>
                <w:rFonts w:hint="eastAsia" w:cs="Times New Roman"/>
                <w:b/>
                <w:bCs/>
                <w:color w:val="000000" w:themeColor="text1"/>
                <w:sz w:val="21"/>
                <w:szCs w:val="21"/>
                <w:lang w:val="en-US" w:eastAsia="zh-CN"/>
              </w:rPr>
              <w:t>8</w:t>
            </w:r>
            <w:r>
              <w:rPr>
                <w:rFonts w:ascii="Times New Roman" w:hAnsi="Times New Roman" w:eastAsia="宋体" w:cs="Times New Roman"/>
                <w:b/>
                <w:bCs/>
                <w:color w:val="000000" w:themeColor="text1"/>
                <w:sz w:val="21"/>
                <w:szCs w:val="21"/>
              </w:rPr>
              <w:t xml:space="preserve">   本项目有组织废气排放口基本情况表</w:t>
            </w:r>
          </w:p>
          <w:p w14:paraId="5793F1BB">
            <w:pPr>
              <w:spacing w:line="36" w:lineRule="exact"/>
              <w:rPr>
                <w:color w:val="000000" w:themeColor="text1"/>
              </w:rPr>
            </w:pPr>
          </w:p>
          <w:tbl>
            <w:tblPr>
              <w:tblStyle w:val="131"/>
              <w:tblW w:w="124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7"/>
              <w:gridCol w:w="1171"/>
              <w:gridCol w:w="1264"/>
              <w:gridCol w:w="1010"/>
              <w:gridCol w:w="1083"/>
              <w:gridCol w:w="750"/>
              <w:gridCol w:w="945"/>
              <w:gridCol w:w="795"/>
              <w:gridCol w:w="825"/>
              <w:gridCol w:w="660"/>
              <w:gridCol w:w="759"/>
              <w:gridCol w:w="759"/>
              <w:gridCol w:w="759"/>
              <w:gridCol w:w="762"/>
            </w:tblGrid>
            <w:tr w14:paraId="3CA78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877" w:type="dxa"/>
                  <w:vMerge w:val="restart"/>
                  <w:tcBorders>
                    <w:top w:val="single" w:color="000000" w:sz="12" w:space="0"/>
                    <w:left w:val="nil"/>
                    <w:bottom w:val="single" w:color="000000" w:sz="4" w:space="0"/>
                    <w:right w:val="single" w:color="000000" w:sz="4" w:space="0"/>
                  </w:tcBorders>
                  <w:vAlign w:val="center"/>
                </w:tcPr>
                <w:p w14:paraId="24C77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4723E9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编号</w:t>
                  </w:r>
                </w:p>
              </w:tc>
              <w:tc>
                <w:tcPr>
                  <w:tcW w:w="1171" w:type="dxa"/>
                  <w:vMerge w:val="restart"/>
                  <w:tcBorders>
                    <w:top w:val="single" w:color="000000" w:sz="12" w:space="0"/>
                    <w:left w:val="single" w:color="000000" w:sz="4" w:space="0"/>
                    <w:bottom w:val="single" w:color="000000" w:sz="4" w:space="0"/>
                    <w:right w:val="single" w:color="000000" w:sz="4" w:space="0"/>
                  </w:tcBorders>
                  <w:vAlign w:val="center"/>
                </w:tcPr>
                <w:p w14:paraId="607F68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1274C5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名称</w:t>
                  </w:r>
                </w:p>
              </w:tc>
              <w:tc>
                <w:tcPr>
                  <w:tcW w:w="2274" w:type="dxa"/>
                  <w:gridSpan w:val="2"/>
                  <w:tcBorders>
                    <w:top w:val="single" w:color="000000" w:sz="12" w:space="0"/>
                    <w:left w:val="single" w:color="000000" w:sz="4" w:space="0"/>
                    <w:bottom w:val="single" w:color="000000" w:sz="4" w:space="0"/>
                    <w:right w:val="single" w:color="000000" w:sz="4" w:space="0"/>
                  </w:tcBorders>
                  <w:vAlign w:val="center"/>
                </w:tcPr>
                <w:p w14:paraId="0673C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排气筒底部中心坐标 (°)</w:t>
                  </w:r>
                </w:p>
              </w:tc>
              <w:tc>
                <w:tcPr>
                  <w:tcW w:w="1083" w:type="dxa"/>
                  <w:vMerge w:val="restart"/>
                  <w:tcBorders>
                    <w:top w:val="single" w:color="000000" w:sz="12" w:space="0"/>
                    <w:left w:val="single" w:color="000000" w:sz="4" w:space="0"/>
                    <w:bottom w:val="single" w:color="000000" w:sz="4" w:space="0"/>
                    <w:right w:val="single" w:color="000000" w:sz="4" w:space="0"/>
                  </w:tcBorders>
                  <w:vAlign w:val="center"/>
                </w:tcPr>
                <w:p w14:paraId="4AE06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排气筒底部</w:t>
                  </w:r>
                </w:p>
                <w:p w14:paraId="75FCA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海拔</w:t>
                  </w:r>
                </w:p>
                <w:p w14:paraId="076533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ascii="Times New Roman" w:hAnsi="Times New Roman" w:eastAsia="宋体" w:cs="Times New Roman"/>
                      <w:b/>
                      <w:bCs/>
                      <w:color w:val="000000" w:themeColor="text1"/>
                      <w:sz w:val="21"/>
                      <w:szCs w:val="21"/>
                    </w:rPr>
                    <w:t>m</w:t>
                  </w:r>
                  <w:r>
                    <w:rPr>
                      <w:rFonts w:hint="eastAsia" w:cs="Times New Roman"/>
                      <w:b/>
                      <w:bCs/>
                      <w:color w:val="000000" w:themeColor="text1"/>
                      <w:sz w:val="21"/>
                      <w:szCs w:val="21"/>
                      <w:lang w:eastAsia="zh-CN"/>
                    </w:rPr>
                    <w:t>)</w:t>
                  </w:r>
                </w:p>
              </w:tc>
              <w:tc>
                <w:tcPr>
                  <w:tcW w:w="750" w:type="dxa"/>
                  <w:vMerge w:val="restart"/>
                  <w:tcBorders>
                    <w:top w:val="single" w:color="000000" w:sz="12" w:space="0"/>
                    <w:left w:val="single" w:color="000000" w:sz="4" w:space="0"/>
                    <w:bottom w:val="single" w:color="000000" w:sz="4" w:space="0"/>
                    <w:right w:val="single" w:color="000000" w:sz="4" w:space="0"/>
                  </w:tcBorders>
                  <w:vAlign w:val="center"/>
                </w:tcPr>
                <w:p w14:paraId="10693D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排气筒高度</w:t>
                  </w:r>
                </w:p>
                <w:p w14:paraId="1841F8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ascii="Times New Roman" w:hAnsi="Times New Roman" w:eastAsia="宋体" w:cs="Times New Roman"/>
                      <w:b/>
                      <w:bCs/>
                      <w:color w:val="000000" w:themeColor="text1"/>
                      <w:sz w:val="21"/>
                      <w:szCs w:val="21"/>
                    </w:rPr>
                    <w:t>m</w:t>
                  </w:r>
                  <w:r>
                    <w:rPr>
                      <w:rFonts w:hint="eastAsia" w:cs="Times New Roman"/>
                      <w:b/>
                      <w:bCs/>
                      <w:color w:val="000000" w:themeColor="text1"/>
                      <w:sz w:val="21"/>
                      <w:szCs w:val="21"/>
                      <w:lang w:eastAsia="zh-CN"/>
                    </w:rPr>
                    <w:t>)</w:t>
                  </w:r>
                </w:p>
              </w:tc>
              <w:tc>
                <w:tcPr>
                  <w:tcW w:w="945" w:type="dxa"/>
                  <w:vMerge w:val="restart"/>
                  <w:tcBorders>
                    <w:top w:val="single" w:color="000000" w:sz="12" w:space="0"/>
                    <w:left w:val="single" w:color="000000" w:sz="4" w:space="0"/>
                    <w:bottom w:val="single" w:color="000000" w:sz="4" w:space="0"/>
                    <w:right w:val="single" w:color="000000" w:sz="4" w:space="0"/>
                  </w:tcBorders>
                  <w:vAlign w:val="center"/>
                </w:tcPr>
                <w:p w14:paraId="61AB0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排气筒出口内径</w:t>
                  </w:r>
                </w:p>
                <w:p w14:paraId="7E68D3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ascii="Times New Roman" w:hAnsi="Times New Roman" w:eastAsia="宋体" w:cs="Times New Roman"/>
                      <w:b/>
                      <w:bCs/>
                      <w:color w:val="000000" w:themeColor="text1"/>
                      <w:sz w:val="21"/>
                      <w:szCs w:val="21"/>
                    </w:rPr>
                    <w:t>m</w:t>
                  </w:r>
                  <w:r>
                    <w:rPr>
                      <w:rFonts w:hint="eastAsia" w:cs="Times New Roman"/>
                      <w:b/>
                      <w:bCs/>
                      <w:color w:val="000000" w:themeColor="text1"/>
                      <w:sz w:val="21"/>
                      <w:szCs w:val="21"/>
                      <w:lang w:eastAsia="zh-CN"/>
                    </w:rPr>
                    <w:t>)</w:t>
                  </w:r>
                </w:p>
              </w:tc>
              <w:tc>
                <w:tcPr>
                  <w:tcW w:w="795" w:type="dxa"/>
                  <w:vMerge w:val="restart"/>
                  <w:tcBorders>
                    <w:top w:val="single" w:color="000000" w:sz="12" w:space="0"/>
                    <w:left w:val="single" w:color="000000" w:sz="4" w:space="0"/>
                    <w:bottom w:val="single" w:color="000000" w:sz="4" w:space="0"/>
                    <w:right w:val="single" w:color="000000" w:sz="4" w:space="0"/>
                  </w:tcBorders>
                  <w:vAlign w:val="center"/>
                </w:tcPr>
                <w:p w14:paraId="7DA94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烟气流速（m/s）</w:t>
                  </w:r>
                </w:p>
              </w:tc>
              <w:tc>
                <w:tcPr>
                  <w:tcW w:w="825" w:type="dxa"/>
                  <w:vMerge w:val="restart"/>
                  <w:tcBorders>
                    <w:top w:val="single" w:color="000000" w:sz="12" w:space="0"/>
                    <w:left w:val="single" w:color="000000" w:sz="4" w:space="0"/>
                    <w:bottom w:val="single" w:color="000000" w:sz="4" w:space="0"/>
                    <w:right w:val="single" w:color="000000" w:sz="4" w:space="0"/>
                  </w:tcBorders>
                  <w:vAlign w:val="center"/>
                </w:tcPr>
                <w:p w14:paraId="3622A2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烟气温度</w:t>
                  </w:r>
                  <w:r>
                    <w:rPr>
                      <w:rFonts w:hint="eastAsia" w:cs="Times New Roman"/>
                      <w:b/>
                      <w:bCs/>
                      <w:color w:val="000000" w:themeColor="text1"/>
                      <w:sz w:val="21"/>
                      <w:szCs w:val="21"/>
                      <w:lang w:eastAsia="zh-CN"/>
                    </w:rPr>
                    <w:t>（</w:t>
                  </w:r>
                  <w:r>
                    <w:rPr>
                      <w:rFonts w:ascii="Times New Roman" w:hAnsi="Times New Roman" w:eastAsia="宋体" w:cs="Times New Roman"/>
                      <w:b/>
                      <w:bCs/>
                      <w:color w:val="000000" w:themeColor="text1"/>
                      <w:sz w:val="21"/>
                      <w:szCs w:val="21"/>
                    </w:rPr>
                    <w:t>℃</w:t>
                  </w:r>
                  <w:r>
                    <w:rPr>
                      <w:rFonts w:hint="eastAsia" w:cs="Times New Roman"/>
                      <w:b/>
                      <w:bCs/>
                      <w:color w:val="000000" w:themeColor="text1"/>
                      <w:sz w:val="21"/>
                      <w:szCs w:val="21"/>
                      <w:lang w:eastAsia="zh-CN"/>
                    </w:rPr>
                    <w:t>）</w:t>
                  </w:r>
                </w:p>
              </w:tc>
              <w:tc>
                <w:tcPr>
                  <w:tcW w:w="660" w:type="dxa"/>
                  <w:vMerge w:val="restart"/>
                  <w:tcBorders>
                    <w:top w:val="single" w:color="000000" w:sz="12" w:space="0"/>
                    <w:left w:val="single" w:color="000000" w:sz="4" w:space="0"/>
                    <w:bottom w:val="single" w:color="000000" w:sz="4" w:space="0"/>
                    <w:right w:val="single" w:color="000000" w:sz="4" w:space="0"/>
                  </w:tcBorders>
                  <w:vAlign w:val="center"/>
                </w:tcPr>
                <w:p w14:paraId="414B36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年排放小时数（h）</w:t>
                  </w:r>
                </w:p>
              </w:tc>
              <w:tc>
                <w:tcPr>
                  <w:tcW w:w="3039" w:type="dxa"/>
                  <w:gridSpan w:val="4"/>
                  <w:tcBorders>
                    <w:top w:val="single" w:color="000000" w:sz="12" w:space="0"/>
                    <w:left w:val="single" w:color="000000" w:sz="4" w:space="0"/>
                    <w:bottom w:val="single" w:color="000000" w:sz="4" w:space="0"/>
                    <w:right w:val="nil"/>
                  </w:tcBorders>
                  <w:vAlign w:val="center"/>
                </w:tcPr>
                <w:p w14:paraId="4C75C5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污染物排放速率</w:t>
                  </w:r>
                </w:p>
                <w:p w14:paraId="5CDF81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kg/h</w:t>
                  </w:r>
                  <w:r>
                    <w:rPr>
                      <w:rFonts w:hint="eastAsia" w:cs="Times New Roman"/>
                      <w:b/>
                      <w:bCs/>
                      <w:color w:val="000000" w:themeColor="text1"/>
                      <w:sz w:val="21"/>
                      <w:szCs w:val="21"/>
                      <w:lang w:val="en-US" w:eastAsia="zh-CN"/>
                    </w:rPr>
                    <w:t>)</w:t>
                  </w:r>
                </w:p>
              </w:tc>
            </w:tr>
            <w:tr w14:paraId="40BB8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877" w:type="dxa"/>
                  <w:vMerge w:val="continue"/>
                  <w:tcBorders>
                    <w:top w:val="single" w:color="000000" w:sz="4" w:space="0"/>
                    <w:left w:val="nil"/>
                    <w:bottom w:val="single" w:color="000000" w:sz="4" w:space="0"/>
                    <w:right w:val="single" w:color="000000" w:sz="4" w:space="0"/>
                  </w:tcBorders>
                  <w:vAlign w:val="center"/>
                </w:tcPr>
                <w:p w14:paraId="2F2A5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171" w:type="dxa"/>
                  <w:vMerge w:val="continue"/>
                  <w:tcBorders>
                    <w:top w:val="single" w:color="000000" w:sz="4" w:space="0"/>
                    <w:left w:val="single" w:color="000000" w:sz="4" w:space="0"/>
                    <w:bottom w:val="single" w:color="000000" w:sz="4" w:space="0"/>
                    <w:right w:val="single" w:color="000000" w:sz="4" w:space="0"/>
                  </w:tcBorders>
                  <w:vAlign w:val="center"/>
                </w:tcPr>
                <w:p w14:paraId="176433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264" w:type="dxa"/>
                  <w:tcBorders>
                    <w:top w:val="single" w:color="000000" w:sz="4" w:space="0"/>
                    <w:left w:val="single" w:color="000000" w:sz="4" w:space="0"/>
                    <w:bottom w:val="single" w:color="000000" w:sz="4" w:space="0"/>
                    <w:right w:val="single" w:color="000000" w:sz="4" w:space="0"/>
                  </w:tcBorders>
                  <w:vAlign w:val="center"/>
                </w:tcPr>
                <w:p w14:paraId="7F65EF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经度</w:t>
                  </w:r>
                </w:p>
              </w:tc>
              <w:tc>
                <w:tcPr>
                  <w:tcW w:w="1010" w:type="dxa"/>
                  <w:tcBorders>
                    <w:top w:val="single" w:color="000000" w:sz="4" w:space="0"/>
                    <w:left w:val="single" w:color="000000" w:sz="4" w:space="0"/>
                    <w:bottom w:val="single" w:color="000000" w:sz="4" w:space="0"/>
                    <w:right w:val="single" w:color="000000" w:sz="4" w:space="0"/>
                  </w:tcBorders>
                  <w:vAlign w:val="center"/>
                </w:tcPr>
                <w:p w14:paraId="59A34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纬度</w:t>
                  </w:r>
                </w:p>
              </w:tc>
              <w:tc>
                <w:tcPr>
                  <w:tcW w:w="1083" w:type="dxa"/>
                  <w:vMerge w:val="continue"/>
                  <w:tcBorders>
                    <w:top w:val="single" w:color="000000" w:sz="4" w:space="0"/>
                    <w:left w:val="single" w:color="000000" w:sz="4" w:space="0"/>
                    <w:bottom w:val="single" w:color="000000" w:sz="4" w:space="0"/>
                    <w:right w:val="single" w:color="000000" w:sz="4" w:space="0"/>
                  </w:tcBorders>
                  <w:vAlign w:val="center"/>
                </w:tcPr>
                <w:p w14:paraId="24929F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750" w:type="dxa"/>
                  <w:vMerge w:val="continue"/>
                  <w:tcBorders>
                    <w:top w:val="single" w:color="000000" w:sz="4" w:space="0"/>
                    <w:left w:val="single" w:color="000000" w:sz="4" w:space="0"/>
                    <w:bottom w:val="single" w:color="000000" w:sz="4" w:space="0"/>
                    <w:right w:val="single" w:color="000000" w:sz="4" w:space="0"/>
                  </w:tcBorders>
                  <w:vAlign w:val="center"/>
                </w:tcPr>
                <w:p w14:paraId="6F244D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945" w:type="dxa"/>
                  <w:vMerge w:val="continue"/>
                  <w:tcBorders>
                    <w:top w:val="single" w:color="000000" w:sz="4" w:space="0"/>
                    <w:left w:val="single" w:color="000000" w:sz="4" w:space="0"/>
                    <w:bottom w:val="single" w:color="000000" w:sz="4" w:space="0"/>
                    <w:right w:val="single" w:color="000000" w:sz="4" w:space="0"/>
                  </w:tcBorders>
                  <w:vAlign w:val="center"/>
                </w:tcPr>
                <w:p w14:paraId="10A46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795" w:type="dxa"/>
                  <w:vMerge w:val="continue"/>
                  <w:tcBorders>
                    <w:top w:val="single" w:color="000000" w:sz="4" w:space="0"/>
                    <w:left w:val="single" w:color="000000" w:sz="4" w:space="0"/>
                    <w:bottom w:val="single" w:color="000000" w:sz="4" w:space="0"/>
                    <w:right w:val="single" w:color="000000" w:sz="4" w:space="0"/>
                  </w:tcBorders>
                  <w:vAlign w:val="center"/>
                </w:tcPr>
                <w:p w14:paraId="1B598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825" w:type="dxa"/>
                  <w:vMerge w:val="continue"/>
                  <w:tcBorders>
                    <w:top w:val="single" w:color="000000" w:sz="4" w:space="0"/>
                    <w:left w:val="single" w:color="000000" w:sz="4" w:space="0"/>
                    <w:bottom w:val="single" w:color="000000" w:sz="4" w:space="0"/>
                    <w:right w:val="single" w:color="000000" w:sz="4" w:space="0"/>
                  </w:tcBorders>
                  <w:vAlign w:val="center"/>
                </w:tcPr>
                <w:p w14:paraId="28091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660" w:type="dxa"/>
                  <w:vMerge w:val="continue"/>
                  <w:tcBorders>
                    <w:top w:val="single" w:color="000000" w:sz="4" w:space="0"/>
                    <w:left w:val="single" w:color="000000" w:sz="4" w:space="0"/>
                    <w:bottom w:val="single" w:color="000000" w:sz="4" w:space="0"/>
                    <w:right w:val="single" w:color="000000" w:sz="4" w:space="0"/>
                  </w:tcBorders>
                  <w:vAlign w:val="center"/>
                </w:tcPr>
                <w:p w14:paraId="463B7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759" w:type="dxa"/>
                  <w:tcBorders>
                    <w:top w:val="single" w:color="000000" w:sz="4" w:space="0"/>
                    <w:left w:val="single" w:color="000000" w:sz="4" w:space="0"/>
                    <w:bottom w:val="single" w:color="000000" w:sz="4" w:space="0"/>
                    <w:right w:val="nil"/>
                  </w:tcBorders>
                  <w:vAlign w:val="center"/>
                </w:tcPr>
                <w:p w14:paraId="45FFE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颗粒物</w:t>
                  </w:r>
                </w:p>
              </w:tc>
              <w:tc>
                <w:tcPr>
                  <w:tcW w:w="759" w:type="dxa"/>
                  <w:tcBorders>
                    <w:top w:val="single" w:color="000000" w:sz="4" w:space="0"/>
                    <w:left w:val="single" w:color="000000" w:sz="4" w:space="0"/>
                    <w:bottom w:val="single" w:color="000000" w:sz="4" w:space="0"/>
                    <w:right w:val="nil"/>
                  </w:tcBorders>
                  <w:vAlign w:val="center"/>
                </w:tcPr>
                <w:p w14:paraId="7368F1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SO</w:t>
                  </w:r>
                  <w:r>
                    <w:rPr>
                      <w:rFonts w:hint="eastAsia" w:ascii="Times New Roman" w:hAnsi="Times New Roman" w:eastAsia="宋体" w:cs="Times New Roman"/>
                      <w:b/>
                      <w:bCs/>
                      <w:color w:val="000000" w:themeColor="text1"/>
                      <w:sz w:val="21"/>
                      <w:szCs w:val="21"/>
                      <w:vertAlign w:val="subscript"/>
                      <w:lang w:val="en-US" w:eastAsia="zh-CN"/>
                    </w:rPr>
                    <w:t>2</w:t>
                  </w:r>
                </w:p>
              </w:tc>
              <w:tc>
                <w:tcPr>
                  <w:tcW w:w="759" w:type="dxa"/>
                  <w:tcBorders>
                    <w:top w:val="single" w:color="000000" w:sz="4" w:space="0"/>
                    <w:left w:val="single" w:color="000000" w:sz="4" w:space="0"/>
                    <w:bottom w:val="single" w:color="000000" w:sz="4" w:space="0"/>
                    <w:right w:val="nil"/>
                  </w:tcBorders>
                  <w:vAlign w:val="center"/>
                </w:tcPr>
                <w:p w14:paraId="69B497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NOx</w:t>
                  </w:r>
                </w:p>
              </w:tc>
              <w:tc>
                <w:tcPr>
                  <w:tcW w:w="762" w:type="dxa"/>
                  <w:tcBorders>
                    <w:top w:val="single" w:color="000000" w:sz="4" w:space="0"/>
                    <w:left w:val="single" w:color="000000" w:sz="4" w:space="0"/>
                    <w:bottom w:val="single" w:color="000000" w:sz="4" w:space="0"/>
                    <w:right w:val="nil"/>
                  </w:tcBorders>
                  <w:vAlign w:val="center"/>
                </w:tcPr>
                <w:p w14:paraId="106E81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非甲烷总烃</w:t>
                  </w:r>
                </w:p>
              </w:tc>
            </w:tr>
            <w:tr w14:paraId="23D28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877" w:type="dxa"/>
                  <w:tcBorders>
                    <w:top w:val="single" w:color="000000" w:sz="4" w:space="0"/>
                    <w:left w:val="nil"/>
                    <w:bottom w:val="single" w:color="000000" w:sz="4" w:space="0"/>
                    <w:right w:val="single" w:color="000000" w:sz="4" w:space="0"/>
                  </w:tcBorders>
                  <w:vAlign w:val="center"/>
                </w:tcPr>
                <w:p w14:paraId="18A140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DA001</w:t>
                  </w:r>
                </w:p>
              </w:tc>
              <w:tc>
                <w:tcPr>
                  <w:tcW w:w="1171" w:type="dxa"/>
                  <w:tcBorders>
                    <w:top w:val="single" w:color="000000" w:sz="4" w:space="0"/>
                    <w:left w:val="single" w:color="000000" w:sz="4" w:space="0"/>
                    <w:bottom w:val="single" w:color="000000" w:sz="4" w:space="0"/>
                    <w:right w:val="single" w:color="000000" w:sz="4" w:space="0"/>
                  </w:tcBorders>
                  <w:vAlign w:val="center"/>
                </w:tcPr>
                <w:p w14:paraId="3E0008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炭黑处理废气排放口</w:t>
                  </w:r>
                </w:p>
              </w:tc>
              <w:tc>
                <w:tcPr>
                  <w:tcW w:w="1264" w:type="dxa"/>
                  <w:tcBorders>
                    <w:top w:val="single" w:color="000000" w:sz="4" w:space="0"/>
                    <w:left w:val="single" w:color="000000" w:sz="4" w:space="0"/>
                    <w:bottom w:val="single" w:color="000000" w:sz="4" w:space="0"/>
                    <w:right w:val="single" w:color="000000" w:sz="4" w:space="0"/>
                  </w:tcBorders>
                  <w:vAlign w:val="center"/>
                </w:tcPr>
                <w:p w14:paraId="3E5604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116.124031</w:t>
                  </w:r>
                  <w:r>
                    <w:rPr>
                      <w:rFonts w:hint="default" w:ascii="Times New Roman" w:hAnsi="Times New Roman" w:eastAsia="宋体" w:cs="Times New Roman"/>
                      <w:bCs/>
                      <w:color w:val="000000" w:themeColor="text1"/>
                      <w:sz w:val="21"/>
                      <w:szCs w:val="21"/>
                      <w:lang w:val="en-US" w:eastAsia="zh-CN"/>
                    </w:rPr>
                    <w:t>°</w:t>
                  </w:r>
                </w:p>
              </w:tc>
              <w:tc>
                <w:tcPr>
                  <w:tcW w:w="1010" w:type="dxa"/>
                  <w:tcBorders>
                    <w:top w:val="single" w:color="000000" w:sz="4" w:space="0"/>
                    <w:left w:val="single" w:color="000000" w:sz="4" w:space="0"/>
                    <w:bottom w:val="single" w:color="000000" w:sz="4" w:space="0"/>
                    <w:right w:val="single" w:color="000000" w:sz="4" w:space="0"/>
                  </w:tcBorders>
                  <w:vAlign w:val="center"/>
                </w:tcPr>
                <w:p w14:paraId="0B131B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29.604475</w:t>
                  </w:r>
                  <w:r>
                    <w:rPr>
                      <w:rFonts w:hint="default" w:ascii="Times New Roman" w:hAnsi="Times New Roman" w:eastAsia="宋体" w:cs="Times New Roman"/>
                      <w:bCs/>
                      <w:color w:val="000000" w:themeColor="text1"/>
                      <w:sz w:val="21"/>
                      <w:szCs w:val="21"/>
                      <w:lang w:val="en-US" w:eastAsia="zh-CN"/>
                    </w:rPr>
                    <w:t>°</w:t>
                  </w:r>
                </w:p>
              </w:tc>
              <w:tc>
                <w:tcPr>
                  <w:tcW w:w="1083" w:type="dxa"/>
                  <w:tcBorders>
                    <w:top w:val="single" w:color="000000" w:sz="4" w:space="0"/>
                    <w:left w:val="single" w:color="000000" w:sz="4" w:space="0"/>
                    <w:bottom w:val="single" w:color="000000" w:sz="4" w:space="0"/>
                    <w:right w:val="single" w:color="000000" w:sz="4" w:space="0"/>
                  </w:tcBorders>
                  <w:vAlign w:val="center"/>
                </w:tcPr>
                <w:p w14:paraId="130000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13.1</w:t>
                  </w:r>
                </w:p>
              </w:tc>
              <w:tc>
                <w:tcPr>
                  <w:tcW w:w="750" w:type="dxa"/>
                  <w:tcBorders>
                    <w:top w:val="single" w:color="000000" w:sz="4" w:space="0"/>
                    <w:left w:val="single" w:color="000000" w:sz="4" w:space="0"/>
                    <w:bottom w:val="single" w:color="000000" w:sz="4" w:space="0"/>
                    <w:right w:val="single" w:color="000000" w:sz="4" w:space="0"/>
                  </w:tcBorders>
                  <w:vAlign w:val="center"/>
                </w:tcPr>
                <w:p w14:paraId="452D2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20</w:t>
                  </w:r>
                </w:p>
              </w:tc>
              <w:tc>
                <w:tcPr>
                  <w:tcW w:w="945" w:type="dxa"/>
                  <w:tcBorders>
                    <w:top w:val="single" w:color="000000" w:sz="4" w:space="0"/>
                    <w:left w:val="single" w:color="000000" w:sz="4" w:space="0"/>
                    <w:bottom w:val="single" w:color="000000" w:sz="4" w:space="0"/>
                    <w:right w:val="single" w:color="000000" w:sz="4" w:space="0"/>
                  </w:tcBorders>
                  <w:vAlign w:val="center"/>
                </w:tcPr>
                <w:p w14:paraId="11387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8</w:t>
                  </w:r>
                </w:p>
              </w:tc>
              <w:tc>
                <w:tcPr>
                  <w:tcW w:w="795" w:type="dxa"/>
                  <w:tcBorders>
                    <w:top w:val="single" w:color="000000" w:sz="4" w:space="0"/>
                    <w:left w:val="single" w:color="000000" w:sz="4" w:space="0"/>
                    <w:bottom w:val="single" w:color="000000" w:sz="4" w:space="0"/>
                    <w:right w:val="single" w:color="000000" w:sz="4" w:space="0"/>
                  </w:tcBorders>
                  <w:vAlign w:val="center"/>
                </w:tcPr>
                <w:p w14:paraId="4826E5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11.</w:t>
                  </w:r>
                  <w:r>
                    <w:rPr>
                      <w:rFonts w:hint="eastAsia" w:cs="Times New Roman"/>
                      <w:bCs/>
                      <w:color w:val="000000" w:themeColor="text1"/>
                      <w:sz w:val="21"/>
                      <w:szCs w:val="21"/>
                      <w:lang w:val="en-US" w:eastAsia="zh-CN"/>
                    </w:rPr>
                    <w:t>64</w:t>
                  </w:r>
                </w:p>
              </w:tc>
              <w:tc>
                <w:tcPr>
                  <w:tcW w:w="825" w:type="dxa"/>
                  <w:tcBorders>
                    <w:top w:val="single" w:color="000000" w:sz="4" w:space="0"/>
                    <w:left w:val="single" w:color="000000" w:sz="4" w:space="0"/>
                    <w:bottom w:val="single" w:color="000000" w:sz="4" w:space="0"/>
                    <w:right w:val="single" w:color="000000" w:sz="4" w:space="0"/>
                  </w:tcBorders>
                  <w:vAlign w:val="center"/>
                </w:tcPr>
                <w:p w14:paraId="70AA7E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25</w:t>
                  </w:r>
                </w:p>
              </w:tc>
              <w:tc>
                <w:tcPr>
                  <w:tcW w:w="660" w:type="dxa"/>
                  <w:tcBorders>
                    <w:top w:val="single" w:color="000000" w:sz="4" w:space="0"/>
                    <w:left w:val="single" w:color="000000" w:sz="4" w:space="0"/>
                    <w:bottom w:val="single" w:color="000000" w:sz="4" w:space="0"/>
                    <w:right w:val="single" w:color="000000" w:sz="4" w:space="0"/>
                  </w:tcBorders>
                  <w:vAlign w:val="center"/>
                </w:tcPr>
                <w:p w14:paraId="1C21E4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2400</w:t>
                  </w:r>
                </w:p>
              </w:tc>
              <w:tc>
                <w:tcPr>
                  <w:tcW w:w="759" w:type="dxa"/>
                  <w:tcBorders>
                    <w:top w:val="single" w:color="000000" w:sz="4" w:space="0"/>
                    <w:left w:val="single" w:color="000000" w:sz="4" w:space="0"/>
                    <w:bottom w:val="single" w:color="000000" w:sz="4" w:space="0"/>
                    <w:right w:val="nil"/>
                  </w:tcBorders>
                  <w:vAlign w:val="center"/>
                </w:tcPr>
                <w:p w14:paraId="693B36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0.04</w:t>
                  </w:r>
                  <w:r>
                    <w:rPr>
                      <w:rFonts w:hint="eastAsia" w:cs="Times New Roman"/>
                      <w:bCs/>
                      <w:color w:val="000000" w:themeColor="text1"/>
                      <w:sz w:val="21"/>
                      <w:szCs w:val="21"/>
                      <w:lang w:val="en-US" w:eastAsia="zh-CN"/>
                    </w:rPr>
                    <w:t>5</w:t>
                  </w:r>
                </w:p>
              </w:tc>
              <w:tc>
                <w:tcPr>
                  <w:tcW w:w="759" w:type="dxa"/>
                  <w:tcBorders>
                    <w:top w:val="single" w:color="000000" w:sz="4" w:space="0"/>
                    <w:left w:val="single" w:color="000000" w:sz="4" w:space="0"/>
                    <w:bottom w:val="single" w:color="000000" w:sz="4" w:space="0"/>
                    <w:right w:val="nil"/>
                  </w:tcBorders>
                  <w:vAlign w:val="center"/>
                </w:tcPr>
                <w:p w14:paraId="4D28F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 xml:space="preserve"> </w:t>
                  </w:r>
                  <w:r>
                    <w:rPr>
                      <w:rFonts w:hint="eastAsia" w:ascii="Times New Roman" w:hAnsi="Times New Roman" w:eastAsia="宋体" w:cs="Times New Roman"/>
                      <w:bCs/>
                      <w:color w:val="000000" w:themeColor="text1"/>
                      <w:sz w:val="21"/>
                      <w:szCs w:val="21"/>
                      <w:lang w:val="en-US" w:eastAsia="zh-CN"/>
                    </w:rPr>
                    <w:t>0.016</w:t>
                  </w:r>
                </w:p>
              </w:tc>
              <w:tc>
                <w:tcPr>
                  <w:tcW w:w="759" w:type="dxa"/>
                  <w:tcBorders>
                    <w:top w:val="single" w:color="000000" w:sz="4" w:space="0"/>
                    <w:left w:val="single" w:color="000000" w:sz="4" w:space="0"/>
                    <w:bottom w:val="single" w:color="000000" w:sz="4" w:space="0"/>
                    <w:right w:val="nil"/>
                  </w:tcBorders>
                  <w:vAlign w:val="center"/>
                </w:tcPr>
                <w:p w14:paraId="538EB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0.075</w:t>
                  </w:r>
                </w:p>
              </w:tc>
              <w:tc>
                <w:tcPr>
                  <w:tcW w:w="762" w:type="dxa"/>
                  <w:tcBorders>
                    <w:top w:val="single" w:color="000000" w:sz="4" w:space="0"/>
                    <w:left w:val="single" w:color="000000" w:sz="4" w:space="0"/>
                    <w:bottom w:val="single" w:color="000000" w:sz="4" w:space="0"/>
                    <w:right w:val="nil"/>
                  </w:tcBorders>
                  <w:vAlign w:val="center"/>
                </w:tcPr>
                <w:p w14:paraId="1B3239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w:t>
                  </w:r>
                </w:p>
              </w:tc>
            </w:tr>
            <w:tr w14:paraId="6C4FB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jc w:val="center"/>
              </w:trPr>
              <w:tc>
                <w:tcPr>
                  <w:tcW w:w="877" w:type="dxa"/>
                  <w:tcBorders>
                    <w:top w:val="single" w:color="000000" w:sz="4" w:space="0"/>
                    <w:left w:val="nil"/>
                    <w:bottom w:val="single" w:color="000000" w:sz="12" w:space="0"/>
                    <w:right w:val="single" w:color="000000" w:sz="4" w:space="0"/>
                  </w:tcBorders>
                  <w:vAlign w:val="center"/>
                </w:tcPr>
                <w:p w14:paraId="353266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DA002</w:t>
                  </w:r>
                </w:p>
              </w:tc>
              <w:tc>
                <w:tcPr>
                  <w:tcW w:w="1171" w:type="dxa"/>
                  <w:tcBorders>
                    <w:top w:val="single" w:color="000000" w:sz="4" w:space="0"/>
                    <w:left w:val="single" w:color="000000" w:sz="4" w:space="0"/>
                    <w:bottom w:val="single" w:color="000000" w:sz="12" w:space="0"/>
                    <w:right w:val="single" w:color="000000" w:sz="4" w:space="0"/>
                  </w:tcBorders>
                  <w:vAlign w:val="center"/>
                </w:tcPr>
                <w:p w14:paraId="34BAA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色母粒生产废气排放口</w:t>
                  </w:r>
                </w:p>
              </w:tc>
              <w:tc>
                <w:tcPr>
                  <w:tcW w:w="1264" w:type="dxa"/>
                  <w:tcBorders>
                    <w:top w:val="single" w:color="000000" w:sz="4" w:space="0"/>
                    <w:left w:val="single" w:color="000000" w:sz="4" w:space="0"/>
                    <w:bottom w:val="single" w:color="000000" w:sz="12" w:space="0"/>
                    <w:right w:val="single" w:color="000000" w:sz="4" w:space="0"/>
                  </w:tcBorders>
                  <w:vAlign w:val="center"/>
                </w:tcPr>
                <w:p w14:paraId="5AE338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116.123809</w:t>
                  </w:r>
                  <w:r>
                    <w:rPr>
                      <w:rFonts w:hint="default" w:ascii="Times New Roman" w:hAnsi="Times New Roman" w:eastAsia="宋体" w:cs="Times New Roman"/>
                      <w:bCs/>
                      <w:color w:val="000000" w:themeColor="text1"/>
                      <w:sz w:val="21"/>
                      <w:szCs w:val="21"/>
                      <w:lang w:val="en-US" w:eastAsia="zh-CN"/>
                    </w:rPr>
                    <w:t>°</w:t>
                  </w:r>
                </w:p>
              </w:tc>
              <w:tc>
                <w:tcPr>
                  <w:tcW w:w="1010" w:type="dxa"/>
                  <w:tcBorders>
                    <w:top w:val="single" w:color="000000" w:sz="4" w:space="0"/>
                    <w:left w:val="single" w:color="000000" w:sz="4" w:space="0"/>
                    <w:bottom w:val="single" w:color="000000" w:sz="12" w:space="0"/>
                    <w:right w:val="single" w:color="000000" w:sz="4" w:space="0"/>
                  </w:tcBorders>
                  <w:vAlign w:val="center"/>
                </w:tcPr>
                <w:p w14:paraId="670F8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29.603514</w:t>
                  </w:r>
                  <w:r>
                    <w:rPr>
                      <w:rFonts w:hint="default" w:ascii="Times New Roman" w:hAnsi="Times New Roman" w:eastAsia="宋体" w:cs="Times New Roman"/>
                      <w:bCs/>
                      <w:color w:val="000000" w:themeColor="text1"/>
                      <w:sz w:val="21"/>
                      <w:szCs w:val="21"/>
                      <w:lang w:val="en-US" w:eastAsia="zh-CN"/>
                    </w:rPr>
                    <w:t>°</w:t>
                  </w:r>
                </w:p>
              </w:tc>
              <w:tc>
                <w:tcPr>
                  <w:tcW w:w="1083" w:type="dxa"/>
                  <w:tcBorders>
                    <w:top w:val="single" w:color="000000" w:sz="4" w:space="0"/>
                    <w:left w:val="single" w:color="000000" w:sz="4" w:space="0"/>
                    <w:bottom w:val="single" w:color="000000" w:sz="12" w:space="0"/>
                    <w:right w:val="single" w:color="000000" w:sz="4" w:space="0"/>
                  </w:tcBorders>
                  <w:vAlign w:val="center"/>
                </w:tcPr>
                <w:p w14:paraId="762953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13.1</w:t>
                  </w:r>
                </w:p>
              </w:tc>
              <w:tc>
                <w:tcPr>
                  <w:tcW w:w="750" w:type="dxa"/>
                  <w:tcBorders>
                    <w:top w:val="single" w:color="000000" w:sz="4" w:space="0"/>
                    <w:left w:val="single" w:color="000000" w:sz="4" w:space="0"/>
                    <w:bottom w:val="single" w:color="000000" w:sz="12" w:space="0"/>
                    <w:right w:val="single" w:color="000000" w:sz="4" w:space="0"/>
                  </w:tcBorders>
                  <w:vAlign w:val="center"/>
                </w:tcPr>
                <w:p w14:paraId="72E602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20</w:t>
                  </w:r>
                </w:p>
              </w:tc>
              <w:tc>
                <w:tcPr>
                  <w:tcW w:w="945" w:type="dxa"/>
                  <w:tcBorders>
                    <w:top w:val="single" w:color="000000" w:sz="4" w:space="0"/>
                    <w:left w:val="single" w:color="000000" w:sz="4" w:space="0"/>
                    <w:bottom w:val="single" w:color="000000" w:sz="12" w:space="0"/>
                    <w:right w:val="single" w:color="000000" w:sz="4" w:space="0"/>
                  </w:tcBorders>
                  <w:vAlign w:val="center"/>
                </w:tcPr>
                <w:p w14:paraId="55DBD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1.0</w:t>
                  </w:r>
                </w:p>
              </w:tc>
              <w:tc>
                <w:tcPr>
                  <w:tcW w:w="795" w:type="dxa"/>
                  <w:tcBorders>
                    <w:top w:val="single" w:color="000000" w:sz="4" w:space="0"/>
                    <w:left w:val="single" w:color="000000" w:sz="4" w:space="0"/>
                    <w:bottom w:val="single" w:color="000000" w:sz="12" w:space="0"/>
                    <w:right w:val="single" w:color="000000" w:sz="4" w:space="0"/>
                  </w:tcBorders>
                  <w:vAlign w:val="center"/>
                </w:tcPr>
                <w:p w14:paraId="7D5FB1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11.</w:t>
                  </w:r>
                  <w:r>
                    <w:rPr>
                      <w:rFonts w:hint="eastAsia" w:cs="Times New Roman"/>
                      <w:bCs/>
                      <w:color w:val="000000" w:themeColor="text1"/>
                      <w:sz w:val="21"/>
                      <w:szCs w:val="21"/>
                      <w:lang w:val="en-US" w:eastAsia="zh-CN"/>
                    </w:rPr>
                    <w:t>17</w:t>
                  </w:r>
                </w:p>
              </w:tc>
              <w:tc>
                <w:tcPr>
                  <w:tcW w:w="825" w:type="dxa"/>
                  <w:tcBorders>
                    <w:top w:val="single" w:color="000000" w:sz="4" w:space="0"/>
                    <w:left w:val="single" w:color="000000" w:sz="4" w:space="0"/>
                    <w:bottom w:val="single" w:color="000000" w:sz="12" w:space="0"/>
                    <w:right w:val="single" w:color="000000" w:sz="4" w:space="0"/>
                  </w:tcBorders>
                  <w:vAlign w:val="center"/>
                </w:tcPr>
                <w:p w14:paraId="650D09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25</w:t>
                  </w:r>
                </w:p>
              </w:tc>
              <w:tc>
                <w:tcPr>
                  <w:tcW w:w="660" w:type="dxa"/>
                  <w:tcBorders>
                    <w:top w:val="single" w:color="000000" w:sz="4" w:space="0"/>
                    <w:left w:val="single" w:color="000000" w:sz="4" w:space="0"/>
                    <w:bottom w:val="single" w:color="000000" w:sz="12" w:space="0"/>
                    <w:right w:val="single" w:color="000000" w:sz="4" w:space="0"/>
                  </w:tcBorders>
                  <w:vAlign w:val="center"/>
                </w:tcPr>
                <w:p w14:paraId="3837DA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2400</w:t>
                  </w:r>
                </w:p>
              </w:tc>
              <w:tc>
                <w:tcPr>
                  <w:tcW w:w="759" w:type="dxa"/>
                  <w:tcBorders>
                    <w:top w:val="single" w:color="000000" w:sz="4" w:space="0"/>
                    <w:left w:val="single" w:color="000000" w:sz="4" w:space="0"/>
                    <w:bottom w:val="single" w:color="000000" w:sz="12" w:space="0"/>
                    <w:right w:val="nil"/>
                  </w:tcBorders>
                  <w:vAlign w:val="center"/>
                </w:tcPr>
                <w:p w14:paraId="20AB0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0.0</w:t>
                  </w:r>
                  <w:r>
                    <w:rPr>
                      <w:rFonts w:hint="eastAsia" w:cs="Times New Roman"/>
                      <w:bCs/>
                      <w:color w:val="000000" w:themeColor="text1"/>
                      <w:sz w:val="21"/>
                      <w:szCs w:val="21"/>
                      <w:lang w:val="en-US" w:eastAsia="zh-CN"/>
                    </w:rPr>
                    <w:t>66</w:t>
                  </w:r>
                </w:p>
              </w:tc>
              <w:tc>
                <w:tcPr>
                  <w:tcW w:w="759" w:type="dxa"/>
                  <w:tcBorders>
                    <w:top w:val="single" w:color="000000" w:sz="4" w:space="0"/>
                    <w:left w:val="single" w:color="000000" w:sz="4" w:space="0"/>
                    <w:bottom w:val="single" w:color="000000" w:sz="12" w:space="0"/>
                    <w:right w:val="nil"/>
                  </w:tcBorders>
                  <w:vAlign w:val="center"/>
                </w:tcPr>
                <w:p w14:paraId="72158E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w:t>
                  </w:r>
                </w:p>
              </w:tc>
              <w:tc>
                <w:tcPr>
                  <w:tcW w:w="759" w:type="dxa"/>
                  <w:tcBorders>
                    <w:top w:val="single" w:color="000000" w:sz="4" w:space="0"/>
                    <w:left w:val="single" w:color="000000" w:sz="4" w:space="0"/>
                    <w:bottom w:val="single" w:color="000000" w:sz="12" w:space="0"/>
                    <w:right w:val="nil"/>
                  </w:tcBorders>
                  <w:vAlign w:val="center"/>
                </w:tcPr>
                <w:p w14:paraId="50FBD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w:t>
                  </w:r>
                </w:p>
              </w:tc>
              <w:tc>
                <w:tcPr>
                  <w:tcW w:w="762" w:type="dxa"/>
                  <w:tcBorders>
                    <w:top w:val="single" w:color="000000" w:sz="4" w:space="0"/>
                    <w:left w:val="single" w:color="000000" w:sz="4" w:space="0"/>
                    <w:bottom w:val="single" w:color="000000" w:sz="12" w:space="0"/>
                    <w:right w:val="nil"/>
                  </w:tcBorders>
                  <w:vAlign w:val="center"/>
                </w:tcPr>
                <w:p w14:paraId="13729B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0.439</w:t>
                  </w:r>
                </w:p>
              </w:tc>
            </w:tr>
          </w:tbl>
          <w:p w14:paraId="1B4DE02B">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表 4-</w:t>
            </w:r>
            <w:r>
              <w:rPr>
                <w:rFonts w:hint="eastAsia" w:cs="Times New Roman"/>
                <w:b/>
                <w:bCs/>
                <w:color w:val="000000" w:themeColor="text1"/>
                <w:sz w:val="21"/>
                <w:szCs w:val="21"/>
                <w:lang w:val="en-US" w:eastAsia="zh-CN"/>
              </w:rPr>
              <w:t>9</w:t>
            </w:r>
            <w:r>
              <w:rPr>
                <w:rFonts w:ascii="Times New Roman" w:hAnsi="Times New Roman" w:eastAsia="宋体" w:cs="Times New Roman"/>
                <w:b/>
                <w:bCs/>
                <w:color w:val="000000" w:themeColor="text1"/>
                <w:sz w:val="21"/>
                <w:szCs w:val="21"/>
              </w:rPr>
              <w:t xml:space="preserve">   本项目无组织废气污染源源强核算结果及相关参数一览表</w:t>
            </w:r>
          </w:p>
          <w:tbl>
            <w:tblPr>
              <w:tblStyle w:val="131"/>
              <w:tblW w:w="12134" w:type="dxa"/>
              <w:tblInd w:w="204"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67"/>
              <w:gridCol w:w="1275"/>
              <w:gridCol w:w="1530"/>
              <w:gridCol w:w="1314"/>
              <w:gridCol w:w="1314"/>
              <w:gridCol w:w="1314"/>
              <w:gridCol w:w="1315"/>
              <w:gridCol w:w="931"/>
              <w:gridCol w:w="1722"/>
              <w:gridCol w:w="952"/>
            </w:tblGrid>
            <w:tr w14:paraId="7C3DD0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467" w:type="dxa"/>
                  <w:vMerge w:val="restart"/>
                  <w:tcBorders>
                    <w:tl2br w:val="nil"/>
                    <w:tr2bl w:val="nil"/>
                  </w:tcBorders>
                  <w:textDirection w:val="tbRlV"/>
                  <w:vAlign w:val="center"/>
                </w:tcPr>
                <w:p w14:paraId="61F6E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序 号</w:t>
                  </w:r>
                </w:p>
              </w:tc>
              <w:tc>
                <w:tcPr>
                  <w:tcW w:w="1275" w:type="dxa"/>
                  <w:vMerge w:val="restart"/>
                  <w:tcBorders>
                    <w:tl2br w:val="nil"/>
                    <w:tr2bl w:val="nil"/>
                  </w:tcBorders>
                  <w:vAlign w:val="center"/>
                </w:tcPr>
                <w:p w14:paraId="7DABBC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38F24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污染源位置</w:t>
                  </w:r>
                </w:p>
              </w:tc>
              <w:tc>
                <w:tcPr>
                  <w:tcW w:w="1530" w:type="dxa"/>
                  <w:vMerge w:val="restart"/>
                  <w:tcBorders>
                    <w:tl2br w:val="nil"/>
                    <w:tr2bl w:val="nil"/>
                  </w:tcBorders>
                  <w:vAlign w:val="center"/>
                </w:tcPr>
                <w:p w14:paraId="707DD5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5D40BD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w:t>
                  </w:r>
                </w:p>
              </w:tc>
              <w:tc>
                <w:tcPr>
                  <w:tcW w:w="2628" w:type="dxa"/>
                  <w:gridSpan w:val="2"/>
                  <w:tcBorders>
                    <w:tl2br w:val="nil"/>
                    <w:tr2bl w:val="nil"/>
                  </w:tcBorders>
                  <w:vAlign w:val="center"/>
                </w:tcPr>
                <w:p w14:paraId="03805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污染物产生情况</w:t>
                  </w:r>
                </w:p>
              </w:tc>
              <w:tc>
                <w:tcPr>
                  <w:tcW w:w="2629" w:type="dxa"/>
                  <w:gridSpan w:val="2"/>
                  <w:tcBorders>
                    <w:tl2br w:val="nil"/>
                    <w:tr2bl w:val="nil"/>
                  </w:tcBorders>
                  <w:vAlign w:val="center"/>
                </w:tcPr>
                <w:p w14:paraId="016B07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污染物排放情况</w:t>
                  </w:r>
                </w:p>
              </w:tc>
              <w:tc>
                <w:tcPr>
                  <w:tcW w:w="931" w:type="dxa"/>
                  <w:vMerge w:val="restart"/>
                  <w:tcBorders>
                    <w:tl2br w:val="nil"/>
                    <w:tr2bl w:val="nil"/>
                  </w:tcBorders>
                  <w:vAlign w:val="center"/>
                </w:tcPr>
                <w:p w14:paraId="4D7E2B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排放时间</w:t>
                  </w:r>
                </w:p>
                <w:p w14:paraId="645EA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h</w:t>
                  </w:r>
                </w:p>
              </w:tc>
              <w:tc>
                <w:tcPr>
                  <w:tcW w:w="1722" w:type="dxa"/>
                  <w:vMerge w:val="restart"/>
                  <w:tcBorders>
                    <w:tl2br w:val="nil"/>
                    <w:tr2bl w:val="nil"/>
                  </w:tcBorders>
                  <w:vAlign w:val="center"/>
                </w:tcPr>
                <w:p w14:paraId="5AA4B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面源面积（m</w:t>
                  </w:r>
                  <w:r>
                    <w:rPr>
                      <w:rFonts w:hint="eastAsia" w:ascii="Times New Roman" w:hAnsi="Times New Roman" w:eastAsia="宋体" w:cs="Times New Roman"/>
                      <w:b/>
                      <w:bCs/>
                      <w:color w:val="000000" w:themeColor="text1"/>
                      <w:sz w:val="21"/>
                      <w:szCs w:val="21"/>
                      <w:vertAlign w:val="superscript"/>
                      <w:lang w:val="en-US" w:eastAsia="zh-CN"/>
                    </w:rPr>
                    <w:t>2</w:t>
                  </w:r>
                  <w:r>
                    <w:rPr>
                      <w:rFonts w:hint="eastAsia" w:ascii="Times New Roman" w:hAnsi="Times New Roman" w:eastAsia="宋体" w:cs="Times New Roman"/>
                      <w:b/>
                      <w:bCs/>
                      <w:color w:val="000000" w:themeColor="text1"/>
                      <w:sz w:val="21"/>
                      <w:szCs w:val="21"/>
                      <w:lang w:val="en-US" w:eastAsia="zh-CN"/>
                    </w:rPr>
                    <w:t>）</w:t>
                  </w:r>
                </w:p>
              </w:tc>
              <w:tc>
                <w:tcPr>
                  <w:tcW w:w="952" w:type="dxa"/>
                  <w:vMerge w:val="restart"/>
                  <w:tcBorders>
                    <w:tl2br w:val="nil"/>
                    <w:tr2bl w:val="nil"/>
                  </w:tcBorders>
                  <w:vAlign w:val="center"/>
                </w:tcPr>
                <w:p w14:paraId="0866FF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面源高度</w:t>
                  </w:r>
                </w:p>
                <w:p w14:paraId="3D8B28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m</w:t>
                  </w:r>
                </w:p>
              </w:tc>
            </w:tr>
            <w:tr w14:paraId="74B927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67" w:type="dxa"/>
                  <w:vMerge w:val="continue"/>
                  <w:tcBorders>
                    <w:tl2br w:val="nil"/>
                    <w:tr2bl w:val="nil"/>
                  </w:tcBorders>
                  <w:textDirection w:val="tbRlV"/>
                  <w:vAlign w:val="center"/>
                </w:tcPr>
                <w:p w14:paraId="190517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275" w:type="dxa"/>
                  <w:vMerge w:val="continue"/>
                  <w:tcBorders>
                    <w:tl2br w:val="nil"/>
                    <w:tr2bl w:val="nil"/>
                  </w:tcBorders>
                  <w:vAlign w:val="center"/>
                </w:tcPr>
                <w:p w14:paraId="6D5A8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530" w:type="dxa"/>
                  <w:vMerge w:val="continue"/>
                  <w:tcBorders>
                    <w:tl2br w:val="nil"/>
                    <w:tr2bl w:val="nil"/>
                  </w:tcBorders>
                  <w:vAlign w:val="center"/>
                </w:tcPr>
                <w:p w14:paraId="2CBC39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314" w:type="dxa"/>
                  <w:tcBorders>
                    <w:tl2br w:val="nil"/>
                    <w:tr2bl w:val="nil"/>
                  </w:tcBorders>
                  <w:vAlign w:val="center"/>
                </w:tcPr>
                <w:p w14:paraId="1CB6E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产生速率</w:t>
                  </w:r>
                </w:p>
                <w:p w14:paraId="04E250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kg/h</w:t>
                  </w:r>
                </w:p>
              </w:tc>
              <w:tc>
                <w:tcPr>
                  <w:tcW w:w="1314" w:type="dxa"/>
                  <w:tcBorders>
                    <w:tl2br w:val="nil"/>
                    <w:tr2bl w:val="nil"/>
                  </w:tcBorders>
                  <w:vAlign w:val="center"/>
                </w:tcPr>
                <w:p w14:paraId="03091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产生量</w:t>
                  </w:r>
                </w:p>
                <w:p w14:paraId="422C5A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t/a</w:t>
                  </w:r>
                </w:p>
              </w:tc>
              <w:tc>
                <w:tcPr>
                  <w:tcW w:w="1314" w:type="dxa"/>
                  <w:tcBorders>
                    <w:tl2br w:val="nil"/>
                    <w:tr2bl w:val="nil"/>
                  </w:tcBorders>
                  <w:vAlign w:val="center"/>
                </w:tcPr>
                <w:p w14:paraId="7B4BF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排放速率</w:t>
                  </w:r>
                </w:p>
                <w:p w14:paraId="75533F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kg/h</w:t>
                  </w:r>
                </w:p>
              </w:tc>
              <w:tc>
                <w:tcPr>
                  <w:tcW w:w="1315" w:type="dxa"/>
                  <w:tcBorders>
                    <w:tl2br w:val="nil"/>
                    <w:tr2bl w:val="nil"/>
                  </w:tcBorders>
                  <w:vAlign w:val="center"/>
                </w:tcPr>
                <w:p w14:paraId="677D0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排放量</w:t>
                  </w:r>
                </w:p>
                <w:p w14:paraId="44AA6D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t/a</w:t>
                  </w:r>
                </w:p>
              </w:tc>
              <w:tc>
                <w:tcPr>
                  <w:tcW w:w="931" w:type="dxa"/>
                  <w:vMerge w:val="continue"/>
                  <w:tcBorders>
                    <w:tl2br w:val="nil"/>
                    <w:tr2bl w:val="nil"/>
                  </w:tcBorders>
                  <w:vAlign w:val="center"/>
                </w:tcPr>
                <w:p w14:paraId="2B923C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722" w:type="dxa"/>
                  <w:vMerge w:val="continue"/>
                  <w:tcBorders>
                    <w:tl2br w:val="nil"/>
                    <w:tr2bl w:val="nil"/>
                  </w:tcBorders>
                  <w:vAlign w:val="center"/>
                </w:tcPr>
                <w:p w14:paraId="774D0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952" w:type="dxa"/>
                  <w:vMerge w:val="continue"/>
                  <w:tcBorders>
                    <w:tl2br w:val="nil"/>
                    <w:tr2bl w:val="nil"/>
                  </w:tcBorders>
                  <w:vAlign w:val="center"/>
                </w:tcPr>
                <w:p w14:paraId="224A1E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r>
            <w:tr w14:paraId="1212DB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67" w:type="dxa"/>
                  <w:tcBorders>
                    <w:tl2br w:val="nil"/>
                    <w:tr2bl w:val="nil"/>
                  </w:tcBorders>
                  <w:vAlign w:val="center"/>
                </w:tcPr>
                <w:p w14:paraId="5A8C2D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1</w:t>
                  </w:r>
                </w:p>
              </w:tc>
              <w:tc>
                <w:tcPr>
                  <w:tcW w:w="1275" w:type="dxa"/>
                  <w:tcBorders>
                    <w:tl2br w:val="nil"/>
                    <w:tr2bl w:val="nil"/>
                  </w:tcBorders>
                  <w:vAlign w:val="center"/>
                </w:tcPr>
                <w:p w14:paraId="0808F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炭黑处理车间</w:t>
                  </w:r>
                </w:p>
              </w:tc>
              <w:tc>
                <w:tcPr>
                  <w:tcW w:w="1530" w:type="dxa"/>
                  <w:tcBorders>
                    <w:tl2br w:val="nil"/>
                    <w:tr2bl w:val="nil"/>
                  </w:tcBorders>
                  <w:vAlign w:val="center"/>
                </w:tcPr>
                <w:p w14:paraId="7501D9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颗粒物</w:t>
                  </w:r>
                </w:p>
              </w:tc>
              <w:tc>
                <w:tcPr>
                  <w:tcW w:w="1314" w:type="dxa"/>
                  <w:tcBorders>
                    <w:tl2br w:val="nil"/>
                    <w:tr2bl w:val="nil"/>
                  </w:tcBorders>
                  <w:vAlign w:val="center"/>
                </w:tcPr>
                <w:p w14:paraId="5B65BC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040</w:t>
                  </w:r>
                </w:p>
              </w:tc>
              <w:tc>
                <w:tcPr>
                  <w:tcW w:w="1314" w:type="dxa"/>
                  <w:tcBorders>
                    <w:tl2br w:val="nil"/>
                    <w:tr2bl w:val="nil"/>
                  </w:tcBorders>
                  <w:vAlign w:val="center"/>
                </w:tcPr>
                <w:p w14:paraId="7C2E7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097</w:t>
                  </w:r>
                </w:p>
              </w:tc>
              <w:tc>
                <w:tcPr>
                  <w:tcW w:w="1314" w:type="dxa"/>
                  <w:tcBorders>
                    <w:tl2br w:val="nil"/>
                    <w:tr2bl w:val="nil"/>
                  </w:tcBorders>
                  <w:vAlign w:val="center"/>
                </w:tcPr>
                <w:p w14:paraId="1A084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040</w:t>
                  </w:r>
                </w:p>
              </w:tc>
              <w:tc>
                <w:tcPr>
                  <w:tcW w:w="1315" w:type="dxa"/>
                  <w:tcBorders>
                    <w:tl2br w:val="nil"/>
                    <w:tr2bl w:val="nil"/>
                  </w:tcBorders>
                  <w:vAlign w:val="center"/>
                </w:tcPr>
                <w:p w14:paraId="342822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097</w:t>
                  </w:r>
                </w:p>
              </w:tc>
              <w:tc>
                <w:tcPr>
                  <w:tcW w:w="931" w:type="dxa"/>
                  <w:tcBorders>
                    <w:tl2br w:val="nil"/>
                    <w:tr2bl w:val="nil"/>
                  </w:tcBorders>
                  <w:vAlign w:val="center"/>
                </w:tcPr>
                <w:p w14:paraId="1855A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2400</w:t>
                  </w:r>
                </w:p>
              </w:tc>
              <w:tc>
                <w:tcPr>
                  <w:tcW w:w="1722" w:type="dxa"/>
                  <w:tcBorders>
                    <w:tl2br w:val="nil"/>
                    <w:tr2bl w:val="nil"/>
                  </w:tcBorders>
                  <w:vAlign w:val="center"/>
                </w:tcPr>
                <w:p w14:paraId="08309B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1558</w:t>
                  </w:r>
                </w:p>
              </w:tc>
              <w:tc>
                <w:tcPr>
                  <w:tcW w:w="952" w:type="dxa"/>
                  <w:tcBorders>
                    <w:tl2br w:val="nil"/>
                    <w:tr2bl w:val="nil"/>
                  </w:tcBorders>
                  <w:vAlign w:val="center"/>
                </w:tcPr>
                <w:p w14:paraId="76C473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8</w:t>
                  </w:r>
                </w:p>
              </w:tc>
            </w:tr>
            <w:tr w14:paraId="09169D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67" w:type="dxa"/>
                  <w:vMerge w:val="restart"/>
                  <w:tcBorders>
                    <w:tl2br w:val="nil"/>
                    <w:tr2bl w:val="nil"/>
                  </w:tcBorders>
                  <w:vAlign w:val="center"/>
                </w:tcPr>
                <w:p w14:paraId="41AC1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w:t>
                  </w:r>
                </w:p>
              </w:tc>
              <w:tc>
                <w:tcPr>
                  <w:tcW w:w="1275" w:type="dxa"/>
                  <w:vMerge w:val="restart"/>
                  <w:tcBorders>
                    <w:tl2br w:val="nil"/>
                    <w:tr2bl w:val="nil"/>
                  </w:tcBorders>
                  <w:vAlign w:val="center"/>
                </w:tcPr>
                <w:p w14:paraId="4CA1F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色母粒生产车间</w:t>
                  </w:r>
                </w:p>
              </w:tc>
              <w:tc>
                <w:tcPr>
                  <w:tcW w:w="1530" w:type="dxa"/>
                  <w:tcBorders>
                    <w:tl2br w:val="nil"/>
                    <w:tr2bl w:val="nil"/>
                  </w:tcBorders>
                  <w:vAlign w:val="center"/>
                </w:tcPr>
                <w:p w14:paraId="7328D1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颗粒物</w:t>
                  </w:r>
                </w:p>
              </w:tc>
              <w:tc>
                <w:tcPr>
                  <w:tcW w:w="1314" w:type="dxa"/>
                  <w:tcBorders>
                    <w:tl2br w:val="nil"/>
                    <w:tr2bl w:val="nil"/>
                  </w:tcBorders>
                  <w:vAlign w:val="center"/>
                </w:tcPr>
                <w:p w14:paraId="3D68F6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w:t>
                  </w:r>
                  <w:r>
                    <w:rPr>
                      <w:rFonts w:hint="eastAsia" w:cs="Times New Roman"/>
                      <w:color w:val="000000" w:themeColor="text1"/>
                      <w:sz w:val="21"/>
                      <w:szCs w:val="21"/>
                      <w:lang w:val="en-US" w:eastAsia="zh-CN"/>
                    </w:rPr>
                    <w:t>60</w:t>
                  </w:r>
                </w:p>
              </w:tc>
              <w:tc>
                <w:tcPr>
                  <w:tcW w:w="1314" w:type="dxa"/>
                  <w:tcBorders>
                    <w:tl2br w:val="nil"/>
                    <w:tr2bl w:val="nil"/>
                  </w:tcBorders>
                  <w:vAlign w:val="center"/>
                </w:tcPr>
                <w:p w14:paraId="537B2C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w:t>
                  </w:r>
                  <w:r>
                    <w:rPr>
                      <w:rFonts w:hint="eastAsia" w:cs="Times New Roman"/>
                      <w:color w:val="000000" w:themeColor="text1"/>
                      <w:sz w:val="21"/>
                      <w:szCs w:val="21"/>
                      <w:lang w:val="en-US" w:eastAsia="zh-CN"/>
                    </w:rPr>
                    <w:t>23</w:t>
                  </w:r>
                </w:p>
              </w:tc>
              <w:tc>
                <w:tcPr>
                  <w:tcW w:w="1314" w:type="dxa"/>
                  <w:tcBorders>
                    <w:tl2br w:val="nil"/>
                    <w:tr2bl w:val="nil"/>
                  </w:tcBorders>
                  <w:vAlign w:val="center"/>
                </w:tcPr>
                <w:p w14:paraId="4113D6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w:t>
                  </w:r>
                  <w:r>
                    <w:rPr>
                      <w:rFonts w:hint="eastAsia" w:cs="Times New Roman"/>
                      <w:color w:val="000000" w:themeColor="text1"/>
                      <w:sz w:val="21"/>
                      <w:szCs w:val="21"/>
                      <w:lang w:val="en-US" w:eastAsia="zh-CN"/>
                    </w:rPr>
                    <w:t>60</w:t>
                  </w:r>
                </w:p>
              </w:tc>
              <w:tc>
                <w:tcPr>
                  <w:tcW w:w="1315" w:type="dxa"/>
                  <w:tcBorders>
                    <w:tl2br w:val="nil"/>
                    <w:tr2bl w:val="nil"/>
                  </w:tcBorders>
                  <w:vAlign w:val="center"/>
                </w:tcPr>
                <w:p w14:paraId="3A9344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0.6</w:t>
                  </w:r>
                  <w:r>
                    <w:rPr>
                      <w:rFonts w:hint="eastAsia" w:cs="Times New Roman"/>
                      <w:color w:val="000000" w:themeColor="text1"/>
                      <w:sz w:val="21"/>
                      <w:szCs w:val="21"/>
                      <w:lang w:val="en-US" w:eastAsia="zh-CN"/>
                    </w:rPr>
                    <w:t>23</w:t>
                  </w:r>
                </w:p>
              </w:tc>
              <w:tc>
                <w:tcPr>
                  <w:tcW w:w="931" w:type="dxa"/>
                  <w:tcBorders>
                    <w:tl2br w:val="nil"/>
                    <w:tr2bl w:val="nil"/>
                  </w:tcBorders>
                  <w:vAlign w:val="center"/>
                </w:tcPr>
                <w:p w14:paraId="34077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2400</w:t>
                  </w:r>
                </w:p>
              </w:tc>
              <w:tc>
                <w:tcPr>
                  <w:tcW w:w="1722" w:type="dxa"/>
                  <w:tcBorders>
                    <w:tl2br w:val="nil"/>
                    <w:tr2bl w:val="nil"/>
                  </w:tcBorders>
                  <w:vAlign w:val="center"/>
                </w:tcPr>
                <w:p w14:paraId="71EAAD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980</w:t>
                  </w:r>
                </w:p>
              </w:tc>
              <w:tc>
                <w:tcPr>
                  <w:tcW w:w="952" w:type="dxa"/>
                  <w:tcBorders>
                    <w:tl2br w:val="nil"/>
                    <w:tr2bl w:val="nil"/>
                  </w:tcBorders>
                  <w:vAlign w:val="center"/>
                </w:tcPr>
                <w:p w14:paraId="4B7A04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8</w:t>
                  </w:r>
                </w:p>
              </w:tc>
            </w:tr>
            <w:tr w14:paraId="79ABFF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467" w:type="dxa"/>
                  <w:vMerge w:val="continue"/>
                  <w:tcBorders>
                    <w:tl2br w:val="nil"/>
                    <w:tr2bl w:val="nil"/>
                  </w:tcBorders>
                  <w:vAlign w:val="center"/>
                </w:tcPr>
                <w:p w14:paraId="67C3E2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p>
              </w:tc>
              <w:tc>
                <w:tcPr>
                  <w:tcW w:w="1275" w:type="dxa"/>
                  <w:vMerge w:val="continue"/>
                  <w:tcBorders>
                    <w:tl2br w:val="nil"/>
                    <w:tr2bl w:val="nil"/>
                  </w:tcBorders>
                  <w:vAlign w:val="center"/>
                </w:tcPr>
                <w:p w14:paraId="727F2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Cs/>
                      <w:color w:val="000000" w:themeColor="text1"/>
                      <w:sz w:val="21"/>
                      <w:szCs w:val="21"/>
                      <w:lang w:val="en-US" w:eastAsia="zh-CN"/>
                    </w:rPr>
                  </w:pPr>
                </w:p>
              </w:tc>
              <w:tc>
                <w:tcPr>
                  <w:tcW w:w="1530" w:type="dxa"/>
                  <w:tcBorders>
                    <w:tl2br w:val="nil"/>
                    <w:tr2bl w:val="nil"/>
                  </w:tcBorders>
                  <w:vAlign w:val="center"/>
                </w:tcPr>
                <w:p w14:paraId="2CF00F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非甲烷总烃</w:t>
                  </w:r>
                </w:p>
              </w:tc>
              <w:tc>
                <w:tcPr>
                  <w:tcW w:w="1314" w:type="dxa"/>
                  <w:tcBorders>
                    <w:tl2br w:val="nil"/>
                    <w:tr2bl w:val="nil"/>
                  </w:tcBorders>
                  <w:vAlign w:val="center"/>
                </w:tcPr>
                <w:p w14:paraId="7CAC2B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169</w:t>
                  </w:r>
                </w:p>
              </w:tc>
              <w:tc>
                <w:tcPr>
                  <w:tcW w:w="1314" w:type="dxa"/>
                  <w:tcBorders>
                    <w:tl2br w:val="nil"/>
                    <w:tr2bl w:val="nil"/>
                  </w:tcBorders>
                  <w:vAlign w:val="center"/>
                </w:tcPr>
                <w:p w14:paraId="650820F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405</w:t>
                  </w:r>
                </w:p>
              </w:tc>
              <w:tc>
                <w:tcPr>
                  <w:tcW w:w="1314" w:type="dxa"/>
                  <w:tcBorders>
                    <w:tl2br w:val="nil"/>
                    <w:tr2bl w:val="nil"/>
                  </w:tcBorders>
                  <w:vAlign w:val="center"/>
                </w:tcPr>
                <w:p w14:paraId="0A61A8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169</w:t>
                  </w:r>
                </w:p>
              </w:tc>
              <w:tc>
                <w:tcPr>
                  <w:tcW w:w="1315" w:type="dxa"/>
                  <w:tcBorders>
                    <w:tl2br w:val="nil"/>
                    <w:tr2bl w:val="nil"/>
                  </w:tcBorders>
                  <w:vAlign w:val="center"/>
                </w:tcPr>
                <w:p w14:paraId="0BF029A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405</w:t>
                  </w:r>
                </w:p>
              </w:tc>
              <w:tc>
                <w:tcPr>
                  <w:tcW w:w="931" w:type="dxa"/>
                  <w:tcBorders>
                    <w:tl2br w:val="nil"/>
                    <w:tr2bl w:val="nil"/>
                  </w:tcBorders>
                  <w:vAlign w:val="center"/>
                </w:tcPr>
                <w:p w14:paraId="12C79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2400</w:t>
                  </w:r>
                </w:p>
              </w:tc>
              <w:tc>
                <w:tcPr>
                  <w:tcW w:w="1722" w:type="dxa"/>
                  <w:tcBorders>
                    <w:tl2br w:val="nil"/>
                    <w:tr2bl w:val="nil"/>
                  </w:tcBorders>
                  <w:vAlign w:val="center"/>
                </w:tcPr>
                <w:p w14:paraId="4FA4B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cs="Times New Roman"/>
                      <w:bCs/>
                      <w:color w:val="000000" w:themeColor="text1"/>
                      <w:sz w:val="21"/>
                      <w:szCs w:val="21"/>
                      <w:lang w:val="en-US" w:eastAsia="zh-CN"/>
                    </w:rPr>
                    <w:t>980</w:t>
                  </w:r>
                </w:p>
              </w:tc>
              <w:tc>
                <w:tcPr>
                  <w:tcW w:w="952" w:type="dxa"/>
                  <w:tcBorders>
                    <w:tl2br w:val="nil"/>
                    <w:tr2bl w:val="nil"/>
                  </w:tcBorders>
                  <w:vAlign w:val="center"/>
                </w:tcPr>
                <w:p w14:paraId="2B6B9B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8</w:t>
                  </w:r>
                </w:p>
              </w:tc>
            </w:tr>
          </w:tbl>
          <w:p w14:paraId="1CC2C3C4">
            <w:pPr>
              <w:ind w:firstLine="480"/>
              <w:rPr>
                <w:rFonts w:hint="default" w:ascii="Times New Roman" w:hAnsi="Times New Roman" w:eastAsia="宋体" w:cs="Times New Roman"/>
                <w:color w:val="000000" w:themeColor="text1"/>
              </w:rPr>
            </w:pPr>
          </w:p>
        </w:tc>
      </w:tr>
    </w:tbl>
    <w:p w14:paraId="5799CC83">
      <w:pPr>
        <w:adjustRightInd w:val="0"/>
        <w:snapToGrid w:val="0"/>
        <w:ind w:firstLine="562"/>
        <w:rPr>
          <w:rFonts w:hint="default" w:ascii="Times New Roman" w:hAnsi="Times New Roman" w:eastAsia="宋体" w:cs="Times New Roman"/>
          <w:b/>
          <w:color w:val="000000" w:themeColor="text1"/>
          <w:kern w:val="0"/>
          <w:sz w:val="28"/>
          <w:szCs w:val="28"/>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33"/>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3"/>
        <w:gridCol w:w="8345"/>
      </w:tblGrid>
      <w:tr w14:paraId="3C810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89" w:hRule="atLeast"/>
          <w:jc w:val="center"/>
        </w:trPr>
        <w:tc>
          <w:tcPr>
            <w:tcW w:w="563" w:type="dxa"/>
            <w:tcMar>
              <w:left w:w="28" w:type="dxa"/>
              <w:right w:w="28" w:type="dxa"/>
            </w:tcMar>
            <w:vAlign w:val="center"/>
          </w:tcPr>
          <w:p w14:paraId="703BC46A">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运营</w:t>
            </w:r>
          </w:p>
          <w:p w14:paraId="5FDCB76A">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期环</w:t>
            </w:r>
          </w:p>
          <w:p w14:paraId="13658F8F">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境影</w:t>
            </w:r>
          </w:p>
          <w:p w14:paraId="04E25F09">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响和</w:t>
            </w:r>
          </w:p>
          <w:p w14:paraId="4BFFBE81">
            <w:pPr>
              <w:adjustRightInd w:val="0"/>
              <w:snapToGrid w:val="0"/>
              <w:spacing w:line="240" w:lineRule="auto"/>
              <w:ind w:firstLine="0" w:firstLineChars="0"/>
              <w:jc w:val="center"/>
              <w:rPr>
                <w:rFonts w:hint="default" w:ascii="Times New Roman" w:hAnsi="Times New Roman" w:eastAsia="宋体" w:cs="Times New Roman"/>
                <w:b/>
                <w:bCs w:val="0"/>
                <w:color w:val="000000" w:themeColor="text1"/>
                <w:szCs w:val="21"/>
              </w:rPr>
            </w:pPr>
            <w:r>
              <w:rPr>
                <w:rFonts w:hint="default" w:ascii="Times New Roman" w:hAnsi="Times New Roman" w:eastAsia="宋体" w:cs="Times New Roman"/>
                <w:b/>
                <w:bCs w:val="0"/>
                <w:color w:val="000000" w:themeColor="text1"/>
                <w:szCs w:val="21"/>
              </w:rPr>
              <w:t>保护</w:t>
            </w:r>
          </w:p>
          <w:p w14:paraId="21D951BE">
            <w:pPr>
              <w:pStyle w:val="20"/>
              <w:adjustRightInd w:val="0"/>
              <w:snapToGrid w:val="0"/>
              <w:spacing w:before="0" w:beforeAutospacing="0" w:after="0" w:afterAutospacing="0" w:line="240" w:lineRule="auto"/>
              <w:ind w:firstLine="0" w:firstLineChars="0"/>
              <w:jc w:val="center"/>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b/>
                <w:bCs w:val="0"/>
                <w:color w:val="000000" w:themeColor="text1"/>
                <w:szCs w:val="21"/>
              </w:rPr>
              <w:t>措施</w:t>
            </w:r>
          </w:p>
        </w:tc>
        <w:tc>
          <w:tcPr>
            <w:tcW w:w="8345" w:type="dxa"/>
            <w:vAlign w:val="center"/>
          </w:tcPr>
          <w:p w14:paraId="797A30E5">
            <w:pPr>
              <w:pStyle w:val="12"/>
              <w:spacing w:before="120" w:beforeLines="50"/>
              <w:ind w:firstLine="482"/>
              <w:rPr>
                <w:rFonts w:hint="default" w:ascii="Times New Roman" w:hAnsi="Times New Roman" w:eastAsia="宋体" w:cs="Times New Roman"/>
                <w:b/>
                <w:bCs/>
                <w:color w:val="000000" w:themeColor="text1"/>
                <w:kern w:val="2"/>
                <w:sz w:val="24"/>
                <w:szCs w:val="24"/>
              </w:rPr>
            </w:pPr>
            <w:r>
              <w:rPr>
                <w:rFonts w:hint="default" w:ascii="Times New Roman" w:hAnsi="Times New Roman" w:eastAsia="宋体" w:cs="Times New Roman"/>
                <w:b/>
                <w:bCs/>
                <w:color w:val="000000" w:themeColor="text1"/>
                <w:kern w:val="2"/>
                <w:sz w:val="24"/>
                <w:szCs w:val="24"/>
              </w:rPr>
              <w:t>2.2 废气达标性分析</w:t>
            </w:r>
          </w:p>
          <w:p w14:paraId="5415C525">
            <w:pPr>
              <w:adjustRightInd w:val="0"/>
              <w:snapToGrid w:val="0"/>
              <w:ind w:firstLine="480"/>
              <w:rPr>
                <w:color w:val="000000" w:themeColor="text1"/>
                <w:spacing w:val="-1"/>
              </w:rPr>
            </w:pPr>
            <w:r>
              <w:rPr>
                <w:rFonts w:hint="default" w:ascii="Times New Roman" w:hAnsi="Times New Roman" w:eastAsia="宋体" w:cs="Times New Roman"/>
                <w:color w:val="000000" w:themeColor="text1"/>
                <w:kern w:val="0"/>
                <w:sz w:val="24"/>
                <w:szCs w:val="24"/>
                <w:lang w:val="en-US" w:eastAsia="zh-CN" w:bidi="ar"/>
              </w:rPr>
              <w:t>项目产生的废气主要为</w:t>
            </w:r>
            <w:r>
              <w:rPr>
                <w:rFonts w:hint="eastAsia" w:ascii="Times New Roman" w:hAnsi="Times New Roman" w:eastAsia="宋体" w:cs="Times New Roman"/>
                <w:color w:val="000000" w:themeColor="text1"/>
                <w:kern w:val="0"/>
                <w:sz w:val="24"/>
                <w:szCs w:val="24"/>
                <w:lang w:val="en-US" w:eastAsia="zh-CN" w:bidi="ar"/>
              </w:rPr>
              <w:t>造粒、烘干、混合产生的颗粒物、SO</w:t>
            </w:r>
            <w:r>
              <w:rPr>
                <w:rFonts w:hint="eastAsia" w:ascii="Times New Roman" w:hAnsi="Times New Roman" w:eastAsia="宋体" w:cs="Times New Roman"/>
                <w:color w:val="000000" w:themeColor="text1"/>
                <w:kern w:val="0"/>
                <w:sz w:val="24"/>
                <w:szCs w:val="24"/>
                <w:vertAlign w:val="subscript"/>
                <w:lang w:val="en-US" w:eastAsia="zh-CN" w:bidi="ar"/>
              </w:rPr>
              <w:t>2</w:t>
            </w:r>
            <w:r>
              <w:rPr>
                <w:rFonts w:hint="eastAsia" w:ascii="Times New Roman" w:hAnsi="Times New Roman" w:eastAsia="宋体" w:cs="Times New Roman"/>
                <w:color w:val="000000" w:themeColor="text1"/>
                <w:kern w:val="0"/>
                <w:sz w:val="24"/>
                <w:szCs w:val="24"/>
                <w:lang w:val="en-US" w:eastAsia="zh-CN" w:bidi="ar"/>
              </w:rPr>
              <w:t>、</w:t>
            </w:r>
            <w:r>
              <w:rPr>
                <w:rFonts w:hint="default" w:ascii="Times New Roman" w:hAnsi="Times New Roman" w:cs="Times New Roman"/>
                <w:color w:val="000000" w:themeColor="text1"/>
                <w:kern w:val="0"/>
                <w:sz w:val="24"/>
                <w:szCs w:val="24"/>
                <w:lang w:val="en-US" w:eastAsia="zh-CN" w:bidi="ar"/>
              </w:rPr>
              <w:t>NOx</w:t>
            </w:r>
            <w:r>
              <w:rPr>
                <w:rFonts w:hint="eastAsia" w:ascii="Times New Roman" w:hAnsi="Times New Roman" w:cs="Times New Roman"/>
                <w:color w:val="000000" w:themeColor="text1"/>
                <w:kern w:val="0"/>
                <w:sz w:val="24"/>
                <w:szCs w:val="24"/>
                <w:lang w:val="en-US" w:eastAsia="zh-CN" w:bidi="ar"/>
              </w:rPr>
              <w:t>，挤出产生非甲烷总烃</w:t>
            </w:r>
            <w:r>
              <w:rPr>
                <w:rFonts w:hint="eastAsia"/>
                <w:color w:val="000000" w:themeColor="text1"/>
                <w:lang w:val="en-US" w:eastAsia="zh-CN"/>
              </w:rPr>
              <w:t>。造粒、烘干产生的废气经布袋除尘器处理后接通至现有DA001排气筒排放。混合废气经布袋除尘器处理后和经冷凝+二级活性炭吸附处理的挤出废气合并经DA002排放。</w:t>
            </w:r>
            <w:r>
              <w:rPr>
                <w:color w:val="000000" w:themeColor="text1"/>
                <w:spacing w:val="-1"/>
              </w:rPr>
              <w:t>本项目废气达标分析情况详见下表。</w:t>
            </w:r>
          </w:p>
          <w:p w14:paraId="54B47D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表4-</w:t>
            </w:r>
            <w:r>
              <w:rPr>
                <w:rFonts w:hint="eastAsia" w:cs="Times New Roman"/>
                <w:b/>
                <w:bCs/>
                <w:color w:val="000000" w:themeColor="text1"/>
                <w:sz w:val="21"/>
                <w:szCs w:val="21"/>
                <w:lang w:val="en-US" w:eastAsia="zh-CN"/>
              </w:rPr>
              <w:t>10</w:t>
            </w:r>
            <w:r>
              <w:rPr>
                <w:rFonts w:ascii="Times New Roman" w:hAnsi="Times New Roman" w:eastAsia="宋体" w:cs="Times New Roman"/>
                <w:b/>
                <w:bCs/>
                <w:color w:val="000000" w:themeColor="text1"/>
                <w:sz w:val="21"/>
                <w:szCs w:val="21"/>
              </w:rPr>
              <w:t xml:space="preserve">  </w:t>
            </w:r>
            <w:r>
              <w:rPr>
                <w:rFonts w:hint="eastAsia" w:ascii="Times New Roman" w:hAnsi="Times New Roman" w:eastAsia="宋体" w:cs="Times New Roman"/>
                <w:b/>
                <w:bCs/>
                <w:color w:val="000000" w:themeColor="text1"/>
                <w:sz w:val="21"/>
                <w:szCs w:val="21"/>
                <w:lang w:val="en-US" w:eastAsia="zh-CN"/>
              </w:rPr>
              <w:t xml:space="preserve">  </w:t>
            </w:r>
            <w:r>
              <w:rPr>
                <w:rFonts w:ascii="Times New Roman" w:hAnsi="Times New Roman" w:eastAsia="宋体" w:cs="Times New Roman"/>
                <w:b/>
                <w:bCs/>
                <w:color w:val="000000" w:themeColor="text1"/>
                <w:sz w:val="21"/>
                <w:szCs w:val="21"/>
              </w:rPr>
              <w:t>废气达标情况分析一览表</w:t>
            </w:r>
          </w:p>
          <w:tbl>
            <w:tblPr>
              <w:tblStyle w:val="131"/>
              <w:tblW w:w="787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73"/>
              <w:gridCol w:w="976"/>
              <w:gridCol w:w="976"/>
              <w:gridCol w:w="1061"/>
              <w:gridCol w:w="883"/>
              <w:gridCol w:w="1051"/>
              <w:gridCol w:w="957"/>
              <w:gridCol w:w="800"/>
            </w:tblGrid>
            <w:tr w14:paraId="770EF9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1173" w:type="dxa"/>
                  <w:vMerge w:val="restart"/>
                  <w:tcBorders>
                    <w:tl2br w:val="nil"/>
                    <w:tr2bl w:val="nil"/>
                  </w:tcBorders>
                  <w:vAlign w:val="center"/>
                </w:tcPr>
                <w:p w14:paraId="11D938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28946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402AC5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污染源</w:t>
                  </w:r>
                </w:p>
              </w:tc>
              <w:tc>
                <w:tcPr>
                  <w:tcW w:w="976" w:type="dxa"/>
                  <w:vMerge w:val="restart"/>
                  <w:tcBorders>
                    <w:tl2br w:val="nil"/>
                    <w:tr2bl w:val="nil"/>
                  </w:tcBorders>
                  <w:vAlign w:val="center"/>
                </w:tcPr>
                <w:p w14:paraId="4EE7D0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6B4045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0E70C3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废气量m</w:t>
                  </w:r>
                  <w:r>
                    <w:rPr>
                      <w:rFonts w:ascii="Times New Roman" w:hAnsi="Times New Roman" w:eastAsia="宋体" w:cs="Times New Roman"/>
                      <w:b/>
                      <w:bCs/>
                      <w:color w:val="000000" w:themeColor="text1"/>
                      <w:sz w:val="21"/>
                      <w:szCs w:val="21"/>
                      <w:vertAlign w:val="superscript"/>
                    </w:rPr>
                    <w:t>3</w:t>
                  </w:r>
                  <w:r>
                    <w:rPr>
                      <w:rFonts w:ascii="Times New Roman" w:hAnsi="Times New Roman" w:eastAsia="宋体" w:cs="Times New Roman"/>
                      <w:b/>
                      <w:bCs/>
                      <w:color w:val="000000" w:themeColor="text1"/>
                      <w:sz w:val="21"/>
                      <w:szCs w:val="21"/>
                    </w:rPr>
                    <w:t>/h</w:t>
                  </w:r>
                </w:p>
              </w:tc>
              <w:tc>
                <w:tcPr>
                  <w:tcW w:w="976" w:type="dxa"/>
                  <w:vMerge w:val="restart"/>
                  <w:tcBorders>
                    <w:tl2br w:val="nil"/>
                    <w:tr2bl w:val="nil"/>
                  </w:tcBorders>
                  <w:vAlign w:val="center"/>
                </w:tcPr>
                <w:p w14:paraId="3A9CB9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3B70B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79243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污染物名称</w:t>
                  </w:r>
                </w:p>
              </w:tc>
              <w:tc>
                <w:tcPr>
                  <w:tcW w:w="1944" w:type="dxa"/>
                  <w:gridSpan w:val="2"/>
                  <w:tcBorders>
                    <w:tl2br w:val="nil"/>
                    <w:tr2bl w:val="nil"/>
                  </w:tcBorders>
                  <w:vAlign w:val="center"/>
                </w:tcPr>
                <w:p w14:paraId="49FC5A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污染物排放情况</w:t>
                  </w:r>
                </w:p>
              </w:tc>
              <w:tc>
                <w:tcPr>
                  <w:tcW w:w="2008" w:type="dxa"/>
                  <w:gridSpan w:val="2"/>
                  <w:tcBorders>
                    <w:tl2br w:val="nil"/>
                    <w:tr2bl w:val="nil"/>
                  </w:tcBorders>
                  <w:vAlign w:val="center"/>
                </w:tcPr>
                <w:p w14:paraId="1E780A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执行标准</w:t>
                  </w:r>
                </w:p>
              </w:tc>
              <w:tc>
                <w:tcPr>
                  <w:tcW w:w="800" w:type="dxa"/>
                  <w:vMerge w:val="restart"/>
                  <w:tcBorders>
                    <w:tl2br w:val="nil"/>
                    <w:tr2bl w:val="nil"/>
                  </w:tcBorders>
                  <w:vAlign w:val="center"/>
                </w:tcPr>
                <w:p w14:paraId="67BD9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36CA32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7F270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达标判定</w:t>
                  </w:r>
                </w:p>
              </w:tc>
            </w:tr>
            <w:tr w14:paraId="6D5756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173" w:type="dxa"/>
                  <w:vMerge w:val="continue"/>
                  <w:tcBorders>
                    <w:tl2br w:val="nil"/>
                    <w:tr2bl w:val="nil"/>
                  </w:tcBorders>
                  <w:vAlign w:val="center"/>
                </w:tcPr>
                <w:p w14:paraId="47434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976" w:type="dxa"/>
                  <w:vMerge w:val="continue"/>
                  <w:tcBorders>
                    <w:tl2br w:val="nil"/>
                    <w:tr2bl w:val="nil"/>
                  </w:tcBorders>
                  <w:vAlign w:val="center"/>
                </w:tcPr>
                <w:p w14:paraId="2791E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976" w:type="dxa"/>
                  <w:vMerge w:val="continue"/>
                  <w:tcBorders>
                    <w:tl2br w:val="nil"/>
                    <w:tr2bl w:val="nil"/>
                  </w:tcBorders>
                  <w:vAlign w:val="center"/>
                </w:tcPr>
                <w:p w14:paraId="546052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c>
                <w:tcPr>
                  <w:tcW w:w="1061" w:type="dxa"/>
                  <w:tcBorders>
                    <w:tl2br w:val="nil"/>
                    <w:tr2bl w:val="nil"/>
                  </w:tcBorders>
                  <w:vAlign w:val="center"/>
                </w:tcPr>
                <w:p w14:paraId="0721AA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3E5015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排放浓度 mg/m</w:t>
                  </w:r>
                  <w:r>
                    <w:rPr>
                      <w:rFonts w:ascii="Times New Roman" w:hAnsi="Times New Roman" w:eastAsia="宋体" w:cs="Times New Roman"/>
                      <w:b/>
                      <w:bCs/>
                      <w:color w:val="000000" w:themeColor="text1"/>
                      <w:sz w:val="21"/>
                      <w:szCs w:val="21"/>
                      <w:vertAlign w:val="superscript"/>
                    </w:rPr>
                    <w:t>3</w:t>
                  </w:r>
                </w:p>
              </w:tc>
              <w:tc>
                <w:tcPr>
                  <w:tcW w:w="883" w:type="dxa"/>
                  <w:tcBorders>
                    <w:tl2br w:val="nil"/>
                    <w:tr2bl w:val="nil"/>
                  </w:tcBorders>
                  <w:vAlign w:val="center"/>
                </w:tcPr>
                <w:p w14:paraId="360E7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6515B2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排放速率 kg/h</w:t>
                  </w:r>
                </w:p>
              </w:tc>
              <w:tc>
                <w:tcPr>
                  <w:tcW w:w="1051" w:type="dxa"/>
                  <w:tcBorders>
                    <w:tl2br w:val="nil"/>
                    <w:tr2bl w:val="nil"/>
                  </w:tcBorders>
                  <w:vAlign w:val="center"/>
                </w:tcPr>
                <w:p w14:paraId="10FB30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50E37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排放浓度mg/m</w:t>
                  </w:r>
                  <w:r>
                    <w:rPr>
                      <w:rFonts w:ascii="Times New Roman" w:hAnsi="Times New Roman" w:eastAsia="宋体" w:cs="Times New Roman"/>
                      <w:b/>
                      <w:bCs/>
                      <w:color w:val="000000" w:themeColor="text1"/>
                      <w:sz w:val="21"/>
                      <w:szCs w:val="21"/>
                      <w:vertAlign w:val="superscript"/>
                    </w:rPr>
                    <w:t>3</w:t>
                  </w:r>
                </w:p>
              </w:tc>
              <w:tc>
                <w:tcPr>
                  <w:tcW w:w="957" w:type="dxa"/>
                  <w:tcBorders>
                    <w:tl2br w:val="nil"/>
                    <w:tr2bl w:val="nil"/>
                  </w:tcBorders>
                  <w:vAlign w:val="center"/>
                </w:tcPr>
                <w:p w14:paraId="17EE8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p w14:paraId="32BE18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排放速率 kg/h</w:t>
                  </w:r>
                </w:p>
              </w:tc>
              <w:tc>
                <w:tcPr>
                  <w:tcW w:w="800" w:type="dxa"/>
                  <w:vMerge w:val="continue"/>
                  <w:tcBorders>
                    <w:tl2br w:val="nil"/>
                    <w:tr2bl w:val="nil"/>
                  </w:tcBorders>
                  <w:vAlign w:val="center"/>
                </w:tcPr>
                <w:p w14:paraId="5284F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p>
              </w:tc>
            </w:tr>
            <w:tr w14:paraId="2222DE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173" w:type="dxa"/>
                  <w:vMerge w:val="restart"/>
                  <w:tcBorders>
                    <w:tl2br w:val="nil"/>
                    <w:tr2bl w:val="nil"/>
                  </w:tcBorders>
                  <w:vAlign w:val="center"/>
                </w:tcPr>
                <w:p w14:paraId="2C3DC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DA001</w:t>
                  </w:r>
                </w:p>
              </w:tc>
              <w:tc>
                <w:tcPr>
                  <w:tcW w:w="976" w:type="dxa"/>
                  <w:vMerge w:val="restart"/>
                  <w:tcBorders>
                    <w:tl2br w:val="nil"/>
                    <w:tr2bl w:val="nil"/>
                  </w:tcBorders>
                  <w:vAlign w:val="center"/>
                </w:tcPr>
                <w:p w14:paraId="1023ED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2</w:t>
                  </w:r>
                  <w:r>
                    <w:rPr>
                      <w:rFonts w:hint="eastAsia" w:ascii="Times New Roman" w:hAnsi="Times New Roman" w:eastAsia="宋体" w:cs="Times New Roman"/>
                      <w:b w:val="0"/>
                      <w:bCs w:val="0"/>
                      <w:color w:val="000000" w:themeColor="text1"/>
                      <w:sz w:val="21"/>
                      <w:szCs w:val="21"/>
                      <w:lang w:val="en-US" w:eastAsia="zh-CN"/>
                    </w:rPr>
                    <w:t>0000</w:t>
                  </w:r>
                </w:p>
              </w:tc>
              <w:tc>
                <w:tcPr>
                  <w:tcW w:w="976" w:type="dxa"/>
                  <w:tcBorders>
                    <w:tl2br w:val="nil"/>
                    <w:tr2bl w:val="nil"/>
                  </w:tcBorders>
                  <w:vAlign w:val="center"/>
                </w:tcPr>
                <w:p w14:paraId="0E00D7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颗粒物</w:t>
                  </w:r>
                </w:p>
              </w:tc>
              <w:tc>
                <w:tcPr>
                  <w:tcW w:w="1061" w:type="dxa"/>
                  <w:tcBorders>
                    <w:tl2br w:val="nil"/>
                    <w:tr2bl w:val="nil"/>
                  </w:tcBorders>
                  <w:vAlign w:val="center"/>
                </w:tcPr>
                <w:p w14:paraId="2BEC8A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cs="Times New Roman"/>
                      <w:color w:val="000000" w:themeColor="text1"/>
                      <w:sz w:val="21"/>
                      <w:szCs w:val="21"/>
                      <w:lang w:val="en-US" w:eastAsia="zh-CN"/>
                    </w:rPr>
                    <w:t>2.25</w:t>
                  </w:r>
                </w:p>
              </w:tc>
              <w:tc>
                <w:tcPr>
                  <w:tcW w:w="883" w:type="dxa"/>
                  <w:tcBorders>
                    <w:tl2br w:val="nil"/>
                    <w:tr2bl w:val="nil"/>
                  </w:tcBorders>
                  <w:vAlign w:val="center"/>
                </w:tcPr>
                <w:p w14:paraId="6A2E98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z w:val="21"/>
                      <w:szCs w:val="21"/>
                      <w:lang w:val="en-US" w:eastAsia="zh-CN"/>
                    </w:rPr>
                    <w:t>0.04</w:t>
                  </w:r>
                  <w:r>
                    <w:rPr>
                      <w:rFonts w:hint="eastAsia" w:cs="Times New Roman"/>
                      <w:color w:val="000000" w:themeColor="text1"/>
                      <w:sz w:val="21"/>
                      <w:szCs w:val="21"/>
                      <w:lang w:val="en-US" w:eastAsia="zh-CN"/>
                    </w:rPr>
                    <w:t>5</w:t>
                  </w:r>
                </w:p>
              </w:tc>
              <w:tc>
                <w:tcPr>
                  <w:tcW w:w="1051" w:type="dxa"/>
                  <w:tcBorders>
                    <w:tl2br w:val="nil"/>
                    <w:tr2bl w:val="nil"/>
                  </w:tcBorders>
                  <w:vAlign w:val="center"/>
                </w:tcPr>
                <w:p w14:paraId="7EED71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0.36</w:t>
                  </w:r>
                </w:p>
              </w:tc>
              <w:tc>
                <w:tcPr>
                  <w:tcW w:w="957" w:type="dxa"/>
                  <w:tcBorders>
                    <w:tl2br w:val="nil"/>
                    <w:tr2bl w:val="nil"/>
                  </w:tcBorders>
                  <w:vAlign w:val="center"/>
                </w:tcPr>
                <w:p w14:paraId="6B5C4FB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z w:val="21"/>
                      <w:szCs w:val="21"/>
                      <w:lang w:val="en-US" w:eastAsia="zh-CN"/>
                    </w:rPr>
                    <w:t>15</w:t>
                  </w:r>
                </w:p>
              </w:tc>
              <w:tc>
                <w:tcPr>
                  <w:tcW w:w="800" w:type="dxa"/>
                  <w:tcBorders>
                    <w:tl2br w:val="nil"/>
                    <w:tr2bl w:val="nil"/>
                  </w:tcBorders>
                  <w:vAlign w:val="center"/>
                </w:tcPr>
                <w:p w14:paraId="43FBB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达标</w:t>
                  </w:r>
                </w:p>
              </w:tc>
            </w:tr>
            <w:tr w14:paraId="28C88C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8" w:hRule="atLeast"/>
                <w:jc w:val="center"/>
              </w:trPr>
              <w:tc>
                <w:tcPr>
                  <w:tcW w:w="1173" w:type="dxa"/>
                  <w:vMerge w:val="continue"/>
                  <w:tcBorders>
                    <w:tl2br w:val="nil"/>
                    <w:tr2bl w:val="nil"/>
                  </w:tcBorders>
                  <w:vAlign w:val="center"/>
                </w:tcPr>
                <w:p w14:paraId="7C9CA1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vMerge w:val="continue"/>
                  <w:tcBorders>
                    <w:tl2br w:val="nil"/>
                    <w:tr2bl w:val="nil"/>
                  </w:tcBorders>
                  <w:vAlign w:val="center"/>
                </w:tcPr>
                <w:p w14:paraId="544232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tcBorders>
                    <w:tl2br w:val="nil"/>
                    <w:tr2bl w:val="nil"/>
                  </w:tcBorders>
                  <w:vAlign w:val="center"/>
                </w:tcPr>
                <w:p w14:paraId="54EA22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SO2</w:t>
                  </w:r>
                </w:p>
              </w:tc>
              <w:tc>
                <w:tcPr>
                  <w:tcW w:w="1061" w:type="dxa"/>
                  <w:tcBorders>
                    <w:tl2br w:val="nil"/>
                    <w:tr2bl w:val="nil"/>
                  </w:tcBorders>
                  <w:vAlign w:val="center"/>
                </w:tcPr>
                <w:p w14:paraId="28C08C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cs="Times New Roman"/>
                      <w:color w:val="000000" w:themeColor="text1"/>
                      <w:spacing w:val="-1"/>
                      <w:sz w:val="21"/>
                      <w:szCs w:val="21"/>
                      <w:lang w:val="en-US" w:eastAsia="zh-CN"/>
                    </w:rPr>
                    <w:t>0.35</w:t>
                  </w:r>
                </w:p>
              </w:tc>
              <w:tc>
                <w:tcPr>
                  <w:tcW w:w="883" w:type="dxa"/>
                  <w:tcBorders>
                    <w:tl2br w:val="nil"/>
                    <w:tr2bl w:val="nil"/>
                  </w:tcBorders>
                  <w:vAlign w:val="center"/>
                </w:tcPr>
                <w:p w14:paraId="6AB1DB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pacing w:val="-1"/>
                      <w:sz w:val="21"/>
                      <w:szCs w:val="21"/>
                      <w:lang w:val="en-US" w:eastAsia="zh-CN"/>
                    </w:rPr>
                    <w:t>0.007</w:t>
                  </w:r>
                </w:p>
              </w:tc>
              <w:tc>
                <w:tcPr>
                  <w:tcW w:w="1051" w:type="dxa"/>
                  <w:tcBorders>
                    <w:tl2br w:val="nil"/>
                    <w:tr2bl w:val="nil"/>
                  </w:tcBorders>
                  <w:vAlign w:val="center"/>
                </w:tcPr>
                <w:p w14:paraId="0A2349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1.6</w:t>
                  </w:r>
                </w:p>
              </w:tc>
              <w:tc>
                <w:tcPr>
                  <w:tcW w:w="957" w:type="dxa"/>
                  <w:tcBorders>
                    <w:tl2br w:val="nil"/>
                    <w:tr2bl w:val="nil"/>
                  </w:tcBorders>
                  <w:vAlign w:val="center"/>
                </w:tcPr>
                <w:p w14:paraId="07A692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pacing w:val="-10"/>
                      <w:sz w:val="21"/>
                      <w:szCs w:val="21"/>
                      <w:lang w:val="en-US" w:eastAsia="zh-CN"/>
                    </w:rPr>
                    <w:t>200</w:t>
                  </w:r>
                </w:p>
              </w:tc>
              <w:tc>
                <w:tcPr>
                  <w:tcW w:w="800" w:type="dxa"/>
                  <w:tcBorders>
                    <w:tl2br w:val="nil"/>
                    <w:tr2bl w:val="nil"/>
                  </w:tcBorders>
                  <w:vAlign w:val="center"/>
                </w:tcPr>
                <w:p w14:paraId="0F70ED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达标</w:t>
                  </w:r>
                </w:p>
              </w:tc>
            </w:tr>
            <w:tr w14:paraId="1B725C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173" w:type="dxa"/>
                  <w:vMerge w:val="continue"/>
                  <w:tcBorders>
                    <w:tl2br w:val="nil"/>
                    <w:tr2bl w:val="nil"/>
                  </w:tcBorders>
                  <w:vAlign w:val="center"/>
                </w:tcPr>
                <w:p w14:paraId="345842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vMerge w:val="continue"/>
                  <w:tcBorders>
                    <w:tl2br w:val="nil"/>
                    <w:tr2bl w:val="nil"/>
                  </w:tcBorders>
                  <w:vAlign w:val="center"/>
                </w:tcPr>
                <w:p w14:paraId="4F440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tcBorders>
                    <w:tl2br w:val="nil"/>
                    <w:tr2bl w:val="nil"/>
                  </w:tcBorders>
                  <w:vAlign w:val="center"/>
                </w:tcPr>
                <w:p w14:paraId="417789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NOx</w:t>
                  </w:r>
                </w:p>
              </w:tc>
              <w:tc>
                <w:tcPr>
                  <w:tcW w:w="1061" w:type="dxa"/>
                  <w:tcBorders>
                    <w:tl2br w:val="nil"/>
                    <w:tr2bl w:val="nil"/>
                  </w:tcBorders>
                  <w:vAlign w:val="center"/>
                </w:tcPr>
                <w:p w14:paraId="3F36E94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cs="Times New Roman"/>
                      <w:color w:val="000000" w:themeColor="text1"/>
                      <w:spacing w:val="-1"/>
                      <w:sz w:val="21"/>
                      <w:szCs w:val="21"/>
                      <w:lang w:val="en-US" w:eastAsia="zh-CN"/>
                    </w:rPr>
                    <w:t>1.55</w:t>
                  </w:r>
                </w:p>
              </w:tc>
              <w:tc>
                <w:tcPr>
                  <w:tcW w:w="883" w:type="dxa"/>
                  <w:tcBorders>
                    <w:tl2br w:val="nil"/>
                    <w:tr2bl w:val="nil"/>
                  </w:tcBorders>
                  <w:vAlign w:val="center"/>
                </w:tcPr>
                <w:p w14:paraId="490FE72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pacing w:val="-1"/>
                      <w:sz w:val="21"/>
                      <w:szCs w:val="21"/>
                      <w:lang w:val="en-US" w:eastAsia="zh-CN"/>
                    </w:rPr>
                    <w:t>0.031</w:t>
                  </w:r>
                </w:p>
              </w:tc>
              <w:tc>
                <w:tcPr>
                  <w:tcW w:w="1051" w:type="dxa"/>
                  <w:tcBorders>
                    <w:tl2br w:val="nil"/>
                    <w:tr2bl w:val="nil"/>
                  </w:tcBorders>
                  <w:vAlign w:val="center"/>
                </w:tcPr>
                <w:p w14:paraId="5B9D6C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color w:val="000000" w:themeColor="text1"/>
                      <w:spacing w:val="-2"/>
                      <w:sz w:val="21"/>
                      <w:szCs w:val="21"/>
                      <w:lang w:val="en-US" w:eastAsia="zh-CN"/>
                    </w:rPr>
                    <w:t>0.47</w:t>
                  </w:r>
                </w:p>
              </w:tc>
              <w:tc>
                <w:tcPr>
                  <w:tcW w:w="957" w:type="dxa"/>
                  <w:tcBorders>
                    <w:tl2br w:val="nil"/>
                    <w:tr2bl w:val="nil"/>
                  </w:tcBorders>
                  <w:vAlign w:val="center"/>
                </w:tcPr>
                <w:p w14:paraId="405D1DC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pacing w:val="-10"/>
                      <w:sz w:val="21"/>
                      <w:szCs w:val="21"/>
                      <w:lang w:val="en-US" w:eastAsia="zh-CN"/>
                    </w:rPr>
                    <w:t>200</w:t>
                  </w:r>
                </w:p>
              </w:tc>
              <w:tc>
                <w:tcPr>
                  <w:tcW w:w="800" w:type="dxa"/>
                  <w:tcBorders>
                    <w:tl2br w:val="nil"/>
                    <w:tr2bl w:val="nil"/>
                  </w:tcBorders>
                  <w:vAlign w:val="center"/>
                </w:tcPr>
                <w:p w14:paraId="122901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达标</w:t>
                  </w:r>
                </w:p>
              </w:tc>
            </w:tr>
            <w:tr w14:paraId="418BE4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173" w:type="dxa"/>
                  <w:vMerge w:val="restart"/>
                  <w:tcBorders>
                    <w:tl2br w:val="nil"/>
                    <w:tr2bl w:val="nil"/>
                  </w:tcBorders>
                  <w:vAlign w:val="center"/>
                </w:tcPr>
                <w:p w14:paraId="732F9C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DA002</w:t>
                  </w:r>
                </w:p>
              </w:tc>
              <w:tc>
                <w:tcPr>
                  <w:tcW w:w="976" w:type="dxa"/>
                  <w:vMerge w:val="restart"/>
                  <w:tcBorders>
                    <w:tl2br w:val="nil"/>
                    <w:tr2bl w:val="nil"/>
                  </w:tcBorders>
                  <w:vAlign w:val="center"/>
                </w:tcPr>
                <w:p w14:paraId="787D4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eastAsia" w:cs="Times New Roman"/>
                      <w:b w:val="0"/>
                      <w:bCs w:val="0"/>
                      <w:color w:val="000000" w:themeColor="text1"/>
                      <w:sz w:val="21"/>
                      <w:szCs w:val="21"/>
                      <w:lang w:val="en-US" w:eastAsia="zh-CN"/>
                    </w:rPr>
                    <w:t>30</w:t>
                  </w:r>
                  <w:r>
                    <w:rPr>
                      <w:rFonts w:hint="eastAsia" w:ascii="Times New Roman" w:hAnsi="Times New Roman" w:eastAsia="宋体" w:cs="Times New Roman"/>
                      <w:b w:val="0"/>
                      <w:bCs w:val="0"/>
                      <w:color w:val="000000" w:themeColor="text1"/>
                      <w:sz w:val="21"/>
                      <w:szCs w:val="21"/>
                      <w:lang w:val="en-US" w:eastAsia="zh-CN"/>
                    </w:rPr>
                    <w:t>000</w:t>
                  </w:r>
                </w:p>
              </w:tc>
              <w:tc>
                <w:tcPr>
                  <w:tcW w:w="976" w:type="dxa"/>
                  <w:tcBorders>
                    <w:tl2br w:val="nil"/>
                    <w:tr2bl w:val="nil"/>
                  </w:tcBorders>
                  <w:vAlign w:val="center"/>
                </w:tcPr>
                <w:p w14:paraId="33C259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颗粒物</w:t>
                  </w:r>
                </w:p>
              </w:tc>
              <w:tc>
                <w:tcPr>
                  <w:tcW w:w="1061" w:type="dxa"/>
                  <w:tcBorders>
                    <w:tl2br w:val="nil"/>
                    <w:tr2bl w:val="nil"/>
                  </w:tcBorders>
                  <w:vAlign w:val="center"/>
                </w:tcPr>
                <w:p w14:paraId="67F58C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cs="Times New Roman"/>
                      <w:color w:val="000000" w:themeColor="text1"/>
                      <w:sz w:val="21"/>
                      <w:szCs w:val="21"/>
                      <w:lang w:val="en-US" w:eastAsia="zh-CN"/>
                    </w:rPr>
                    <w:t>2.2</w:t>
                  </w:r>
                </w:p>
              </w:tc>
              <w:tc>
                <w:tcPr>
                  <w:tcW w:w="883" w:type="dxa"/>
                  <w:tcBorders>
                    <w:tl2br w:val="nil"/>
                    <w:tr2bl w:val="nil"/>
                  </w:tcBorders>
                  <w:vAlign w:val="center"/>
                </w:tcPr>
                <w:p w14:paraId="66F6AA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w:t>
                  </w:r>
                  <w:r>
                    <w:rPr>
                      <w:rFonts w:hint="eastAsia" w:cs="Times New Roman"/>
                      <w:color w:val="000000" w:themeColor="text1"/>
                      <w:sz w:val="21"/>
                      <w:szCs w:val="21"/>
                      <w:lang w:val="en-US" w:eastAsia="zh-CN"/>
                    </w:rPr>
                    <w:t>66</w:t>
                  </w:r>
                </w:p>
              </w:tc>
              <w:tc>
                <w:tcPr>
                  <w:tcW w:w="1051" w:type="dxa"/>
                  <w:tcBorders>
                    <w:tl2br w:val="nil"/>
                    <w:tr2bl w:val="nil"/>
                  </w:tcBorders>
                  <w:vAlign w:val="center"/>
                </w:tcPr>
                <w:p w14:paraId="512B394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0.36</w:t>
                  </w:r>
                </w:p>
              </w:tc>
              <w:tc>
                <w:tcPr>
                  <w:tcW w:w="957" w:type="dxa"/>
                  <w:tcBorders>
                    <w:tl2br w:val="nil"/>
                    <w:tr2bl w:val="nil"/>
                  </w:tcBorders>
                  <w:vAlign w:val="center"/>
                </w:tcPr>
                <w:p w14:paraId="03B731D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z w:val="21"/>
                      <w:szCs w:val="21"/>
                      <w:lang w:val="en-US" w:eastAsia="zh-CN"/>
                    </w:rPr>
                    <w:t>15</w:t>
                  </w:r>
                </w:p>
              </w:tc>
              <w:tc>
                <w:tcPr>
                  <w:tcW w:w="800" w:type="dxa"/>
                  <w:tcBorders>
                    <w:tl2br w:val="nil"/>
                    <w:tr2bl w:val="nil"/>
                  </w:tcBorders>
                  <w:vAlign w:val="center"/>
                </w:tcPr>
                <w:p w14:paraId="48C6DE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达标</w:t>
                  </w:r>
                </w:p>
              </w:tc>
            </w:tr>
            <w:tr w14:paraId="4BF9E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173" w:type="dxa"/>
                  <w:vMerge w:val="continue"/>
                  <w:tcBorders>
                    <w:tl2br w:val="nil"/>
                    <w:tr2bl w:val="nil"/>
                  </w:tcBorders>
                  <w:vAlign w:val="center"/>
                </w:tcPr>
                <w:p w14:paraId="11EDAA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vMerge w:val="continue"/>
                  <w:tcBorders>
                    <w:tl2br w:val="nil"/>
                    <w:tr2bl w:val="nil"/>
                  </w:tcBorders>
                  <w:vAlign w:val="center"/>
                </w:tcPr>
                <w:p w14:paraId="5A02D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p>
              </w:tc>
              <w:tc>
                <w:tcPr>
                  <w:tcW w:w="976" w:type="dxa"/>
                  <w:tcBorders>
                    <w:tl2br w:val="nil"/>
                    <w:tr2bl w:val="nil"/>
                  </w:tcBorders>
                  <w:vAlign w:val="center"/>
                </w:tcPr>
                <w:p w14:paraId="509C1A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rPr>
                    <w:t>非甲烷总烃</w:t>
                  </w:r>
                </w:p>
              </w:tc>
              <w:tc>
                <w:tcPr>
                  <w:tcW w:w="1061" w:type="dxa"/>
                  <w:tcBorders>
                    <w:tl2br w:val="nil"/>
                    <w:tr2bl w:val="nil"/>
                  </w:tcBorders>
                  <w:vAlign w:val="center"/>
                </w:tcPr>
                <w:p w14:paraId="2E59E48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cs="Times New Roman"/>
                      <w:color w:val="000000" w:themeColor="text1"/>
                      <w:sz w:val="21"/>
                      <w:szCs w:val="21"/>
                      <w:lang w:val="en-US" w:eastAsia="zh-CN"/>
                    </w:rPr>
                    <w:t>14.63</w:t>
                  </w:r>
                </w:p>
              </w:tc>
              <w:tc>
                <w:tcPr>
                  <w:tcW w:w="883" w:type="dxa"/>
                  <w:tcBorders>
                    <w:tl2br w:val="nil"/>
                    <w:tr2bl w:val="nil"/>
                  </w:tcBorders>
                  <w:vAlign w:val="center"/>
                </w:tcPr>
                <w:p w14:paraId="2BB500C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0.439</w:t>
                  </w:r>
                </w:p>
              </w:tc>
              <w:tc>
                <w:tcPr>
                  <w:tcW w:w="1051" w:type="dxa"/>
                  <w:tcBorders>
                    <w:tl2br w:val="nil"/>
                    <w:tr2bl w:val="nil"/>
                  </w:tcBorders>
                  <w:vAlign w:val="center"/>
                </w:tcPr>
                <w:p w14:paraId="3F0FC87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rPr>
                    <w:t>/</w:t>
                  </w:r>
                </w:p>
              </w:tc>
              <w:tc>
                <w:tcPr>
                  <w:tcW w:w="957" w:type="dxa"/>
                  <w:tcBorders>
                    <w:tl2br w:val="nil"/>
                    <w:tr2bl w:val="nil"/>
                  </w:tcBorders>
                  <w:vAlign w:val="center"/>
                </w:tcPr>
                <w:p w14:paraId="6EA4555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宋体" w:cs="Times New Roman"/>
                      <w:b w:val="0"/>
                      <w:bCs w:val="0"/>
                      <w:color w:val="000000" w:themeColor="text1"/>
                      <w:sz w:val="21"/>
                      <w:szCs w:val="21"/>
                    </w:rPr>
                  </w:pPr>
                  <w:r>
                    <w:rPr>
                      <w:rFonts w:hint="eastAsia" w:ascii="Times New Roman" w:hAnsi="Times New Roman" w:eastAsia="宋体" w:cs="Times New Roman"/>
                      <w:color w:val="000000" w:themeColor="text1"/>
                      <w:sz w:val="21"/>
                      <w:szCs w:val="21"/>
                      <w:lang w:val="en-US" w:eastAsia="zh-CN"/>
                    </w:rPr>
                    <w:t>20</w:t>
                  </w:r>
                </w:p>
              </w:tc>
              <w:tc>
                <w:tcPr>
                  <w:tcW w:w="800" w:type="dxa"/>
                  <w:tcBorders>
                    <w:tl2br w:val="nil"/>
                    <w:tr2bl w:val="nil"/>
                  </w:tcBorders>
                  <w:vAlign w:val="center"/>
                </w:tcPr>
                <w:p w14:paraId="3276B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val="0"/>
                      <w:bCs w:val="0"/>
                      <w:color w:val="000000" w:themeColor="text1"/>
                      <w:sz w:val="21"/>
                      <w:szCs w:val="21"/>
                    </w:rPr>
                  </w:pPr>
                  <w:r>
                    <w:rPr>
                      <w:rFonts w:ascii="Times New Roman" w:hAnsi="Times New Roman" w:eastAsia="宋体" w:cs="Times New Roman"/>
                      <w:b w:val="0"/>
                      <w:bCs w:val="0"/>
                      <w:color w:val="000000" w:themeColor="text1"/>
                      <w:sz w:val="21"/>
                      <w:szCs w:val="21"/>
                    </w:rPr>
                    <w:t>达标</w:t>
                  </w:r>
                </w:p>
              </w:tc>
            </w:tr>
          </w:tbl>
          <w:p w14:paraId="24040EB1">
            <w:pPr>
              <w:adjustRightInd w:val="0"/>
              <w:snapToGrid w:val="0"/>
              <w:ind w:firstLine="480"/>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本项目废气经处理后排放满足相关污染物排放浓度限值，对周边大气环境影响较小。</w:t>
            </w:r>
          </w:p>
          <w:p w14:paraId="1DAA0376">
            <w:pPr>
              <w:pStyle w:val="170"/>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color w:val="000000" w:themeColor="text1"/>
                <w:spacing w:val="-4"/>
              </w:rPr>
            </w:pPr>
            <w:r>
              <w:rPr>
                <w:color w:val="000000" w:themeColor="text1"/>
              </w:rPr>
              <w:object>
                <v:shape id="_x0000_i1039" o:spt="75" type="#_x0000_t75" style="height:147pt;width:323.6pt;" o:ole="t" filled="f" o:preferrelative="t" stroked="f" coordsize="21600,21600">
                  <v:path/>
                  <v:fill on="f" focussize="0,0"/>
                  <v:stroke on="f"/>
                  <v:imagedata r:id="rId47" o:title=""/>
                  <o:lock v:ext="edit" aspectratio="t"/>
                  <w10:wrap type="none"/>
                  <w10:anchorlock/>
                </v:shape>
                <o:OLEObject Type="Embed" ProgID="Visio.Drawing.15" ShapeID="_x0000_i1039" DrawAspect="Content" ObjectID="_1468075739" r:id="rId46">
                  <o:LockedField>false</o:LockedField>
                </o:OLEObject>
              </w:object>
            </w:r>
          </w:p>
          <w:p w14:paraId="5348C242">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图 4-1 废气收集管线示意图</w:t>
            </w:r>
          </w:p>
          <w:p w14:paraId="79CF4624">
            <w:pPr>
              <w:ind w:firstLine="482"/>
              <w:rPr>
                <w:rFonts w:ascii="Times New Roman" w:hAnsi="Times New Roman" w:eastAsia="宋体" w:cs="Times New Roman"/>
                <w:b/>
                <w:bCs/>
                <w:color w:val="000000" w:themeColor="text1"/>
              </w:rPr>
            </w:pPr>
            <w:r>
              <w:rPr>
                <w:rFonts w:hint="eastAsia" w:ascii="Times New Roman" w:hAnsi="Times New Roman" w:eastAsia="宋体" w:cs="Times New Roman"/>
                <w:b/>
                <w:bCs/>
                <w:color w:val="000000" w:themeColor="text1"/>
                <w:kern w:val="2"/>
                <w:sz w:val="24"/>
                <w:szCs w:val="24"/>
                <w:lang w:val="en-US" w:eastAsia="zh-CN"/>
              </w:rPr>
              <w:t>2.3</w:t>
            </w:r>
            <w:r>
              <w:rPr>
                <w:rFonts w:ascii="Times New Roman" w:hAnsi="Times New Roman" w:eastAsia="宋体" w:cs="Times New Roman"/>
                <w:b/>
                <w:bCs/>
                <w:color w:val="000000" w:themeColor="text1"/>
              </w:rPr>
              <w:t>废气污染防治设施可行性分析</w:t>
            </w:r>
          </w:p>
          <w:p w14:paraId="2BB9D045">
            <w:pPr>
              <w:ind w:firstLine="482"/>
              <w:rPr>
                <w:rFonts w:ascii="Times New Roman" w:hAnsi="Times New Roman" w:eastAsia="宋体" w:cs="Times New Roman"/>
                <w:b/>
                <w:bCs/>
                <w:color w:val="000000" w:themeColor="text1"/>
              </w:rPr>
            </w:pPr>
            <w:r>
              <w:rPr>
                <w:rFonts w:hint="eastAsia" w:ascii="Times New Roman" w:hAnsi="Times New Roman" w:eastAsia="宋体" w:cs="Times New Roman"/>
                <w:b/>
                <w:bCs/>
                <w:color w:val="000000" w:themeColor="text1"/>
                <w:lang w:val="en-US" w:eastAsia="zh-CN"/>
              </w:rPr>
              <w:t>2.3</w:t>
            </w:r>
            <w:r>
              <w:rPr>
                <w:rFonts w:ascii="Times New Roman" w:hAnsi="Times New Roman" w:eastAsia="宋体" w:cs="Times New Roman"/>
                <w:b/>
                <w:bCs/>
                <w:color w:val="000000" w:themeColor="text1"/>
              </w:rPr>
              <w:t>.</w:t>
            </w:r>
            <w:r>
              <w:rPr>
                <w:rFonts w:hint="eastAsia" w:ascii="Times New Roman" w:hAnsi="Times New Roman" w:eastAsia="宋体" w:cs="Times New Roman"/>
                <w:b/>
                <w:bCs/>
                <w:color w:val="000000" w:themeColor="text1"/>
                <w:lang w:val="en-US" w:eastAsia="zh-CN"/>
              </w:rPr>
              <w:t>1</w:t>
            </w:r>
            <w:r>
              <w:rPr>
                <w:rFonts w:ascii="Times New Roman" w:hAnsi="Times New Roman" w:eastAsia="宋体" w:cs="Times New Roman"/>
                <w:b/>
                <w:bCs/>
                <w:color w:val="000000" w:themeColor="text1"/>
              </w:rPr>
              <w:t xml:space="preserve"> 是否为可行性技术</w:t>
            </w:r>
          </w:p>
          <w:p w14:paraId="0EDE2FFB">
            <w:pPr>
              <w:keepNext w:val="0"/>
              <w:keepLines w:val="0"/>
              <w:widowControl/>
              <w:suppressLineNumbers w:val="0"/>
              <w:jc w:val="both"/>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参照《排污许可证申请与核发技术规范 废弃资源加工工业》（HJ 1034-2019）中“表26 其他废弃资源加工工业排污单位废气产排污环节名称、污染物种类、排放形式及污染防治设施一览表”，袋式除尘技术可作为颗粒物的可行性除尘技术，根据《排污许可证申请与核发技术规范 橡胶和塑料制品工业》 （HJ 1122-2020）中“表7 简化管理排污单位废气产排污环节名称、污染物种类、排放形式及污染防治设施一览表”，除尘、喷淋、吸附、热力燃烧、催化燃烧、低温等离子体、</w:t>
            </w:r>
            <w:r>
              <w:rPr>
                <w:rFonts w:hint="default" w:ascii="Times New Roman" w:hAnsi="Times New Roman" w:eastAsia="宋体" w:cs="Times New Roman"/>
                <w:color w:val="000000" w:themeColor="text1"/>
                <w:lang w:val="en-US" w:eastAsia="zh-CN"/>
              </w:rPr>
              <w:t>UV</w:t>
            </w:r>
            <w:r>
              <w:rPr>
                <w:rFonts w:hint="eastAsia" w:ascii="Times New Roman" w:hAnsi="Times New Roman" w:eastAsia="宋体" w:cs="Times New Roman"/>
                <w:color w:val="000000" w:themeColor="text1"/>
                <w:lang w:val="en-US" w:eastAsia="zh-CN"/>
              </w:rPr>
              <w:t>光氧化</w:t>
            </w:r>
            <w:r>
              <w:rPr>
                <w:rFonts w:hint="default" w:ascii="Times New Roman" w:hAnsi="Times New Roman" w:eastAsia="宋体" w:cs="Times New Roman"/>
                <w:color w:val="000000" w:themeColor="text1"/>
                <w:lang w:val="en-US" w:eastAsia="zh-CN"/>
              </w:rPr>
              <w:t>/</w:t>
            </w:r>
            <w:r>
              <w:rPr>
                <w:rFonts w:hint="eastAsia" w:ascii="Times New Roman" w:hAnsi="Times New Roman" w:eastAsia="宋体" w:cs="Times New Roman"/>
                <w:color w:val="000000" w:themeColor="text1"/>
                <w:lang w:val="en-US" w:eastAsia="zh-CN"/>
              </w:rPr>
              <w:t>光催化、生物法、以上组合技术均可作为废气处理措施。故本项目采用布袋除尘器治理混合搅拌过程中产生的粉尘是可行的，采用冷凝+二级活性炭吸附处理挤出废气是可行的。</w:t>
            </w:r>
          </w:p>
          <w:p w14:paraId="69F63377">
            <w:pPr>
              <w:ind w:firstLine="482"/>
              <w:rPr>
                <w:rFonts w:ascii="Times New Roman" w:hAnsi="Times New Roman" w:eastAsia="宋体" w:cs="Times New Roman"/>
                <w:b/>
                <w:bCs/>
                <w:color w:val="000000" w:themeColor="text1"/>
              </w:rPr>
            </w:pPr>
            <w:r>
              <w:rPr>
                <w:rFonts w:ascii="Times New Roman" w:hAnsi="Times New Roman" w:eastAsia="宋体" w:cs="Times New Roman"/>
                <w:b/>
                <w:bCs/>
                <w:color w:val="000000" w:themeColor="text1"/>
              </w:rPr>
              <w:t>1.</w:t>
            </w:r>
            <w:r>
              <w:rPr>
                <w:rFonts w:hint="eastAsia" w:ascii="Times New Roman" w:hAnsi="Times New Roman" w:eastAsia="宋体" w:cs="Times New Roman"/>
                <w:b/>
                <w:bCs/>
                <w:color w:val="000000" w:themeColor="text1"/>
                <w:lang w:val="en-US" w:eastAsia="zh-CN"/>
              </w:rPr>
              <w:t>4</w:t>
            </w:r>
            <w:r>
              <w:rPr>
                <w:rFonts w:ascii="Times New Roman" w:hAnsi="Times New Roman" w:eastAsia="宋体" w:cs="Times New Roman"/>
                <w:b/>
                <w:bCs/>
                <w:color w:val="000000" w:themeColor="text1"/>
              </w:rPr>
              <w:t>.</w:t>
            </w:r>
            <w:r>
              <w:rPr>
                <w:rFonts w:hint="eastAsia" w:ascii="Times New Roman" w:hAnsi="Times New Roman" w:eastAsia="宋体" w:cs="Times New Roman"/>
                <w:b/>
                <w:bCs/>
                <w:color w:val="000000" w:themeColor="text1"/>
                <w:lang w:val="en-US" w:eastAsia="zh-CN"/>
              </w:rPr>
              <w:t>2</w:t>
            </w:r>
            <w:r>
              <w:rPr>
                <w:rFonts w:ascii="Times New Roman" w:hAnsi="Times New Roman" w:eastAsia="宋体" w:cs="Times New Roman"/>
                <w:b/>
                <w:bCs/>
                <w:color w:val="000000" w:themeColor="text1"/>
              </w:rPr>
              <w:t>排气筒设置合理性分析</w:t>
            </w:r>
          </w:p>
          <w:p w14:paraId="63BFC4F2">
            <w:pPr>
              <w:adjustRightInd w:val="0"/>
              <w:snapToGrid w:val="0"/>
              <w:ind w:firstLine="480"/>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en-US"/>
              </w:rPr>
              <w:t>本项目排气筒设置情况及排放参数如下表所</w:t>
            </w:r>
            <w:r>
              <w:rPr>
                <w:rFonts w:hint="eastAsia" w:ascii="Times New Roman" w:hAnsi="Times New Roman" w:eastAsia="宋体" w:cs="Times New Roman"/>
                <w:color w:val="000000" w:themeColor="text1"/>
                <w:lang w:val="en-US" w:eastAsia="zh-CN"/>
              </w:rPr>
              <w:t>示。</w:t>
            </w:r>
          </w:p>
          <w:p w14:paraId="057CD2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eastAsia="宋体" w:cs="Times New Roman"/>
                <w:b/>
                <w:bCs/>
                <w:color w:val="000000" w:themeColor="text1"/>
                <w:sz w:val="21"/>
                <w:szCs w:val="21"/>
              </w:rPr>
            </w:pPr>
            <w:r>
              <w:rPr>
                <w:rFonts w:ascii="Times New Roman" w:hAnsi="Times New Roman" w:eastAsia="宋体" w:cs="Times New Roman"/>
                <w:b/>
                <w:bCs/>
                <w:color w:val="000000" w:themeColor="text1"/>
                <w:sz w:val="21"/>
                <w:szCs w:val="21"/>
              </w:rPr>
              <w:t>表 4-</w:t>
            </w:r>
            <w:r>
              <w:rPr>
                <w:rFonts w:hint="eastAsia" w:ascii="Times New Roman" w:hAnsi="Times New Roman" w:eastAsia="宋体" w:cs="Times New Roman"/>
                <w:b/>
                <w:bCs/>
                <w:color w:val="000000" w:themeColor="text1"/>
                <w:sz w:val="21"/>
                <w:szCs w:val="21"/>
                <w:lang w:val="en-US" w:eastAsia="zh-CN"/>
              </w:rPr>
              <w:t>1</w:t>
            </w:r>
            <w:r>
              <w:rPr>
                <w:rFonts w:hint="eastAsia" w:cs="Times New Roman"/>
                <w:b/>
                <w:bCs/>
                <w:color w:val="000000" w:themeColor="text1"/>
                <w:sz w:val="21"/>
                <w:szCs w:val="21"/>
                <w:lang w:val="en-US" w:eastAsia="zh-CN"/>
              </w:rPr>
              <w:t>1</w:t>
            </w:r>
            <w:r>
              <w:rPr>
                <w:rFonts w:ascii="Times New Roman" w:hAnsi="Times New Roman" w:eastAsia="宋体" w:cs="Times New Roman"/>
                <w:b/>
                <w:bCs/>
                <w:color w:val="000000" w:themeColor="text1"/>
                <w:sz w:val="21"/>
                <w:szCs w:val="21"/>
              </w:rPr>
              <w:t xml:space="preserve">   本项目排气筒设置情况及排放参数表</w:t>
            </w:r>
          </w:p>
          <w:tbl>
            <w:tblPr>
              <w:tblStyle w:val="131"/>
              <w:tblW w:w="81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370"/>
              <w:gridCol w:w="909"/>
              <w:gridCol w:w="937"/>
              <w:gridCol w:w="979"/>
              <w:gridCol w:w="927"/>
              <w:gridCol w:w="928"/>
              <w:gridCol w:w="1073"/>
            </w:tblGrid>
            <w:tr w14:paraId="176A9C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23" w:hRule="atLeast"/>
                <w:jc w:val="center"/>
              </w:trPr>
              <w:tc>
                <w:tcPr>
                  <w:tcW w:w="1074" w:type="dxa"/>
                  <w:tcBorders>
                    <w:tl2br w:val="nil"/>
                    <w:tr2bl w:val="nil"/>
                  </w:tcBorders>
                  <w:vAlign w:val="center"/>
                </w:tcPr>
                <w:p w14:paraId="0865222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排气筒编号</w:t>
                  </w:r>
                </w:p>
              </w:tc>
              <w:tc>
                <w:tcPr>
                  <w:tcW w:w="1370" w:type="dxa"/>
                  <w:tcBorders>
                    <w:tl2br w:val="nil"/>
                    <w:tr2bl w:val="nil"/>
                  </w:tcBorders>
                  <w:vAlign w:val="center"/>
                </w:tcPr>
                <w:p w14:paraId="0B8913B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排放源</w:t>
                  </w:r>
                </w:p>
              </w:tc>
              <w:tc>
                <w:tcPr>
                  <w:tcW w:w="909" w:type="dxa"/>
                  <w:tcBorders>
                    <w:tl2br w:val="nil"/>
                    <w:tr2bl w:val="nil"/>
                  </w:tcBorders>
                  <w:vAlign w:val="center"/>
                </w:tcPr>
                <w:p w14:paraId="654C188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污染物</w:t>
                  </w:r>
                </w:p>
              </w:tc>
              <w:tc>
                <w:tcPr>
                  <w:tcW w:w="937" w:type="dxa"/>
                  <w:tcBorders>
                    <w:tl2br w:val="nil"/>
                    <w:tr2bl w:val="nil"/>
                  </w:tcBorders>
                  <w:vAlign w:val="center"/>
                </w:tcPr>
                <w:p w14:paraId="534A49F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排气筒</w:t>
                  </w:r>
                </w:p>
                <w:p w14:paraId="65FD544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高度 m</w:t>
                  </w:r>
                </w:p>
              </w:tc>
              <w:tc>
                <w:tcPr>
                  <w:tcW w:w="979" w:type="dxa"/>
                  <w:tcBorders>
                    <w:tl2br w:val="nil"/>
                    <w:tr2bl w:val="nil"/>
                  </w:tcBorders>
                  <w:vAlign w:val="center"/>
                </w:tcPr>
                <w:p w14:paraId="79CDA49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排气筒</w:t>
                  </w:r>
                </w:p>
                <w:p w14:paraId="51E2913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内径 m</w:t>
                  </w:r>
                </w:p>
              </w:tc>
              <w:tc>
                <w:tcPr>
                  <w:tcW w:w="927" w:type="dxa"/>
                  <w:tcBorders>
                    <w:tl2br w:val="nil"/>
                    <w:tr2bl w:val="nil"/>
                  </w:tcBorders>
                  <w:vAlign w:val="center"/>
                </w:tcPr>
                <w:p w14:paraId="40F789F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排气量m</w:t>
                  </w:r>
                  <w:r>
                    <w:rPr>
                      <w:rFonts w:hint="default" w:ascii="Times New Roman" w:hAnsi="Times New Roman" w:eastAsia="宋体" w:cs="Times New Roman"/>
                      <w:b/>
                      <w:bCs/>
                      <w:color w:val="000000" w:themeColor="text1"/>
                      <w:spacing w:val="3"/>
                      <w:sz w:val="21"/>
                      <w:szCs w:val="21"/>
                      <w:vertAlign w:val="superscript"/>
                    </w:rPr>
                    <w:t>3</w:t>
                  </w:r>
                  <w:r>
                    <w:rPr>
                      <w:rFonts w:hint="default" w:ascii="Times New Roman" w:hAnsi="Times New Roman" w:eastAsia="宋体" w:cs="Times New Roman"/>
                      <w:b/>
                      <w:bCs/>
                      <w:color w:val="000000" w:themeColor="text1"/>
                      <w:spacing w:val="3"/>
                      <w:sz w:val="21"/>
                      <w:szCs w:val="21"/>
                    </w:rPr>
                    <w:t>/h</w:t>
                  </w:r>
                </w:p>
              </w:tc>
              <w:tc>
                <w:tcPr>
                  <w:tcW w:w="928" w:type="dxa"/>
                  <w:tcBorders>
                    <w:tl2br w:val="nil"/>
                    <w:tr2bl w:val="nil"/>
                  </w:tcBorders>
                  <w:vAlign w:val="center"/>
                </w:tcPr>
                <w:p w14:paraId="482EC7D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烟气温度℃</w:t>
                  </w:r>
                </w:p>
              </w:tc>
              <w:tc>
                <w:tcPr>
                  <w:tcW w:w="1073" w:type="dxa"/>
                  <w:tcBorders>
                    <w:tl2br w:val="nil"/>
                    <w:tr2bl w:val="nil"/>
                  </w:tcBorders>
                  <w:vAlign w:val="center"/>
                </w:tcPr>
                <w:p w14:paraId="0AEB4BF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烟气流速 m/s</w:t>
                  </w:r>
                </w:p>
              </w:tc>
            </w:tr>
            <w:tr w14:paraId="7208C6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074" w:type="dxa"/>
                  <w:tcBorders>
                    <w:tl2br w:val="nil"/>
                    <w:tr2bl w:val="nil"/>
                  </w:tcBorders>
                  <w:vAlign w:val="center"/>
                </w:tcPr>
                <w:p w14:paraId="653CF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ascii="Times New Roman" w:hAnsi="Times New Roman" w:eastAsia="宋体" w:cs="Times New Roman"/>
                      <w:bCs/>
                      <w:color w:val="000000" w:themeColor="text1"/>
                      <w:sz w:val="21"/>
                      <w:szCs w:val="21"/>
                      <w:lang w:val="en-US" w:eastAsia="zh-CN"/>
                    </w:rPr>
                    <w:t>DA001</w:t>
                  </w:r>
                </w:p>
              </w:tc>
              <w:tc>
                <w:tcPr>
                  <w:tcW w:w="1370" w:type="dxa"/>
                  <w:tcBorders>
                    <w:tl2br w:val="nil"/>
                    <w:tr2bl w:val="nil"/>
                  </w:tcBorders>
                  <w:vAlign w:val="center"/>
                </w:tcPr>
                <w:p w14:paraId="2ED76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rPr>
                  </w:pPr>
                  <w:r>
                    <w:rPr>
                      <w:rFonts w:hint="eastAsia" w:ascii="Times New Roman" w:hAnsi="Times New Roman" w:eastAsia="宋体" w:cs="Times New Roman"/>
                      <w:bCs/>
                      <w:color w:val="000000" w:themeColor="text1"/>
                      <w:sz w:val="21"/>
                      <w:szCs w:val="21"/>
                      <w:lang w:val="en-US" w:eastAsia="zh-CN"/>
                    </w:rPr>
                    <w:t>炭黑处理废气排放口</w:t>
                  </w:r>
                </w:p>
              </w:tc>
              <w:tc>
                <w:tcPr>
                  <w:tcW w:w="909" w:type="dxa"/>
                  <w:tcBorders>
                    <w:tl2br w:val="nil"/>
                    <w:tr2bl w:val="nil"/>
                  </w:tcBorders>
                  <w:vAlign w:val="center"/>
                </w:tcPr>
                <w:p w14:paraId="6A96A3E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default" w:ascii="Times New Roman" w:hAnsi="Times New Roman" w:eastAsia="宋体" w:cs="Times New Roman"/>
                      <w:color w:val="000000" w:themeColor="text1"/>
                      <w:spacing w:val="3"/>
                      <w:sz w:val="21"/>
                      <w:szCs w:val="21"/>
                    </w:rPr>
                    <w:t>颗粒物</w:t>
                  </w:r>
                  <w:r>
                    <w:rPr>
                      <w:rFonts w:hint="eastAsia" w:ascii="Times New Roman" w:hAnsi="Times New Roman" w:eastAsia="宋体" w:cs="Times New Roman"/>
                      <w:color w:val="000000" w:themeColor="text1"/>
                      <w:spacing w:val="3"/>
                      <w:sz w:val="21"/>
                      <w:szCs w:val="21"/>
                      <w:lang w:eastAsia="zh-CN"/>
                    </w:rPr>
                    <w:t>、</w:t>
                  </w:r>
                  <w:r>
                    <w:rPr>
                      <w:rFonts w:hint="eastAsia" w:ascii="Times New Roman" w:hAnsi="Times New Roman" w:eastAsia="宋体" w:cs="Times New Roman"/>
                      <w:color w:val="000000" w:themeColor="text1"/>
                      <w:spacing w:val="3"/>
                      <w:sz w:val="21"/>
                      <w:szCs w:val="21"/>
                      <w:lang w:val="en-US" w:eastAsia="zh-CN"/>
                    </w:rPr>
                    <w:t>SO</w:t>
                  </w:r>
                  <w:r>
                    <w:rPr>
                      <w:rFonts w:hint="eastAsia" w:ascii="Times New Roman" w:hAnsi="Times New Roman" w:eastAsia="宋体" w:cs="Times New Roman"/>
                      <w:color w:val="000000" w:themeColor="text1"/>
                      <w:spacing w:val="3"/>
                      <w:sz w:val="21"/>
                      <w:szCs w:val="21"/>
                      <w:vertAlign w:val="subscript"/>
                      <w:lang w:val="en-US" w:eastAsia="zh-CN"/>
                    </w:rPr>
                    <w:t>2</w:t>
                  </w:r>
                  <w:r>
                    <w:rPr>
                      <w:rFonts w:hint="eastAsia" w:ascii="Times New Roman" w:hAnsi="Times New Roman" w:eastAsia="宋体" w:cs="Times New Roman"/>
                      <w:color w:val="000000" w:themeColor="text1"/>
                      <w:spacing w:val="3"/>
                      <w:sz w:val="21"/>
                      <w:szCs w:val="21"/>
                      <w:lang w:val="en-US" w:eastAsia="zh-CN"/>
                    </w:rPr>
                    <w:t>、NOx</w:t>
                  </w:r>
                </w:p>
              </w:tc>
              <w:tc>
                <w:tcPr>
                  <w:tcW w:w="937" w:type="dxa"/>
                  <w:tcBorders>
                    <w:tl2br w:val="nil"/>
                    <w:tr2bl w:val="nil"/>
                  </w:tcBorders>
                  <w:vAlign w:val="center"/>
                </w:tcPr>
                <w:p w14:paraId="7A0C3E1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20</w:t>
                  </w:r>
                </w:p>
              </w:tc>
              <w:tc>
                <w:tcPr>
                  <w:tcW w:w="979" w:type="dxa"/>
                  <w:tcBorders>
                    <w:tl2br w:val="nil"/>
                    <w:tr2bl w:val="nil"/>
                  </w:tcBorders>
                  <w:vAlign w:val="center"/>
                </w:tcPr>
                <w:p w14:paraId="5862D5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8</w:t>
                  </w:r>
                </w:p>
              </w:tc>
              <w:tc>
                <w:tcPr>
                  <w:tcW w:w="927" w:type="dxa"/>
                  <w:tcBorders>
                    <w:tl2br w:val="nil"/>
                    <w:tr2bl w:val="nil"/>
                  </w:tcBorders>
                  <w:vAlign w:val="center"/>
                </w:tcPr>
                <w:p w14:paraId="7F44E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cs="Times New Roman"/>
                      <w:bCs/>
                      <w:color w:val="000000" w:themeColor="text1"/>
                      <w:sz w:val="21"/>
                      <w:szCs w:val="21"/>
                      <w:lang w:val="en-US" w:eastAsia="zh-CN"/>
                    </w:rPr>
                    <w:t>2</w:t>
                  </w:r>
                  <w:r>
                    <w:rPr>
                      <w:rFonts w:hint="eastAsia" w:ascii="Times New Roman" w:hAnsi="Times New Roman" w:eastAsia="宋体" w:cs="Times New Roman"/>
                      <w:bCs/>
                      <w:color w:val="000000" w:themeColor="text1"/>
                      <w:sz w:val="21"/>
                      <w:szCs w:val="21"/>
                      <w:lang w:val="en-US" w:eastAsia="zh-CN"/>
                    </w:rPr>
                    <w:t>0000</w:t>
                  </w:r>
                </w:p>
              </w:tc>
              <w:tc>
                <w:tcPr>
                  <w:tcW w:w="928" w:type="dxa"/>
                  <w:tcBorders>
                    <w:tl2br w:val="nil"/>
                    <w:tr2bl w:val="nil"/>
                  </w:tcBorders>
                  <w:vAlign w:val="center"/>
                </w:tcPr>
                <w:p w14:paraId="625208F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rPr>
                  </w:pPr>
                  <w:r>
                    <w:rPr>
                      <w:rFonts w:hint="default" w:ascii="Times New Roman" w:hAnsi="Times New Roman" w:eastAsia="宋体" w:cs="Times New Roman"/>
                      <w:color w:val="000000" w:themeColor="text1"/>
                      <w:spacing w:val="3"/>
                      <w:sz w:val="21"/>
                      <w:szCs w:val="21"/>
                    </w:rPr>
                    <w:t>25</w:t>
                  </w:r>
                </w:p>
              </w:tc>
              <w:tc>
                <w:tcPr>
                  <w:tcW w:w="1073" w:type="dxa"/>
                  <w:tcBorders>
                    <w:tl2br w:val="nil"/>
                    <w:tr2bl w:val="nil"/>
                  </w:tcBorders>
                  <w:vAlign w:val="center"/>
                </w:tcPr>
                <w:p w14:paraId="2195A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rPr>
                  </w:pPr>
                  <w:r>
                    <w:rPr>
                      <w:rFonts w:hint="eastAsia" w:ascii="Times New Roman" w:hAnsi="Times New Roman" w:eastAsia="宋体" w:cs="Times New Roman"/>
                      <w:bCs/>
                      <w:color w:val="000000" w:themeColor="text1"/>
                      <w:sz w:val="21"/>
                      <w:szCs w:val="21"/>
                      <w:lang w:val="en-US" w:eastAsia="zh-CN"/>
                    </w:rPr>
                    <w:t>11.</w:t>
                  </w:r>
                  <w:r>
                    <w:rPr>
                      <w:rFonts w:hint="eastAsia" w:cs="Times New Roman"/>
                      <w:bCs/>
                      <w:color w:val="000000" w:themeColor="text1"/>
                      <w:sz w:val="21"/>
                      <w:szCs w:val="21"/>
                      <w:lang w:val="en-US" w:eastAsia="zh-CN"/>
                    </w:rPr>
                    <w:t>64</w:t>
                  </w:r>
                </w:p>
              </w:tc>
            </w:tr>
            <w:tr w14:paraId="6A5BB1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074" w:type="dxa"/>
                  <w:tcBorders>
                    <w:tl2br w:val="nil"/>
                    <w:tr2bl w:val="nil"/>
                  </w:tcBorders>
                  <w:vAlign w:val="center"/>
                </w:tcPr>
                <w:p w14:paraId="73614F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ascii="Times New Roman" w:hAnsi="Times New Roman" w:eastAsia="宋体" w:cs="Times New Roman"/>
                      <w:bCs/>
                      <w:color w:val="000000" w:themeColor="text1"/>
                      <w:sz w:val="21"/>
                      <w:szCs w:val="21"/>
                      <w:lang w:val="en-US" w:eastAsia="zh-CN"/>
                    </w:rPr>
                    <w:t>DA002</w:t>
                  </w:r>
                </w:p>
              </w:tc>
              <w:tc>
                <w:tcPr>
                  <w:tcW w:w="1370" w:type="dxa"/>
                  <w:tcBorders>
                    <w:tl2br w:val="nil"/>
                    <w:tr2bl w:val="nil"/>
                  </w:tcBorders>
                  <w:vAlign w:val="center"/>
                </w:tcPr>
                <w:p w14:paraId="1D5D2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rPr>
                  </w:pPr>
                  <w:r>
                    <w:rPr>
                      <w:rFonts w:hint="eastAsia" w:ascii="Times New Roman" w:hAnsi="Times New Roman" w:eastAsia="宋体" w:cs="Times New Roman"/>
                      <w:bCs/>
                      <w:color w:val="000000" w:themeColor="text1"/>
                      <w:sz w:val="21"/>
                      <w:szCs w:val="21"/>
                      <w:lang w:val="en-US" w:eastAsia="zh-CN"/>
                    </w:rPr>
                    <w:t>色母粒生产废气排放口</w:t>
                  </w:r>
                </w:p>
              </w:tc>
              <w:tc>
                <w:tcPr>
                  <w:tcW w:w="909" w:type="dxa"/>
                  <w:tcBorders>
                    <w:tl2br w:val="nil"/>
                    <w:tr2bl w:val="nil"/>
                  </w:tcBorders>
                  <w:vAlign w:val="center"/>
                </w:tcPr>
                <w:p w14:paraId="086DE2C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颗粒物、非甲烷总烃</w:t>
                  </w:r>
                </w:p>
              </w:tc>
              <w:tc>
                <w:tcPr>
                  <w:tcW w:w="937" w:type="dxa"/>
                  <w:tcBorders>
                    <w:tl2br w:val="nil"/>
                    <w:tr2bl w:val="nil"/>
                  </w:tcBorders>
                  <w:vAlign w:val="center"/>
                </w:tcPr>
                <w:p w14:paraId="7764233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20</w:t>
                  </w:r>
                </w:p>
              </w:tc>
              <w:tc>
                <w:tcPr>
                  <w:tcW w:w="979" w:type="dxa"/>
                  <w:tcBorders>
                    <w:tl2br w:val="nil"/>
                    <w:tr2bl w:val="nil"/>
                  </w:tcBorders>
                  <w:vAlign w:val="center"/>
                </w:tcPr>
                <w:p w14:paraId="3EA66F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cs="Times New Roman"/>
                      <w:bCs/>
                      <w:color w:val="000000" w:themeColor="text1"/>
                      <w:sz w:val="21"/>
                      <w:szCs w:val="21"/>
                      <w:lang w:val="en-US" w:eastAsia="zh-CN"/>
                    </w:rPr>
                    <w:t>1.0</w:t>
                  </w:r>
                </w:p>
              </w:tc>
              <w:tc>
                <w:tcPr>
                  <w:tcW w:w="927" w:type="dxa"/>
                  <w:tcBorders>
                    <w:tl2br w:val="nil"/>
                    <w:tr2bl w:val="nil"/>
                  </w:tcBorders>
                  <w:vAlign w:val="center"/>
                </w:tcPr>
                <w:p w14:paraId="00DA5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lang w:val="en-US"/>
                    </w:rPr>
                  </w:pPr>
                  <w:r>
                    <w:rPr>
                      <w:rFonts w:hint="eastAsia" w:cs="Times New Roman"/>
                      <w:bCs/>
                      <w:color w:val="000000" w:themeColor="text1"/>
                      <w:sz w:val="21"/>
                      <w:szCs w:val="21"/>
                      <w:lang w:val="en-US" w:eastAsia="zh-CN"/>
                    </w:rPr>
                    <w:t>30</w:t>
                  </w:r>
                  <w:r>
                    <w:rPr>
                      <w:rFonts w:hint="eastAsia" w:ascii="Times New Roman" w:hAnsi="Times New Roman" w:eastAsia="宋体" w:cs="Times New Roman"/>
                      <w:bCs/>
                      <w:color w:val="000000" w:themeColor="text1"/>
                      <w:sz w:val="21"/>
                      <w:szCs w:val="21"/>
                      <w:lang w:val="en-US" w:eastAsia="zh-CN"/>
                    </w:rPr>
                    <w:t>000</w:t>
                  </w:r>
                </w:p>
              </w:tc>
              <w:tc>
                <w:tcPr>
                  <w:tcW w:w="928" w:type="dxa"/>
                  <w:tcBorders>
                    <w:tl2br w:val="nil"/>
                    <w:tr2bl w:val="nil"/>
                  </w:tcBorders>
                  <w:vAlign w:val="center"/>
                </w:tcPr>
                <w:p w14:paraId="03B389A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25</w:t>
                  </w:r>
                </w:p>
              </w:tc>
              <w:tc>
                <w:tcPr>
                  <w:tcW w:w="1073" w:type="dxa"/>
                  <w:tcBorders>
                    <w:tl2br w:val="nil"/>
                    <w:tr2bl w:val="nil"/>
                  </w:tcBorders>
                  <w:vAlign w:val="center"/>
                </w:tcPr>
                <w:p w14:paraId="539FA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3"/>
                      <w:sz w:val="21"/>
                      <w:szCs w:val="21"/>
                    </w:rPr>
                  </w:pPr>
                  <w:r>
                    <w:rPr>
                      <w:rFonts w:hint="eastAsia" w:ascii="Times New Roman" w:hAnsi="Times New Roman" w:eastAsia="宋体" w:cs="Times New Roman"/>
                      <w:bCs/>
                      <w:color w:val="000000" w:themeColor="text1"/>
                      <w:sz w:val="21"/>
                      <w:szCs w:val="21"/>
                      <w:lang w:val="en-US" w:eastAsia="zh-CN"/>
                    </w:rPr>
                    <w:t>11.</w:t>
                  </w:r>
                  <w:r>
                    <w:rPr>
                      <w:rFonts w:hint="eastAsia" w:cs="Times New Roman"/>
                      <w:bCs/>
                      <w:color w:val="000000" w:themeColor="text1"/>
                      <w:sz w:val="21"/>
                      <w:szCs w:val="21"/>
                      <w:lang w:val="en-US" w:eastAsia="zh-CN"/>
                    </w:rPr>
                    <w:t>17</w:t>
                  </w:r>
                </w:p>
              </w:tc>
            </w:tr>
          </w:tbl>
          <w:p w14:paraId="7423910C">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经分析，本项目建成后废气排放口的烟气流速为1</w:t>
            </w:r>
            <w:r>
              <w:rPr>
                <w:rFonts w:hint="eastAsia" w:ascii="Times New Roman" w:hAnsi="Times New Roman" w:eastAsia="宋体" w:cs="Times New Roman"/>
                <w:color w:val="000000" w:themeColor="text1"/>
                <w:lang w:val="en-US" w:eastAsia="zh-CN"/>
              </w:rPr>
              <w:t>1.06</w:t>
            </w:r>
            <w:r>
              <w:rPr>
                <w:rFonts w:hint="eastAsia" w:ascii="Times New Roman" w:hAnsi="Times New Roman" w:eastAsia="宋体" w:cs="Times New Roman"/>
                <w:color w:val="000000" w:themeColor="text1"/>
                <w:lang w:val="en-US" w:eastAsia="en-US"/>
              </w:rPr>
              <w:t>-1</w:t>
            </w:r>
            <w:r>
              <w:rPr>
                <w:rFonts w:hint="eastAsia" w:ascii="Times New Roman" w:hAnsi="Times New Roman" w:eastAsia="宋体" w:cs="Times New Roman"/>
                <w:color w:val="000000" w:themeColor="text1"/>
                <w:lang w:val="en-US" w:eastAsia="zh-CN"/>
              </w:rPr>
              <w:t>1.13</w:t>
            </w:r>
            <w:r>
              <w:rPr>
                <w:rFonts w:hint="eastAsia" w:ascii="Times New Roman" w:hAnsi="Times New Roman" w:eastAsia="宋体" w:cs="Times New Roman"/>
                <w:color w:val="000000" w:themeColor="text1"/>
                <w:lang w:val="en-US" w:eastAsia="en-US"/>
              </w:rPr>
              <w:t>m/s，满足《大气污染治理工程技术导则》（HJ 2000-2010）中“排气筒的出口直径应根据出口流速确定，流速宜取15m/s左右”的规定。因此，本项目废气排放口设置合理。</w:t>
            </w:r>
          </w:p>
          <w:p w14:paraId="0D6D74FE">
            <w:pPr>
              <w:pStyle w:val="12"/>
              <w:spacing w:before="0" w:after="0" w:line="360" w:lineRule="auto"/>
              <w:ind w:right="0" w:firstLine="482"/>
              <w:rPr>
                <w:rFonts w:hint="default" w:ascii="Times New Roman" w:hAnsi="Times New Roman" w:eastAsia="宋体" w:cs="Times New Roman"/>
                <w:b/>
                <w:bCs/>
                <w:color w:val="000000" w:themeColor="text1"/>
                <w:kern w:val="2"/>
                <w:sz w:val="24"/>
                <w:szCs w:val="24"/>
                <w:lang w:val="en-US" w:eastAsia="zh-CN"/>
              </w:rPr>
            </w:pPr>
            <w:r>
              <w:rPr>
                <w:rFonts w:hint="eastAsia" w:ascii="Times New Roman" w:hAnsi="Times New Roman" w:eastAsia="宋体" w:cs="Times New Roman"/>
                <w:b/>
                <w:bCs/>
                <w:color w:val="000000" w:themeColor="text1"/>
                <w:kern w:val="2"/>
                <w:sz w:val="24"/>
                <w:szCs w:val="24"/>
                <w:lang w:val="en-US" w:eastAsia="zh-CN"/>
              </w:rPr>
              <w:t>2.4非正常工况</w:t>
            </w:r>
          </w:p>
          <w:p w14:paraId="45D7EB49">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非正常工况指工艺运行中所有运行技术参数未达到设计范围的情况。包括维修运行阶段的开停车、检修，工艺设备的运转异常、污染物排放控制措施达不到应有效率、一般性事故和泄漏等。</w:t>
            </w:r>
          </w:p>
          <w:p w14:paraId="15161E7F">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根据项目实际情况，确定以下几种非正常状况：</w:t>
            </w:r>
          </w:p>
          <w:p w14:paraId="662F187C">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（一）开停车、工艺设备运转异常</w:t>
            </w:r>
          </w:p>
          <w:p w14:paraId="760A0FD6">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在项目运营中，开停车或某一设备发生故障，可导致整套装置临时停工。在临时停工中，保证系统内物料不外排，等故障排除后，恢复正常运行。</w:t>
            </w:r>
          </w:p>
          <w:p w14:paraId="42503401">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（二）污染物排放控制措施达不到应有效率</w:t>
            </w:r>
          </w:p>
          <w:p w14:paraId="749B71BA">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废气处理设施非正常工况主要为废气处理设施发生故障导致污染物超标排放。非正常工况下，废气处理设施的处理效率按 0%计算，非正常排放时间按</w:t>
            </w:r>
            <w:r>
              <w:rPr>
                <w:rFonts w:hint="eastAsia" w:ascii="Times New Roman" w:hAnsi="Times New Roman" w:eastAsia="宋体" w:cs="Times New Roman"/>
                <w:color w:val="000000" w:themeColor="text1"/>
                <w:lang w:val="en-US" w:eastAsia="zh-CN"/>
              </w:rPr>
              <w:t>2h</w:t>
            </w:r>
            <w:r>
              <w:rPr>
                <w:rFonts w:hint="eastAsia" w:ascii="Times New Roman" w:hAnsi="Times New Roman" w:eastAsia="宋体" w:cs="Times New Roman"/>
                <w:color w:val="000000" w:themeColor="text1"/>
                <w:lang w:val="en-US" w:eastAsia="en-US"/>
              </w:rPr>
              <w:t>计，废气处理设施异常引起的污染物非正常排放情况详见下表。</w:t>
            </w:r>
          </w:p>
          <w:p w14:paraId="077D23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表 4-</w:t>
            </w:r>
            <w:r>
              <w:rPr>
                <w:rFonts w:hint="eastAsia" w:ascii="Times New Roman" w:hAnsi="Times New Roman" w:eastAsia="宋体" w:cs="Times New Roman"/>
                <w:b/>
                <w:bCs/>
                <w:color w:val="000000" w:themeColor="text1"/>
                <w:sz w:val="21"/>
                <w:szCs w:val="21"/>
                <w:lang w:val="en-US" w:eastAsia="zh-CN"/>
              </w:rPr>
              <w:t>1</w:t>
            </w:r>
            <w:r>
              <w:rPr>
                <w:rFonts w:hint="eastAsia" w:cs="Times New Roman"/>
                <w:b/>
                <w:bCs/>
                <w:color w:val="000000" w:themeColor="text1"/>
                <w:sz w:val="21"/>
                <w:szCs w:val="21"/>
                <w:lang w:val="en-US" w:eastAsia="zh-CN"/>
              </w:rPr>
              <w:t>2</w:t>
            </w:r>
            <w:r>
              <w:rPr>
                <w:rFonts w:hint="default" w:ascii="Times New Roman" w:hAnsi="Times New Roman" w:eastAsia="宋体" w:cs="Times New Roman"/>
                <w:b/>
                <w:bCs/>
                <w:color w:val="000000" w:themeColor="text1"/>
                <w:sz w:val="21"/>
                <w:szCs w:val="21"/>
                <w:lang w:val="en-US" w:eastAsia="zh-CN"/>
              </w:rPr>
              <w:t xml:space="preserve">    废气处理设施非正常工况下污染物的排放情况</w:t>
            </w:r>
          </w:p>
          <w:tbl>
            <w:tblPr>
              <w:tblStyle w:val="131"/>
              <w:tblW w:w="80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29"/>
              <w:gridCol w:w="1000"/>
              <w:gridCol w:w="885"/>
              <w:gridCol w:w="879"/>
              <w:gridCol w:w="1153"/>
              <w:gridCol w:w="1112"/>
              <w:gridCol w:w="1221"/>
            </w:tblGrid>
            <w:tr w14:paraId="09966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16" w:hRule="atLeast"/>
                <w:jc w:val="center"/>
              </w:trPr>
              <w:tc>
                <w:tcPr>
                  <w:tcW w:w="1829" w:type="dxa"/>
                  <w:vMerge w:val="restart"/>
                  <w:tcBorders>
                    <w:tl2br w:val="nil"/>
                    <w:tr2bl w:val="nil"/>
                  </w:tcBorders>
                  <w:vAlign w:val="center"/>
                </w:tcPr>
                <w:p w14:paraId="71137AD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p>
                <w:p w14:paraId="2A61280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污染源</w:t>
                  </w:r>
                </w:p>
              </w:tc>
              <w:tc>
                <w:tcPr>
                  <w:tcW w:w="1000" w:type="dxa"/>
                  <w:vMerge w:val="restart"/>
                  <w:tcBorders>
                    <w:tl2br w:val="nil"/>
                    <w:tr2bl w:val="nil"/>
                  </w:tcBorders>
                  <w:vAlign w:val="center"/>
                </w:tcPr>
                <w:p w14:paraId="5D47FCB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污染物名称</w:t>
                  </w:r>
                </w:p>
              </w:tc>
              <w:tc>
                <w:tcPr>
                  <w:tcW w:w="2917" w:type="dxa"/>
                  <w:gridSpan w:val="3"/>
                  <w:tcBorders>
                    <w:tl2br w:val="nil"/>
                    <w:tr2bl w:val="nil"/>
                  </w:tcBorders>
                  <w:vAlign w:val="center"/>
                </w:tcPr>
                <w:p w14:paraId="29EEF28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污染物排放情况</w:t>
                  </w:r>
                </w:p>
              </w:tc>
              <w:tc>
                <w:tcPr>
                  <w:tcW w:w="2333" w:type="dxa"/>
                  <w:gridSpan w:val="2"/>
                  <w:tcBorders>
                    <w:tl2br w:val="nil"/>
                    <w:tr2bl w:val="nil"/>
                  </w:tcBorders>
                  <w:vAlign w:val="center"/>
                </w:tcPr>
                <w:p w14:paraId="1853315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执行标准</w:t>
                  </w:r>
                </w:p>
              </w:tc>
            </w:tr>
            <w:tr w14:paraId="1E2498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829" w:type="dxa"/>
                  <w:vMerge w:val="continue"/>
                  <w:tcBorders>
                    <w:tl2br w:val="nil"/>
                    <w:tr2bl w:val="nil"/>
                  </w:tcBorders>
                  <w:vAlign w:val="center"/>
                </w:tcPr>
                <w:p w14:paraId="556A9C8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p>
              </w:tc>
              <w:tc>
                <w:tcPr>
                  <w:tcW w:w="1000" w:type="dxa"/>
                  <w:vMerge w:val="continue"/>
                  <w:tcBorders>
                    <w:tl2br w:val="nil"/>
                    <w:tr2bl w:val="nil"/>
                  </w:tcBorders>
                  <w:vAlign w:val="center"/>
                </w:tcPr>
                <w:p w14:paraId="7B9F46C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p>
              </w:tc>
              <w:tc>
                <w:tcPr>
                  <w:tcW w:w="885" w:type="dxa"/>
                  <w:tcBorders>
                    <w:tl2br w:val="nil"/>
                    <w:tr2bl w:val="nil"/>
                  </w:tcBorders>
                  <w:vAlign w:val="center"/>
                </w:tcPr>
                <w:p w14:paraId="67EABEE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浓度mg/m</w:t>
                  </w:r>
                  <w:r>
                    <w:rPr>
                      <w:rFonts w:hint="default" w:ascii="Times New Roman" w:hAnsi="Times New Roman" w:eastAsia="宋体" w:cs="Times New Roman"/>
                      <w:b/>
                      <w:bCs/>
                      <w:color w:val="000000" w:themeColor="text1"/>
                      <w:spacing w:val="3"/>
                      <w:sz w:val="21"/>
                      <w:szCs w:val="21"/>
                      <w:vertAlign w:val="superscript"/>
                    </w:rPr>
                    <w:t>3</w:t>
                  </w:r>
                </w:p>
              </w:tc>
              <w:tc>
                <w:tcPr>
                  <w:tcW w:w="879" w:type="dxa"/>
                  <w:tcBorders>
                    <w:tl2br w:val="nil"/>
                    <w:tr2bl w:val="nil"/>
                  </w:tcBorders>
                  <w:vAlign w:val="center"/>
                </w:tcPr>
                <w:p w14:paraId="0A02C8C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速率kg/h</w:t>
                  </w:r>
                </w:p>
              </w:tc>
              <w:tc>
                <w:tcPr>
                  <w:tcW w:w="1153" w:type="dxa"/>
                  <w:tcBorders>
                    <w:tl2br w:val="nil"/>
                    <w:tr2bl w:val="nil"/>
                  </w:tcBorders>
                  <w:vAlign w:val="center"/>
                </w:tcPr>
                <w:p w14:paraId="788EDB5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lang w:val="en-US" w:eastAsia="zh-CN"/>
                    </w:rPr>
                  </w:pPr>
                  <w:r>
                    <w:rPr>
                      <w:rFonts w:hint="default" w:ascii="Times New Roman" w:hAnsi="Times New Roman" w:eastAsia="宋体" w:cs="Times New Roman"/>
                      <w:b/>
                      <w:bCs/>
                      <w:color w:val="000000" w:themeColor="text1"/>
                      <w:spacing w:val="3"/>
                      <w:sz w:val="21"/>
                      <w:szCs w:val="21"/>
                    </w:rPr>
                    <w:t>排放量kg/</w:t>
                  </w:r>
                  <w:r>
                    <w:rPr>
                      <w:rFonts w:hint="eastAsia" w:ascii="Times New Roman" w:hAnsi="Times New Roman" w:eastAsia="宋体" w:cs="Times New Roman"/>
                      <w:b/>
                      <w:bCs/>
                      <w:color w:val="000000" w:themeColor="text1"/>
                      <w:spacing w:val="3"/>
                      <w:sz w:val="21"/>
                      <w:szCs w:val="21"/>
                      <w:lang w:val="en-US" w:eastAsia="zh-CN"/>
                    </w:rPr>
                    <w:t>2h</w:t>
                  </w:r>
                </w:p>
              </w:tc>
              <w:tc>
                <w:tcPr>
                  <w:tcW w:w="1112" w:type="dxa"/>
                  <w:tcBorders>
                    <w:tl2br w:val="nil"/>
                    <w:tr2bl w:val="nil"/>
                  </w:tcBorders>
                  <w:vAlign w:val="center"/>
                </w:tcPr>
                <w:p w14:paraId="47DD7A8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排放浓度mg/m</w:t>
                  </w:r>
                  <w:r>
                    <w:rPr>
                      <w:rFonts w:hint="default" w:ascii="Times New Roman" w:hAnsi="Times New Roman" w:eastAsia="宋体" w:cs="Times New Roman"/>
                      <w:b/>
                      <w:bCs/>
                      <w:color w:val="000000" w:themeColor="text1"/>
                      <w:spacing w:val="3"/>
                      <w:sz w:val="21"/>
                      <w:szCs w:val="21"/>
                      <w:vertAlign w:val="superscript"/>
                    </w:rPr>
                    <w:t>3</w:t>
                  </w:r>
                </w:p>
              </w:tc>
              <w:tc>
                <w:tcPr>
                  <w:tcW w:w="1221" w:type="dxa"/>
                  <w:tcBorders>
                    <w:tl2br w:val="nil"/>
                    <w:tr2bl w:val="nil"/>
                  </w:tcBorders>
                  <w:vAlign w:val="center"/>
                </w:tcPr>
                <w:p w14:paraId="3E0D1D3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排放速率</w:t>
                  </w:r>
                </w:p>
                <w:p w14:paraId="1DDC9DF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3"/>
                      <w:sz w:val="21"/>
                      <w:szCs w:val="21"/>
                    </w:rPr>
                  </w:pPr>
                  <w:r>
                    <w:rPr>
                      <w:rFonts w:hint="default" w:ascii="Times New Roman" w:hAnsi="Times New Roman" w:eastAsia="宋体" w:cs="Times New Roman"/>
                      <w:b/>
                      <w:bCs/>
                      <w:color w:val="000000" w:themeColor="text1"/>
                      <w:spacing w:val="3"/>
                      <w:sz w:val="21"/>
                      <w:szCs w:val="21"/>
                    </w:rPr>
                    <w:t>kg/h</w:t>
                  </w:r>
                </w:p>
              </w:tc>
            </w:tr>
            <w:tr w14:paraId="0EBC80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829" w:type="dxa"/>
                  <w:vMerge w:val="restart"/>
                  <w:tcBorders>
                    <w:tl2br w:val="nil"/>
                    <w:tr2bl w:val="nil"/>
                  </w:tcBorders>
                  <w:vAlign w:val="center"/>
                </w:tcPr>
                <w:p w14:paraId="1E56795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DA001</w:t>
                  </w:r>
                </w:p>
              </w:tc>
              <w:tc>
                <w:tcPr>
                  <w:tcW w:w="1000" w:type="dxa"/>
                  <w:tcBorders>
                    <w:tl2br w:val="nil"/>
                    <w:tr2bl w:val="nil"/>
                  </w:tcBorders>
                  <w:vAlign w:val="center"/>
                </w:tcPr>
                <w:p w14:paraId="5D4FAB4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default" w:ascii="Times New Roman" w:hAnsi="Times New Roman" w:eastAsia="宋体" w:cs="Times New Roman"/>
                      <w:color w:val="000000" w:themeColor="text1"/>
                      <w:spacing w:val="3"/>
                      <w:sz w:val="21"/>
                      <w:szCs w:val="21"/>
                      <w:lang w:val="en-US" w:eastAsia="zh-CN"/>
                    </w:rPr>
                    <w:t>颗粒物</w:t>
                  </w:r>
                </w:p>
              </w:tc>
              <w:tc>
                <w:tcPr>
                  <w:tcW w:w="885" w:type="dxa"/>
                  <w:tcBorders>
                    <w:tl2br w:val="nil"/>
                    <w:tr2bl w:val="nil"/>
                  </w:tcBorders>
                  <w:vAlign w:val="center"/>
                </w:tcPr>
                <w:p w14:paraId="13652BB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428.7</w:t>
                  </w:r>
                </w:p>
              </w:tc>
              <w:tc>
                <w:tcPr>
                  <w:tcW w:w="879" w:type="dxa"/>
                  <w:tcBorders>
                    <w:tl2br w:val="nil"/>
                    <w:tr2bl w:val="nil"/>
                  </w:tcBorders>
                  <w:vAlign w:val="center"/>
                </w:tcPr>
                <w:p w14:paraId="47A9465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4.287</w:t>
                  </w:r>
                </w:p>
              </w:tc>
              <w:tc>
                <w:tcPr>
                  <w:tcW w:w="1153" w:type="dxa"/>
                  <w:tcBorders>
                    <w:tl2br w:val="nil"/>
                    <w:tr2bl w:val="nil"/>
                  </w:tcBorders>
                  <w:vAlign w:val="center"/>
                </w:tcPr>
                <w:p w14:paraId="141C4B5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8.574</w:t>
                  </w:r>
                </w:p>
              </w:tc>
              <w:tc>
                <w:tcPr>
                  <w:tcW w:w="1112" w:type="dxa"/>
                  <w:tcBorders>
                    <w:tl2br w:val="nil"/>
                    <w:tr2bl w:val="nil"/>
                  </w:tcBorders>
                  <w:vAlign w:val="center"/>
                </w:tcPr>
                <w:p w14:paraId="5323630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15</w:t>
                  </w:r>
                </w:p>
              </w:tc>
              <w:tc>
                <w:tcPr>
                  <w:tcW w:w="1221" w:type="dxa"/>
                  <w:tcBorders>
                    <w:tl2br w:val="nil"/>
                    <w:tr2bl w:val="nil"/>
                  </w:tcBorders>
                  <w:vAlign w:val="center"/>
                </w:tcPr>
                <w:p w14:paraId="1A38350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0.36</w:t>
                  </w:r>
                </w:p>
              </w:tc>
            </w:tr>
            <w:tr w14:paraId="2458F7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829" w:type="dxa"/>
                  <w:vMerge w:val="continue"/>
                  <w:tcBorders>
                    <w:tl2br w:val="nil"/>
                    <w:tr2bl w:val="nil"/>
                  </w:tcBorders>
                  <w:vAlign w:val="center"/>
                </w:tcPr>
                <w:p w14:paraId="69AF8F2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p>
              </w:tc>
              <w:tc>
                <w:tcPr>
                  <w:tcW w:w="1000" w:type="dxa"/>
                  <w:tcBorders>
                    <w:tl2br w:val="nil"/>
                    <w:tr2bl w:val="nil"/>
                  </w:tcBorders>
                  <w:vAlign w:val="center"/>
                </w:tcPr>
                <w:p w14:paraId="3512AFA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SO</w:t>
                  </w:r>
                  <w:r>
                    <w:rPr>
                      <w:rFonts w:hint="eastAsia" w:ascii="Times New Roman" w:hAnsi="Times New Roman" w:eastAsia="宋体" w:cs="Times New Roman"/>
                      <w:color w:val="000000" w:themeColor="text1"/>
                      <w:spacing w:val="3"/>
                      <w:sz w:val="21"/>
                      <w:szCs w:val="21"/>
                      <w:vertAlign w:val="subscript"/>
                      <w:lang w:val="en-US" w:eastAsia="zh-CN"/>
                    </w:rPr>
                    <w:t>2</w:t>
                  </w:r>
                </w:p>
              </w:tc>
              <w:tc>
                <w:tcPr>
                  <w:tcW w:w="885" w:type="dxa"/>
                  <w:tcBorders>
                    <w:tl2br w:val="nil"/>
                    <w:tr2bl w:val="nil"/>
                  </w:tcBorders>
                  <w:vAlign w:val="center"/>
                </w:tcPr>
                <w:p w14:paraId="50873DE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70</w:t>
                  </w:r>
                </w:p>
              </w:tc>
              <w:tc>
                <w:tcPr>
                  <w:tcW w:w="879" w:type="dxa"/>
                  <w:tcBorders>
                    <w:tl2br w:val="nil"/>
                    <w:tr2bl w:val="nil"/>
                  </w:tcBorders>
                  <w:vAlign w:val="center"/>
                </w:tcPr>
                <w:p w14:paraId="7AC3F1E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0.07</w:t>
                  </w:r>
                </w:p>
              </w:tc>
              <w:tc>
                <w:tcPr>
                  <w:tcW w:w="1153" w:type="dxa"/>
                  <w:tcBorders>
                    <w:tl2br w:val="nil"/>
                    <w:tr2bl w:val="nil"/>
                  </w:tcBorders>
                  <w:vAlign w:val="center"/>
                </w:tcPr>
                <w:p w14:paraId="063BF04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0.14</w:t>
                  </w:r>
                </w:p>
              </w:tc>
              <w:tc>
                <w:tcPr>
                  <w:tcW w:w="1112" w:type="dxa"/>
                  <w:tcBorders>
                    <w:tl2br w:val="nil"/>
                    <w:tr2bl w:val="nil"/>
                  </w:tcBorders>
                  <w:vAlign w:val="center"/>
                </w:tcPr>
                <w:p w14:paraId="163FEA5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200</w:t>
                  </w:r>
                </w:p>
              </w:tc>
              <w:tc>
                <w:tcPr>
                  <w:tcW w:w="1221" w:type="dxa"/>
                  <w:tcBorders>
                    <w:tl2br w:val="nil"/>
                    <w:tr2bl w:val="nil"/>
                  </w:tcBorders>
                  <w:vAlign w:val="center"/>
                </w:tcPr>
                <w:p w14:paraId="0BA8270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1.6</w:t>
                  </w:r>
                </w:p>
              </w:tc>
            </w:tr>
            <w:tr w14:paraId="6095A8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829" w:type="dxa"/>
                  <w:vMerge w:val="continue"/>
                  <w:tcBorders>
                    <w:tl2br w:val="nil"/>
                    <w:tr2bl w:val="nil"/>
                  </w:tcBorders>
                  <w:vAlign w:val="center"/>
                </w:tcPr>
                <w:p w14:paraId="1BD283B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p>
              </w:tc>
              <w:tc>
                <w:tcPr>
                  <w:tcW w:w="1000" w:type="dxa"/>
                  <w:tcBorders>
                    <w:tl2br w:val="nil"/>
                    <w:tr2bl w:val="nil"/>
                  </w:tcBorders>
                  <w:vAlign w:val="center"/>
                </w:tcPr>
                <w:p w14:paraId="02F71D0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NOx</w:t>
                  </w:r>
                </w:p>
              </w:tc>
              <w:tc>
                <w:tcPr>
                  <w:tcW w:w="885" w:type="dxa"/>
                  <w:tcBorders>
                    <w:tl2br w:val="nil"/>
                    <w:tr2bl w:val="nil"/>
                  </w:tcBorders>
                  <w:vAlign w:val="center"/>
                </w:tcPr>
                <w:p w14:paraId="32F2D94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3.1</w:t>
                  </w:r>
                </w:p>
              </w:tc>
              <w:tc>
                <w:tcPr>
                  <w:tcW w:w="879" w:type="dxa"/>
                  <w:tcBorders>
                    <w:tl2br w:val="nil"/>
                    <w:tr2bl w:val="nil"/>
                  </w:tcBorders>
                  <w:vAlign w:val="center"/>
                </w:tcPr>
                <w:p w14:paraId="5BA8BE5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0.031</w:t>
                  </w:r>
                </w:p>
              </w:tc>
              <w:tc>
                <w:tcPr>
                  <w:tcW w:w="1153" w:type="dxa"/>
                  <w:tcBorders>
                    <w:tl2br w:val="nil"/>
                    <w:tr2bl w:val="nil"/>
                  </w:tcBorders>
                  <w:vAlign w:val="center"/>
                </w:tcPr>
                <w:p w14:paraId="7E35C32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0.062</w:t>
                  </w:r>
                </w:p>
              </w:tc>
              <w:tc>
                <w:tcPr>
                  <w:tcW w:w="1112" w:type="dxa"/>
                  <w:tcBorders>
                    <w:tl2br w:val="nil"/>
                    <w:tr2bl w:val="nil"/>
                  </w:tcBorders>
                  <w:vAlign w:val="center"/>
                </w:tcPr>
                <w:p w14:paraId="2476D94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200</w:t>
                  </w:r>
                </w:p>
              </w:tc>
              <w:tc>
                <w:tcPr>
                  <w:tcW w:w="1221" w:type="dxa"/>
                  <w:tcBorders>
                    <w:tl2br w:val="nil"/>
                    <w:tr2bl w:val="nil"/>
                  </w:tcBorders>
                  <w:vAlign w:val="center"/>
                </w:tcPr>
                <w:p w14:paraId="6BCA368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0.47</w:t>
                  </w:r>
                </w:p>
              </w:tc>
            </w:tr>
            <w:tr w14:paraId="59F3A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1829" w:type="dxa"/>
                  <w:vMerge w:val="restart"/>
                  <w:tcBorders>
                    <w:tl2br w:val="nil"/>
                    <w:tr2bl w:val="nil"/>
                  </w:tcBorders>
                  <w:vAlign w:val="center"/>
                </w:tcPr>
                <w:p w14:paraId="1117689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DA002</w:t>
                  </w:r>
                </w:p>
              </w:tc>
              <w:tc>
                <w:tcPr>
                  <w:tcW w:w="1000" w:type="dxa"/>
                  <w:tcBorders>
                    <w:tl2br w:val="nil"/>
                    <w:tr2bl w:val="nil"/>
                  </w:tcBorders>
                  <w:vAlign w:val="center"/>
                </w:tcPr>
                <w:p w14:paraId="7F853D0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default" w:ascii="Times New Roman" w:hAnsi="Times New Roman" w:eastAsia="宋体" w:cs="Times New Roman"/>
                      <w:color w:val="000000" w:themeColor="text1"/>
                      <w:spacing w:val="3"/>
                      <w:sz w:val="21"/>
                      <w:szCs w:val="21"/>
                      <w:lang w:val="en-US" w:eastAsia="zh-CN"/>
                    </w:rPr>
                    <w:t>颗粒物</w:t>
                  </w:r>
                </w:p>
              </w:tc>
              <w:tc>
                <w:tcPr>
                  <w:tcW w:w="885" w:type="dxa"/>
                  <w:tcBorders>
                    <w:tl2br w:val="nil"/>
                    <w:tr2bl w:val="nil"/>
                  </w:tcBorders>
                  <w:vAlign w:val="center"/>
                </w:tcPr>
                <w:p w14:paraId="32D68EF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32.431</w:t>
                  </w:r>
                </w:p>
              </w:tc>
              <w:tc>
                <w:tcPr>
                  <w:tcW w:w="879" w:type="dxa"/>
                  <w:tcBorders>
                    <w:tl2br w:val="nil"/>
                    <w:tr2bl w:val="nil"/>
                  </w:tcBorders>
                  <w:vAlign w:val="center"/>
                </w:tcPr>
                <w:p w14:paraId="3D0CC52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2.</w:t>
                  </w:r>
                  <w:r>
                    <w:rPr>
                      <w:rFonts w:hint="eastAsia" w:ascii="Times New Roman" w:hAnsi="Times New Roman" w:cs="Times New Roman"/>
                      <w:color w:val="000000" w:themeColor="text1"/>
                      <w:spacing w:val="3"/>
                      <w:sz w:val="21"/>
                      <w:szCs w:val="21"/>
                      <w:lang w:val="en-US" w:eastAsia="zh-CN"/>
                    </w:rPr>
                    <w:t>33</w:t>
                  </w:r>
                  <w:r>
                    <w:rPr>
                      <w:rFonts w:hint="eastAsia" w:ascii="Times New Roman" w:hAnsi="Times New Roman" w:eastAsia="宋体" w:cs="Times New Roman"/>
                      <w:color w:val="000000" w:themeColor="text1"/>
                      <w:spacing w:val="3"/>
                      <w:sz w:val="21"/>
                      <w:szCs w:val="21"/>
                      <w:lang w:val="en-US" w:eastAsia="zh-CN"/>
                    </w:rPr>
                    <w:t>5</w:t>
                  </w:r>
                </w:p>
              </w:tc>
              <w:tc>
                <w:tcPr>
                  <w:tcW w:w="1153" w:type="dxa"/>
                  <w:tcBorders>
                    <w:tl2br w:val="nil"/>
                    <w:tr2bl w:val="nil"/>
                  </w:tcBorders>
                  <w:vAlign w:val="center"/>
                </w:tcPr>
                <w:p w14:paraId="1DF4CB4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4.5</w:t>
                  </w:r>
                </w:p>
              </w:tc>
              <w:tc>
                <w:tcPr>
                  <w:tcW w:w="1112" w:type="dxa"/>
                  <w:tcBorders>
                    <w:tl2br w:val="nil"/>
                    <w:tr2bl w:val="nil"/>
                  </w:tcBorders>
                  <w:vAlign w:val="center"/>
                </w:tcPr>
                <w:p w14:paraId="7AB13D1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15</w:t>
                  </w:r>
                </w:p>
              </w:tc>
              <w:tc>
                <w:tcPr>
                  <w:tcW w:w="1221" w:type="dxa"/>
                  <w:tcBorders>
                    <w:tl2br w:val="nil"/>
                    <w:tr2bl w:val="nil"/>
                  </w:tcBorders>
                  <w:vAlign w:val="center"/>
                </w:tcPr>
                <w:p w14:paraId="52E9319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cs="Times New Roman"/>
                      <w:color w:val="000000" w:themeColor="text1"/>
                      <w:spacing w:val="3"/>
                      <w:sz w:val="21"/>
                      <w:szCs w:val="21"/>
                      <w:lang w:val="en-US" w:eastAsia="zh-CN"/>
                    </w:rPr>
                    <w:t>0.36</w:t>
                  </w:r>
                </w:p>
              </w:tc>
            </w:tr>
            <w:tr w14:paraId="6BCD82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1829" w:type="dxa"/>
                  <w:vMerge w:val="continue"/>
                  <w:tcBorders>
                    <w:tl2br w:val="nil"/>
                    <w:tr2bl w:val="nil"/>
                  </w:tcBorders>
                  <w:vAlign w:val="center"/>
                </w:tcPr>
                <w:p w14:paraId="2C809E5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3"/>
                      <w:sz w:val="21"/>
                      <w:szCs w:val="21"/>
                      <w:lang w:val="en-US" w:eastAsia="zh-CN"/>
                    </w:rPr>
                  </w:pPr>
                </w:p>
              </w:tc>
              <w:tc>
                <w:tcPr>
                  <w:tcW w:w="1000" w:type="dxa"/>
                  <w:tcBorders>
                    <w:tl2br w:val="nil"/>
                    <w:tr2bl w:val="nil"/>
                  </w:tcBorders>
                  <w:vAlign w:val="center"/>
                </w:tcPr>
                <w:p w14:paraId="6FB9CFE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非甲烷总烃</w:t>
                  </w:r>
                </w:p>
              </w:tc>
              <w:tc>
                <w:tcPr>
                  <w:tcW w:w="885" w:type="dxa"/>
                  <w:tcBorders>
                    <w:tl2br w:val="nil"/>
                    <w:tr2bl w:val="nil"/>
                  </w:tcBorders>
                  <w:vAlign w:val="center"/>
                </w:tcPr>
                <w:p w14:paraId="1A5FE4B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16.68</w:t>
                  </w:r>
                </w:p>
              </w:tc>
              <w:tc>
                <w:tcPr>
                  <w:tcW w:w="879" w:type="dxa"/>
                  <w:tcBorders>
                    <w:tl2br w:val="nil"/>
                    <w:tr2bl w:val="nil"/>
                  </w:tcBorders>
                  <w:vAlign w:val="center"/>
                </w:tcPr>
                <w:p w14:paraId="2CC5F7D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0.417</w:t>
                  </w:r>
                </w:p>
              </w:tc>
              <w:tc>
                <w:tcPr>
                  <w:tcW w:w="1153" w:type="dxa"/>
                  <w:tcBorders>
                    <w:tl2br w:val="nil"/>
                    <w:tr2bl w:val="nil"/>
                  </w:tcBorders>
                  <w:vAlign w:val="center"/>
                </w:tcPr>
                <w:p w14:paraId="585F63B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0.834</w:t>
                  </w:r>
                </w:p>
              </w:tc>
              <w:tc>
                <w:tcPr>
                  <w:tcW w:w="1112" w:type="dxa"/>
                  <w:tcBorders>
                    <w:tl2br w:val="nil"/>
                    <w:tr2bl w:val="nil"/>
                  </w:tcBorders>
                  <w:vAlign w:val="center"/>
                </w:tcPr>
                <w:p w14:paraId="319F5AB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20</w:t>
                  </w:r>
                </w:p>
              </w:tc>
              <w:tc>
                <w:tcPr>
                  <w:tcW w:w="1221" w:type="dxa"/>
                  <w:tcBorders>
                    <w:tl2br w:val="nil"/>
                    <w:tr2bl w:val="nil"/>
                  </w:tcBorders>
                  <w:vAlign w:val="center"/>
                </w:tcPr>
                <w:p w14:paraId="7D8E6D5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w:t>
                  </w:r>
                </w:p>
              </w:tc>
            </w:tr>
          </w:tbl>
          <w:p w14:paraId="756E738E">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在出现非正常情况时，污染物排放浓度变大，应立即停产检修，待环保设施恢复正常后再投入使用。为了减少非正常工况的发生，降低对周围环境的影响，本次环评要求企业做到以下几点：</w:t>
            </w:r>
          </w:p>
          <w:p w14:paraId="4727C4C9">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zh-CN"/>
              </w:rPr>
              <w:t>（1）</w:t>
            </w:r>
            <w:r>
              <w:rPr>
                <w:rFonts w:hint="eastAsia" w:ascii="Times New Roman" w:hAnsi="Times New Roman" w:eastAsia="宋体" w:cs="Times New Roman"/>
                <w:color w:val="000000" w:themeColor="text1"/>
                <w:lang w:val="en-US" w:eastAsia="en-US"/>
              </w:rPr>
              <w:t>加强对职工的岗位培训，使其熟练掌握项目运营中各工艺操作规程。</w:t>
            </w:r>
          </w:p>
          <w:p w14:paraId="6B56D755">
            <w:pPr>
              <w:adjustRightInd w:val="0"/>
              <w:snapToGrid w:val="0"/>
              <w:ind w:firstLine="480"/>
              <w:rPr>
                <w:rFonts w:hint="eastAsia" w:ascii="Times New Roman" w:hAnsi="Times New Roman" w:eastAsia="宋体" w:cs="Times New Roman"/>
                <w:color w:val="000000" w:themeColor="text1"/>
                <w:lang w:val="en-US" w:eastAsia="en-US"/>
              </w:rPr>
            </w:pPr>
            <w:r>
              <w:rPr>
                <w:rFonts w:hint="eastAsia" w:ascii="Times New Roman" w:hAnsi="Times New Roman" w:eastAsia="宋体" w:cs="Times New Roman"/>
                <w:color w:val="000000" w:themeColor="text1"/>
                <w:lang w:val="en-US" w:eastAsia="en-US"/>
              </w:rPr>
              <w:t>（2）加强企业的运行管理，如果废气处理设施发生故障，应立刻停止运行进行抢修，避免对周围环境造成污染。</w:t>
            </w:r>
          </w:p>
          <w:p w14:paraId="79D3D238">
            <w:pPr>
              <w:pStyle w:val="12"/>
              <w:spacing w:before="0" w:after="0" w:line="360" w:lineRule="auto"/>
              <w:ind w:right="0" w:firstLine="482"/>
              <w:rPr>
                <w:rFonts w:hint="default" w:ascii="Times New Roman" w:hAnsi="Times New Roman" w:eastAsia="宋体" w:cs="Times New Roman"/>
                <w:color w:val="000000" w:themeColor="text1"/>
                <w:kern w:val="2"/>
                <w:sz w:val="24"/>
                <w:szCs w:val="24"/>
                <w:lang w:val="en-US" w:eastAsia="zh-CN" w:bidi="ar-SA"/>
              </w:rPr>
            </w:pPr>
            <w:r>
              <w:rPr>
                <w:rFonts w:hint="eastAsia" w:ascii="Times New Roman" w:hAnsi="Times New Roman" w:eastAsia="宋体" w:cs="Times New Roman"/>
                <w:color w:val="000000" w:themeColor="text1"/>
                <w:kern w:val="2"/>
                <w:sz w:val="24"/>
                <w:szCs w:val="24"/>
                <w:lang w:val="en-US" w:eastAsia="en-US" w:bidi="ar-SA"/>
              </w:rPr>
              <w:t>（3）定期检查设备的运转状态，对废气治理设施定期进行维护，确保其稳定运行。</w:t>
            </w:r>
          </w:p>
          <w:p w14:paraId="74390942">
            <w:pPr>
              <w:pStyle w:val="12"/>
              <w:spacing w:before="0" w:after="0" w:line="360" w:lineRule="auto"/>
              <w:ind w:right="0" w:firstLine="482"/>
              <w:rPr>
                <w:rFonts w:hint="default" w:ascii="Times New Roman" w:hAnsi="Times New Roman" w:eastAsia="宋体" w:cs="Times New Roman"/>
                <w:b/>
                <w:bCs/>
                <w:color w:val="000000" w:themeColor="text1"/>
                <w:kern w:val="2"/>
                <w:sz w:val="24"/>
                <w:szCs w:val="24"/>
                <w:lang w:val="en-US" w:eastAsia="zh-CN"/>
              </w:rPr>
            </w:pPr>
            <w:r>
              <w:rPr>
                <w:rFonts w:hint="eastAsia" w:ascii="Times New Roman" w:hAnsi="Times New Roman" w:eastAsia="宋体" w:cs="Times New Roman"/>
                <w:b/>
                <w:bCs/>
                <w:color w:val="000000" w:themeColor="text1"/>
                <w:kern w:val="2"/>
                <w:sz w:val="24"/>
                <w:szCs w:val="24"/>
                <w:lang w:val="en-US" w:eastAsia="zh-CN"/>
              </w:rPr>
              <w:t>2.5</w:t>
            </w:r>
            <w:r>
              <w:rPr>
                <w:rFonts w:hint="default" w:ascii="Times New Roman" w:hAnsi="Times New Roman" w:eastAsia="宋体" w:cs="Times New Roman"/>
                <w:b/>
                <w:bCs/>
                <w:color w:val="000000" w:themeColor="text1"/>
                <w:kern w:val="2"/>
                <w:sz w:val="24"/>
                <w:szCs w:val="24"/>
              </w:rPr>
              <w:t>废气污染源监测计划</w:t>
            </w:r>
          </w:p>
          <w:p w14:paraId="438CD019">
            <w:pPr>
              <w:adjustRightInd w:val="0"/>
              <w:snapToGrid w:val="0"/>
              <w:ind w:firstLine="480"/>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根据《排污单位自行监测技术指南 总则》（HJ 819-2017）、《</w:t>
            </w:r>
            <w:r>
              <w:rPr>
                <w:rFonts w:hint="eastAsia" w:ascii="Times New Roman" w:hAnsi="Times New Roman" w:eastAsia="宋体" w:cs="Times New Roman"/>
                <w:color w:val="000000" w:themeColor="text1"/>
                <w:lang w:val="en-US" w:eastAsia="zh-CN"/>
              </w:rPr>
              <w:fldChar w:fldCharType="begin"/>
            </w:r>
            <w:r>
              <w:rPr>
                <w:rFonts w:hint="eastAsia" w:ascii="Times New Roman" w:hAnsi="Times New Roman" w:eastAsia="宋体" w:cs="Times New Roman"/>
                <w:color w:val="000000" w:themeColor="text1"/>
                <w:lang w:val="en-US" w:eastAsia="zh-CN"/>
              </w:rPr>
              <w:instrText xml:space="preserve"> HYPERLINK "https://www.mee.gov.cn/ywgz/fgbz/bz/bzwb/jcffbz/202205/W020220517407978964442.pdf" </w:instrText>
            </w:r>
            <w:r>
              <w:rPr>
                <w:rFonts w:hint="eastAsia" w:ascii="Times New Roman" w:hAnsi="Times New Roman" w:eastAsia="宋体" w:cs="Times New Roman"/>
                <w:color w:val="000000" w:themeColor="text1"/>
                <w:lang w:val="en-US" w:eastAsia="zh-CN"/>
              </w:rPr>
              <w:fldChar w:fldCharType="separate"/>
            </w:r>
            <w:r>
              <w:rPr>
                <w:rFonts w:hint="eastAsia" w:ascii="Times New Roman" w:hAnsi="Times New Roman" w:eastAsia="宋体" w:cs="Times New Roman"/>
                <w:color w:val="000000" w:themeColor="text1"/>
                <w:lang w:val="en-US" w:eastAsia="zh-CN"/>
              </w:rPr>
              <w:t>排污单位自行监测技术指南 工业固体废物和危险废物治理》（HJ 1250—2022）</w:t>
            </w:r>
            <w:r>
              <w:rPr>
                <w:rFonts w:hint="eastAsia" w:ascii="Times New Roman" w:hAnsi="Times New Roman" w:eastAsia="宋体" w:cs="Times New Roman"/>
                <w:color w:val="000000" w:themeColor="text1"/>
                <w:lang w:val="en-US" w:eastAsia="zh-CN"/>
              </w:rPr>
              <w:fldChar w:fldCharType="end"/>
            </w:r>
            <w:r>
              <w:rPr>
                <w:rFonts w:hint="eastAsia" w:ascii="Times New Roman" w:hAnsi="Times New Roman" w:eastAsia="宋体" w:cs="Times New Roman"/>
                <w:color w:val="000000" w:themeColor="text1"/>
                <w:lang w:val="en-US" w:eastAsia="zh-CN"/>
              </w:rPr>
              <w:t>、《排污单位自行监测技术指南 橡胶和塑料制品》（HJ 1207-2021）等文件要求，企业应按要求开展废气污染源监测，由于企业不具备监测能力，需委托其它有资质的检（监）测机构代其开展自行监测。污染源监测具体见下表。</w:t>
            </w:r>
          </w:p>
          <w:p w14:paraId="52A91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lang w:val="en-US" w:eastAsia="zh-CN"/>
              </w:rPr>
              <w:t>表4-</w:t>
            </w:r>
            <w:r>
              <w:rPr>
                <w:rFonts w:hint="eastAsia" w:ascii="Times New Roman" w:hAnsi="Times New Roman" w:eastAsia="宋体" w:cs="Times New Roman"/>
                <w:b/>
                <w:bCs/>
                <w:color w:val="000000" w:themeColor="text1"/>
                <w:sz w:val="21"/>
                <w:szCs w:val="21"/>
                <w:lang w:val="en-US" w:eastAsia="zh-CN"/>
              </w:rPr>
              <w:t>1</w:t>
            </w:r>
            <w:r>
              <w:rPr>
                <w:rFonts w:hint="eastAsia"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lang w:val="en-US" w:eastAsia="zh-CN"/>
              </w:rPr>
              <w:t xml:space="preserve">    废气</w:t>
            </w:r>
            <w:r>
              <w:rPr>
                <w:rFonts w:hint="eastAsia" w:ascii="Times New Roman" w:hAnsi="Times New Roman" w:eastAsia="宋体" w:cs="Times New Roman"/>
                <w:b/>
                <w:bCs/>
                <w:color w:val="000000" w:themeColor="text1"/>
                <w:sz w:val="21"/>
                <w:szCs w:val="21"/>
                <w:lang w:val="en-US" w:eastAsia="zh-CN"/>
              </w:rPr>
              <w:t>自行监测</w:t>
            </w:r>
            <w:r>
              <w:rPr>
                <w:rFonts w:hint="default" w:ascii="Times New Roman" w:hAnsi="Times New Roman" w:eastAsia="宋体" w:cs="Times New Roman"/>
                <w:b/>
                <w:bCs/>
                <w:color w:val="000000" w:themeColor="text1"/>
                <w:sz w:val="21"/>
                <w:szCs w:val="21"/>
                <w:lang w:val="en-US" w:eastAsia="zh-CN"/>
              </w:rPr>
              <w:t>情况</w:t>
            </w:r>
            <w:r>
              <w:rPr>
                <w:rFonts w:hint="eastAsia" w:ascii="Times New Roman" w:hAnsi="Times New Roman" w:eastAsia="宋体" w:cs="Times New Roman"/>
                <w:b/>
                <w:bCs/>
                <w:color w:val="000000" w:themeColor="text1"/>
                <w:sz w:val="21"/>
                <w:szCs w:val="21"/>
                <w:lang w:val="en-US" w:eastAsia="zh-CN"/>
              </w:rPr>
              <w:t>表</w:t>
            </w:r>
          </w:p>
          <w:tbl>
            <w:tblPr>
              <w:tblStyle w:val="131"/>
              <w:tblW w:w="815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820"/>
              <w:gridCol w:w="982"/>
              <w:gridCol w:w="1215"/>
              <w:gridCol w:w="945"/>
              <w:gridCol w:w="1080"/>
              <w:gridCol w:w="3115"/>
            </w:tblGrid>
            <w:tr w14:paraId="0CE507F3">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74" w:hRule="atLeast"/>
                <w:jc w:val="center"/>
              </w:trPr>
              <w:tc>
                <w:tcPr>
                  <w:tcW w:w="820" w:type="dxa"/>
                  <w:tcBorders>
                    <w:tl2br w:val="nil"/>
                    <w:tr2bl w:val="nil"/>
                  </w:tcBorders>
                  <w:vAlign w:val="center"/>
                </w:tcPr>
                <w:p w14:paraId="642E402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03E26E1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类别</w:t>
                  </w:r>
                </w:p>
              </w:tc>
              <w:tc>
                <w:tcPr>
                  <w:tcW w:w="982" w:type="dxa"/>
                  <w:tcBorders>
                    <w:tl2br w:val="nil"/>
                    <w:tr2bl w:val="nil"/>
                  </w:tcBorders>
                  <w:vAlign w:val="center"/>
                </w:tcPr>
                <w:p w14:paraId="042E249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污染源</w:t>
                  </w:r>
                </w:p>
              </w:tc>
              <w:tc>
                <w:tcPr>
                  <w:tcW w:w="1215" w:type="dxa"/>
                  <w:tcBorders>
                    <w:tl2br w:val="nil"/>
                    <w:tr2bl w:val="nil"/>
                  </w:tcBorders>
                  <w:vAlign w:val="center"/>
                </w:tcPr>
                <w:p w14:paraId="5DE26D3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监测位置</w:t>
                  </w:r>
                </w:p>
              </w:tc>
              <w:tc>
                <w:tcPr>
                  <w:tcW w:w="945" w:type="dxa"/>
                  <w:tcBorders>
                    <w:tl2br w:val="nil"/>
                    <w:tr2bl w:val="nil"/>
                  </w:tcBorders>
                  <w:vAlign w:val="center"/>
                </w:tcPr>
                <w:p w14:paraId="23943BA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21250F5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项目</w:t>
                  </w:r>
                </w:p>
              </w:tc>
              <w:tc>
                <w:tcPr>
                  <w:tcW w:w="1080" w:type="dxa"/>
                  <w:tcBorders>
                    <w:tl2br w:val="nil"/>
                    <w:tr2bl w:val="nil"/>
                  </w:tcBorders>
                  <w:vAlign w:val="center"/>
                </w:tcPr>
                <w:p w14:paraId="4D6A14E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监测</w:t>
                  </w:r>
                </w:p>
                <w:p w14:paraId="33101B5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频次</w:t>
                  </w:r>
                </w:p>
              </w:tc>
              <w:tc>
                <w:tcPr>
                  <w:tcW w:w="3115" w:type="dxa"/>
                  <w:tcBorders>
                    <w:tl2br w:val="nil"/>
                    <w:tr2bl w:val="nil"/>
                  </w:tcBorders>
                  <w:vAlign w:val="center"/>
                </w:tcPr>
                <w:p w14:paraId="7D5C95F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执行标准</w:t>
                  </w:r>
                </w:p>
              </w:tc>
            </w:tr>
            <w:tr w14:paraId="7D638702">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748" w:hRule="atLeast"/>
                <w:jc w:val="center"/>
              </w:trPr>
              <w:tc>
                <w:tcPr>
                  <w:tcW w:w="820" w:type="dxa"/>
                  <w:vMerge w:val="restart"/>
                  <w:tcBorders>
                    <w:tl2br w:val="nil"/>
                    <w:tr2bl w:val="nil"/>
                  </w:tcBorders>
                  <w:vAlign w:val="center"/>
                </w:tcPr>
                <w:p w14:paraId="12AB1DA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p w14:paraId="20F795F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p w14:paraId="7C9B705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p w14:paraId="0BF01A7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p w14:paraId="65F6327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p w14:paraId="4A2A552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982" w:type="dxa"/>
                  <w:tcBorders>
                    <w:tl2br w:val="nil"/>
                    <w:tr2bl w:val="nil"/>
                  </w:tcBorders>
                  <w:vAlign w:val="center"/>
                </w:tcPr>
                <w:p w14:paraId="43089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炭黑处理废气排放口</w:t>
                  </w:r>
                </w:p>
              </w:tc>
              <w:tc>
                <w:tcPr>
                  <w:tcW w:w="1215" w:type="dxa"/>
                  <w:tcBorders>
                    <w:tl2br w:val="nil"/>
                    <w:tr2bl w:val="nil"/>
                  </w:tcBorders>
                  <w:vAlign w:val="center"/>
                </w:tcPr>
                <w:p w14:paraId="00FC40A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DA</w:t>
                  </w:r>
                  <w:r>
                    <w:rPr>
                      <w:rFonts w:hint="eastAsia" w:ascii="Times New Roman" w:hAnsi="Times New Roman" w:eastAsia="宋体" w:cs="Times New Roman"/>
                      <w:color w:val="000000" w:themeColor="text1"/>
                      <w:sz w:val="21"/>
                      <w:szCs w:val="21"/>
                      <w:lang w:val="en-US" w:eastAsia="zh-CN"/>
                    </w:rPr>
                    <w:t>001</w:t>
                  </w:r>
                </w:p>
              </w:tc>
              <w:tc>
                <w:tcPr>
                  <w:tcW w:w="945" w:type="dxa"/>
                  <w:tcBorders>
                    <w:tl2br w:val="nil"/>
                    <w:tr2bl w:val="nil"/>
                  </w:tcBorders>
                  <w:vAlign w:val="center"/>
                </w:tcPr>
                <w:p w14:paraId="29D8DD1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颗粒物</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SO</w:t>
                  </w:r>
                  <w:r>
                    <w:rPr>
                      <w:rFonts w:hint="eastAsia" w:ascii="Times New Roman" w:hAnsi="Times New Roman" w:eastAsia="宋体" w:cs="Times New Roman"/>
                      <w:color w:val="000000" w:themeColor="text1"/>
                      <w:sz w:val="21"/>
                      <w:szCs w:val="21"/>
                      <w:vertAlign w:val="subscript"/>
                      <w:lang w:val="en-US" w:eastAsia="zh-CN"/>
                    </w:rPr>
                    <w:t>2</w:t>
                  </w:r>
                  <w:r>
                    <w:rPr>
                      <w:rFonts w:hint="eastAsia" w:ascii="Times New Roman" w:hAnsi="Times New Roman" w:eastAsia="宋体" w:cs="Times New Roman"/>
                      <w:color w:val="000000" w:themeColor="text1"/>
                      <w:sz w:val="21"/>
                      <w:szCs w:val="21"/>
                      <w:lang w:val="en-US" w:eastAsia="zh-CN"/>
                    </w:rPr>
                    <w:t>、NOx</w:t>
                  </w:r>
                </w:p>
              </w:tc>
              <w:tc>
                <w:tcPr>
                  <w:tcW w:w="1080" w:type="dxa"/>
                  <w:tcBorders>
                    <w:tl2br w:val="nil"/>
                    <w:tr2bl w:val="nil"/>
                  </w:tcBorders>
                  <w:vAlign w:val="center"/>
                </w:tcPr>
                <w:p w14:paraId="6EA640B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 次/年</w:t>
                  </w:r>
                </w:p>
              </w:tc>
              <w:tc>
                <w:tcPr>
                  <w:tcW w:w="3115" w:type="dxa"/>
                  <w:tcBorders>
                    <w:tl2br w:val="nil"/>
                    <w:tr2bl w:val="nil"/>
                  </w:tcBorders>
                  <w:vAlign w:val="center"/>
                </w:tcPr>
                <w:p w14:paraId="3D908C0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rPr>
                    <w:t>最</w:t>
                  </w:r>
                  <w:r>
                    <w:rPr>
                      <w:rFonts w:hint="default" w:ascii="Times New Roman" w:hAnsi="Times New Roman" w:cs="Times New Roman"/>
                      <w:bCs/>
                      <w:color w:val="000000" w:themeColor="text1"/>
                      <w:sz w:val="21"/>
                      <w:szCs w:val="21"/>
                    </w:rPr>
                    <w:t>高允许排放浓度执行</w:t>
                  </w:r>
                  <w:r>
                    <w:rPr>
                      <w:rFonts w:hint="eastAsia" w:ascii="Times New Roman" w:hAnsi="Times New Roman" w:cs="Times New Roman"/>
                      <w:bCs/>
                      <w:color w:val="000000" w:themeColor="text1"/>
                      <w:sz w:val="21"/>
                      <w:szCs w:val="21"/>
                      <w:lang w:val="en-US" w:eastAsia="zh-CN"/>
                    </w:rPr>
                    <w:t>15</w:t>
                  </w:r>
                  <w:r>
                    <w:rPr>
                      <w:rFonts w:hint="default" w:ascii="Times New Roman" w:hAnsi="Times New Roman" w:cs="Times New Roman"/>
                      <w:bCs/>
                      <w:color w:val="000000" w:themeColor="text1"/>
                      <w:sz w:val="21"/>
                      <w:szCs w:val="21"/>
                    </w:rPr>
                    <w:t>mg/m</w:t>
                  </w:r>
                  <w:r>
                    <w:rPr>
                      <w:rFonts w:hint="default" w:ascii="Times New Roman" w:hAnsi="Times New Roman" w:cs="Times New Roman"/>
                      <w:bCs/>
                      <w:color w:val="000000" w:themeColor="text1"/>
                      <w:sz w:val="21"/>
                      <w:szCs w:val="21"/>
                      <w:vertAlign w:val="superscript"/>
                    </w:rPr>
                    <w:t>3</w:t>
                  </w:r>
                  <w:r>
                    <w:rPr>
                      <w:rFonts w:hint="default" w:ascii="Times New Roman" w:hAnsi="Times New Roman" w:cs="Times New Roman"/>
                      <w:bCs/>
                      <w:color w:val="000000" w:themeColor="text1"/>
                      <w:sz w:val="21"/>
                      <w:szCs w:val="21"/>
                    </w:rPr>
                    <w:t>、最高允许排放速率执行</w:t>
                  </w:r>
                  <w:r>
                    <w:rPr>
                      <w:rFonts w:hint="eastAsia" w:ascii="Times New Roman" w:hAnsi="Times New Roman" w:cs="Times New Roman"/>
                      <w:bCs/>
                      <w:color w:val="000000" w:themeColor="text1"/>
                      <w:sz w:val="21"/>
                      <w:szCs w:val="21"/>
                      <w:lang w:val="en-US" w:eastAsia="zh-CN"/>
                    </w:rPr>
                    <w:t>0.36</w:t>
                  </w:r>
                  <w:r>
                    <w:rPr>
                      <w:rFonts w:hint="default" w:ascii="Times New Roman" w:hAnsi="Times New Roman" w:cs="Times New Roman"/>
                      <w:bCs/>
                      <w:color w:val="000000" w:themeColor="text1"/>
                      <w:sz w:val="21"/>
                      <w:szCs w:val="21"/>
                    </w:rPr>
                    <w:t>kg/h</w:t>
                  </w:r>
                  <w:r>
                    <w:rPr>
                      <w:rFonts w:hint="eastAsia" w:ascii="Times New Roman" w:hAnsi="Times New Roman" w:cs="Times New Roman"/>
                      <w:bCs/>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SO</w:t>
                  </w:r>
                  <w:r>
                    <w:rPr>
                      <w:rFonts w:hint="eastAsia" w:ascii="Times New Roman" w:hAnsi="Times New Roman" w:cs="Times New Roman"/>
                      <w:color w:val="000000" w:themeColor="text1"/>
                      <w:sz w:val="21"/>
                      <w:szCs w:val="21"/>
                      <w:vertAlign w:val="subscript"/>
                      <w:lang w:val="en-US" w:eastAsia="zh-CN"/>
                    </w:rPr>
                    <w:t>2</w:t>
                  </w:r>
                  <w:r>
                    <w:rPr>
                      <w:rFonts w:hint="default" w:ascii="Times New Roman" w:hAnsi="Times New Roman" w:cs="Times New Roman"/>
                      <w:color w:val="000000" w:themeColor="text1"/>
                      <w:sz w:val="21"/>
                      <w:szCs w:val="21"/>
                    </w:rPr>
                    <w:t>最</w:t>
                  </w:r>
                  <w:r>
                    <w:rPr>
                      <w:rFonts w:hint="default" w:ascii="Times New Roman" w:hAnsi="Times New Roman" w:cs="Times New Roman"/>
                      <w:bCs/>
                      <w:color w:val="000000" w:themeColor="text1"/>
                      <w:sz w:val="21"/>
                      <w:szCs w:val="21"/>
                    </w:rPr>
                    <w:t>高允许排放浓度执行</w:t>
                  </w:r>
                  <w:r>
                    <w:rPr>
                      <w:rFonts w:hint="eastAsia" w:ascii="Times New Roman" w:hAnsi="Times New Roman" w:cs="Times New Roman"/>
                      <w:bCs/>
                      <w:color w:val="000000" w:themeColor="text1"/>
                      <w:sz w:val="21"/>
                      <w:szCs w:val="21"/>
                      <w:lang w:val="en-US" w:eastAsia="zh-CN"/>
                    </w:rPr>
                    <w:t>200</w:t>
                  </w:r>
                  <w:r>
                    <w:rPr>
                      <w:rFonts w:hint="default" w:ascii="Times New Roman" w:hAnsi="Times New Roman" w:cs="Times New Roman"/>
                      <w:bCs/>
                      <w:color w:val="000000" w:themeColor="text1"/>
                      <w:sz w:val="21"/>
                      <w:szCs w:val="21"/>
                    </w:rPr>
                    <w:t>mg/m</w:t>
                  </w:r>
                  <w:r>
                    <w:rPr>
                      <w:rFonts w:hint="default" w:ascii="Times New Roman" w:hAnsi="Times New Roman" w:cs="Times New Roman"/>
                      <w:bCs/>
                      <w:color w:val="000000" w:themeColor="text1"/>
                      <w:sz w:val="21"/>
                      <w:szCs w:val="21"/>
                      <w:vertAlign w:val="superscript"/>
                    </w:rPr>
                    <w:t>3</w:t>
                  </w:r>
                  <w:r>
                    <w:rPr>
                      <w:rFonts w:hint="default" w:ascii="Times New Roman" w:hAnsi="Times New Roman" w:cs="Times New Roman"/>
                      <w:bCs/>
                      <w:color w:val="000000" w:themeColor="text1"/>
                      <w:sz w:val="21"/>
                      <w:szCs w:val="21"/>
                    </w:rPr>
                    <w:t>、最高允许排放速率执行</w:t>
                  </w:r>
                  <w:r>
                    <w:rPr>
                      <w:rFonts w:hint="eastAsia" w:ascii="Times New Roman" w:hAnsi="Times New Roman" w:cs="Times New Roman"/>
                      <w:bCs/>
                      <w:color w:val="000000" w:themeColor="text1"/>
                      <w:sz w:val="21"/>
                      <w:szCs w:val="21"/>
                      <w:lang w:val="en-US" w:eastAsia="zh-CN"/>
                    </w:rPr>
                    <w:t>1.6</w:t>
                  </w:r>
                  <w:r>
                    <w:rPr>
                      <w:rFonts w:hint="default" w:ascii="Times New Roman" w:hAnsi="Times New Roman" w:cs="Times New Roman"/>
                      <w:bCs/>
                      <w:color w:val="000000" w:themeColor="text1"/>
                      <w:sz w:val="21"/>
                      <w:szCs w:val="21"/>
                    </w:rPr>
                    <w:t>kg/h</w:t>
                  </w:r>
                  <w:r>
                    <w:rPr>
                      <w:rFonts w:hint="eastAsia" w:ascii="Times New Roman" w:hAnsi="Times New Roman" w:cs="Times New Roman"/>
                      <w:bCs/>
                      <w:color w:val="000000" w:themeColor="text1"/>
                      <w:sz w:val="21"/>
                      <w:szCs w:val="21"/>
                      <w:lang w:val="en-US" w:eastAsia="zh-CN"/>
                    </w:rPr>
                    <w:t>；</w:t>
                  </w:r>
                  <w:r>
                    <w:rPr>
                      <w:rFonts w:hint="eastAsia" w:ascii="Times New Roman" w:hAnsi="Times New Roman" w:cs="Times New Roman"/>
                      <w:color w:val="000000" w:themeColor="text1"/>
                      <w:sz w:val="21"/>
                      <w:szCs w:val="21"/>
                      <w:lang w:val="en-US" w:eastAsia="zh-CN"/>
                    </w:rPr>
                    <w:t>NOx</w:t>
                  </w:r>
                  <w:r>
                    <w:rPr>
                      <w:rFonts w:hint="default" w:ascii="Times New Roman" w:hAnsi="Times New Roman" w:cs="Times New Roman"/>
                      <w:color w:val="000000" w:themeColor="text1"/>
                      <w:sz w:val="21"/>
                      <w:szCs w:val="21"/>
                    </w:rPr>
                    <w:t>最</w:t>
                  </w:r>
                  <w:r>
                    <w:rPr>
                      <w:rFonts w:hint="default" w:ascii="Times New Roman" w:hAnsi="Times New Roman" w:cs="Times New Roman"/>
                      <w:bCs/>
                      <w:color w:val="000000" w:themeColor="text1"/>
                      <w:sz w:val="21"/>
                      <w:szCs w:val="21"/>
                    </w:rPr>
                    <w:t>高允许排放浓度执行</w:t>
                  </w:r>
                  <w:r>
                    <w:rPr>
                      <w:rFonts w:hint="eastAsia" w:ascii="Times New Roman" w:hAnsi="Times New Roman" w:cs="Times New Roman"/>
                      <w:bCs/>
                      <w:color w:val="000000" w:themeColor="text1"/>
                      <w:sz w:val="21"/>
                      <w:szCs w:val="21"/>
                      <w:lang w:val="en-US" w:eastAsia="zh-CN"/>
                    </w:rPr>
                    <w:t>200</w:t>
                  </w:r>
                  <w:r>
                    <w:rPr>
                      <w:rFonts w:hint="default" w:ascii="Times New Roman" w:hAnsi="Times New Roman" w:cs="Times New Roman"/>
                      <w:bCs/>
                      <w:color w:val="000000" w:themeColor="text1"/>
                      <w:sz w:val="21"/>
                      <w:szCs w:val="21"/>
                    </w:rPr>
                    <w:t>mg/m</w:t>
                  </w:r>
                  <w:r>
                    <w:rPr>
                      <w:rFonts w:hint="default" w:ascii="Times New Roman" w:hAnsi="Times New Roman" w:cs="Times New Roman"/>
                      <w:bCs/>
                      <w:color w:val="000000" w:themeColor="text1"/>
                      <w:sz w:val="21"/>
                      <w:szCs w:val="21"/>
                      <w:vertAlign w:val="superscript"/>
                    </w:rPr>
                    <w:t>3</w:t>
                  </w:r>
                  <w:r>
                    <w:rPr>
                      <w:rFonts w:hint="default" w:ascii="Times New Roman" w:hAnsi="Times New Roman" w:cs="Times New Roman"/>
                      <w:bCs/>
                      <w:color w:val="000000" w:themeColor="text1"/>
                      <w:sz w:val="21"/>
                      <w:szCs w:val="21"/>
                    </w:rPr>
                    <w:t>、最高允许排放速率执行</w:t>
                  </w:r>
                  <w:r>
                    <w:rPr>
                      <w:rFonts w:hint="eastAsia" w:ascii="Times New Roman" w:hAnsi="Times New Roman" w:cs="Times New Roman"/>
                      <w:bCs/>
                      <w:color w:val="000000" w:themeColor="text1"/>
                      <w:sz w:val="21"/>
                      <w:szCs w:val="21"/>
                      <w:lang w:val="en-US" w:eastAsia="zh-CN"/>
                    </w:rPr>
                    <w:t>0.47</w:t>
                  </w:r>
                  <w:r>
                    <w:rPr>
                      <w:rFonts w:hint="default" w:ascii="Times New Roman" w:hAnsi="Times New Roman" w:cs="Times New Roman"/>
                      <w:bCs/>
                      <w:color w:val="000000" w:themeColor="text1"/>
                      <w:sz w:val="21"/>
                      <w:szCs w:val="21"/>
                    </w:rPr>
                    <w:t>kg/h</w:t>
                  </w:r>
                  <w:r>
                    <w:rPr>
                      <w:rFonts w:hint="eastAsia" w:ascii="Times New Roman" w:hAnsi="Times New Roman" w:cs="Times New Roman"/>
                      <w:bCs/>
                      <w:color w:val="000000" w:themeColor="text1"/>
                      <w:sz w:val="21"/>
                      <w:szCs w:val="21"/>
                      <w:lang w:val="en-US" w:eastAsia="zh-CN"/>
                    </w:rPr>
                    <w:t>。</w:t>
                  </w:r>
                </w:p>
              </w:tc>
            </w:tr>
            <w:tr w14:paraId="5279FC5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26" w:hRule="atLeast"/>
                <w:jc w:val="center"/>
              </w:trPr>
              <w:tc>
                <w:tcPr>
                  <w:tcW w:w="820" w:type="dxa"/>
                  <w:vMerge w:val="continue"/>
                  <w:tcBorders>
                    <w:tl2br w:val="nil"/>
                    <w:tr2bl w:val="nil"/>
                  </w:tcBorders>
                  <w:vAlign w:val="center"/>
                </w:tcPr>
                <w:p w14:paraId="04F276ED">
                  <w:pPr>
                    <w:keepNext w:val="0"/>
                    <w:keepLines w:val="0"/>
                    <w:pageBreakBefore w:val="0"/>
                    <w:wordWrap/>
                    <w:overflowPunct/>
                    <w:topLinePunct w:val="0"/>
                    <w:bidi w:val="0"/>
                    <w:ind w:firstLine="0" w:firstLineChars="0"/>
                    <w:rPr>
                      <w:rFonts w:ascii="Arial"/>
                      <w:color w:val="000000" w:themeColor="text1"/>
                      <w:sz w:val="21"/>
                    </w:rPr>
                  </w:pPr>
                </w:p>
              </w:tc>
              <w:tc>
                <w:tcPr>
                  <w:tcW w:w="982" w:type="dxa"/>
                  <w:tcBorders>
                    <w:tl2br w:val="nil"/>
                    <w:tr2bl w:val="nil"/>
                  </w:tcBorders>
                  <w:vAlign w:val="center"/>
                </w:tcPr>
                <w:p w14:paraId="067040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色母粒生产废气排放口</w:t>
                  </w:r>
                </w:p>
              </w:tc>
              <w:tc>
                <w:tcPr>
                  <w:tcW w:w="1215" w:type="dxa"/>
                  <w:tcBorders>
                    <w:tl2br w:val="nil"/>
                    <w:tr2bl w:val="nil"/>
                  </w:tcBorders>
                  <w:vAlign w:val="center"/>
                </w:tcPr>
                <w:p w14:paraId="1DF1BB0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DA</w:t>
                  </w:r>
                  <w:r>
                    <w:rPr>
                      <w:rFonts w:hint="eastAsia" w:ascii="Times New Roman" w:hAnsi="Times New Roman" w:eastAsia="宋体" w:cs="Times New Roman"/>
                      <w:color w:val="000000" w:themeColor="text1"/>
                      <w:sz w:val="21"/>
                      <w:szCs w:val="21"/>
                      <w:lang w:val="en-US" w:eastAsia="zh-CN"/>
                    </w:rPr>
                    <w:t>002</w:t>
                  </w:r>
                </w:p>
              </w:tc>
              <w:tc>
                <w:tcPr>
                  <w:tcW w:w="945" w:type="dxa"/>
                  <w:tcBorders>
                    <w:tl2br w:val="nil"/>
                    <w:tr2bl w:val="nil"/>
                  </w:tcBorders>
                  <w:vAlign w:val="center"/>
                </w:tcPr>
                <w:p w14:paraId="08067A8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颗粒物</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非甲烷总烃</w:t>
                  </w:r>
                  <w:r>
                    <w:rPr>
                      <w:rFonts w:hint="eastAsia" w:ascii="Times New Roman" w:hAnsi="Times New Roman" w:cs="Times New Roman"/>
                      <w:color w:val="000000" w:themeColor="text1"/>
                      <w:sz w:val="21"/>
                      <w:szCs w:val="21"/>
                      <w:lang w:val="en-US" w:eastAsia="zh-CN"/>
                    </w:rPr>
                    <w:t>、臭气浓度</w:t>
                  </w:r>
                </w:p>
              </w:tc>
              <w:tc>
                <w:tcPr>
                  <w:tcW w:w="1080" w:type="dxa"/>
                  <w:tcBorders>
                    <w:tl2br w:val="nil"/>
                    <w:tr2bl w:val="nil"/>
                  </w:tcBorders>
                  <w:vAlign w:val="center"/>
                </w:tcPr>
                <w:p w14:paraId="1BEE0BC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 次/年</w:t>
                  </w:r>
                </w:p>
              </w:tc>
              <w:tc>
                <w:tcPr>
                  <w:tcW w:w="3115" w:type="dxa"/>
                  <w:tcBorders>
                    <w:tl2br w:val="nil"/>
                    <w:tr2bl w:val="nil"/>
                  </w:tcBorders>
                  <w:vAlign w:val="center"/>
                </w:tcPr>
                <w:p w14:paraId="3E9DE6A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《挥发性有机物排放标准 第4部分：塑料制造业》（DB36/1101.</w:t>
                  </w:r>
                  <w:r>
                    <w:rPr>
                      <w:rFonts w:hint="eastAsia" w:ascii="Times New Roman" w:hAnsi="Times New Roman" w:eastAsia="宋体" w:cs="Times New Roman"/>
                      <w:bCs/>
                      <w:color w:val="000000" w:themeColor="text1"/>
                      <w:sz w:val="21"/>
                      <w:szCs w:val="21"/>
                      <w:lang w:val="en-US" w:eastAsia="zh-CN"/>
                    </w:rPr>
                    <w:t>4</w:t>
                  </w:r>
                  <w:r>
                    <w:rPr>
                      <w:rFonts w:hint="default" w:ascii="Times New Roman" w:hAnsi="Times New Roman" w:eastAsia="宋体" w:cs="Times New Roman"/>
                      <w:bCs/>
                      <w:color w:val="000000" w:themeColor="text1"/>
                      <w:sz w:val="21"/>
                      <w:szCs w:val="21"/>
                    </w:rPr>
                    <w:t>-2019）</w:t>
                  </w:r>
                  <w:r>
                    <w:rPr>
                      <w:rFonts w:hint="eastAsia" w:ascii="Times New Roman" w:hAnsi="Times New Roman" w:cs="Times New Roman"/>
                      <w:color w:val="000000" w:themeColor="text1"/>
                      <w:sz w:val="21"/>
                      <w:szCs w:val="21"/>
                      <w:lang w:eastAsia="zh-CN"/>
                    </w:rPr>
                    <w:t>；</w:t>
                  </w:r>
                  <w:r>
                    <w:rPr>
                      <w:rFonts w:hint="eastAsia" w:ascii="Times New Roman" w:hAnsi="Times New Roman" w:cs="Times New Roman"/>
                      <w:color w:val="000000" w:themeColor="text1"/>
                      <w:sz w:val="21"/>
                      <w:szCs w:val="21"/>
                      <w:lang w:val="en-US" w:eastAsia="zh-CN"/>
                    </w:rPr>
                    <w:t>TSP</w:t>
                  </w:r>
                  <w:r>
                    <w:rPr>
                      <w:rFonts w:hint="default" w:ascii="Times New Roman" w:hAnsi="Times New Roman" w:cs="Times New Roman"/>
                      <w:color w:val="000000" w:themeColor="text1"/>
                      <w:sz w:val="21"/>
                      <w:szCs w:val="21"/>
                    </w:rPr>
                    <w:t>最</w:t>
                  </w:r>
                  <w:r>
                    <w:rPr>
                      <w:rFonts w:hint="default" w:ascii="Times New Roman" w:hAnsi="Times New Roman" w:cs="Times New Roman"/>
                      <w:bCs/>
                      <w:color w:val="000000" w:themeColor="text1"/>
                      <w:sz w:val="21"/>
                      <w:szCs w:val="21"/>
                    </w:rPr>
                    <w:t>高允许排放浓度执行</w:t>
                  </w:r>
                  <w:r>
                    <w:rPr>
                      <w:rFonts w:hint="eastAsia" w:ascii="Times New Roman" w:hAnsi="Times New Roman" w:cs="Times New Roman"/>
                      <w:bCs/>
                      <w:color w:val="000000" w:themeColor="text1"/>
                      <w:sz w:val="21"/>
                      <w:szCs w:val="21"/>
                      <w:lang w:val="en-US" w:eastAsia="zh-CN"/>
                    </w:rPr>
                    <w:t>15</w:t>
                  </w:r>
                  <w:r>
                    <w:rPr>
                      <w:rFonts w:hint="default" w:ascii="Times New Roman" w:hAnsi="Times New Roman" w:cs="Times New Roman"/>
                      <w:bCs/>
                      <w:color w:val="000000" w:themeColor="text1"/>
                      <w:sz w:val="21"/>
                      <w:szCs w:val="21"/>
                    </w:rPr>
                    <w:t>mg/m</w:t>
                  </w:r>
                  <w:r>
                    <w:rPr>
                      <w:rFonts w:hint="default" w:ascii="Times New Roman" w:hAnsi="Times New Roman" w:cs="Times New Roman"/>
                      <w:bCs/>
                      <w:color w:val="000000" w:themeColor="text1"/>
                      <w:sz w:val="21"/>
                      <w:szCs w:val="21"/>
                      <w:vertAlign w:val="superscript"/>
                    </w:rPr>
                    <w:t>3</w:t>
                  </w:r>
                  <w:r>
                    <w:rPr>
                      <w:rFonts w:hint="default" w:ascii="Times New Roman" w:hAnsi="Times New Roman" w:cs="Times New Roman"/>
                      <w:bCs/>
                      <w:color w:val="000000" w:themeColor="text1"/>
                      <w:sz w:val="21"/>
                      <w:szCs w:val="21"/>
                    </w:rPr>
                    <w:t>、最高允许排放速率执行</w:t>
                  </w:r>
                  <w:r>
                    <w:rPr>
                      <w:rFonts w:hint="eastAsia" w:ascii="Times New Roman" w:hAnsi="Times New Roman" w:cs="Times New Roman"/>
                      <w:bCs/>
                      <w:color w:val="000000" w:themeColor="text1"/>
                      <w:sz w:val="21"/>
                      <w:szCs w:val="21"/>
                      <w:lang w:val="en-US" w:eastAsia="zh-CN"/>
                    </w:rPr>
                    <w:t>0.36</w:t>
                  </w:r>
                  <w:r>
                    <w:rPr>
                      <w:rFonts w:hint="default" w:ascii="Times New Roman" w:hAnsi="Times New Roman" w:cs="Times New Roman"/>
                      <w:bCs/>
                      <w:color w:val="000000" w:themeColor="text1"/>
                      <w:sz w:val="21"/>
                      <w:szCs w:val="21"/>
                    </w:rPr>
                    <w:t>kg/h</w:t>
                  </w:r>
                  <w:r>
                    <w:rPr>
                      <w:rFonts w:hint="eastAsia" w:ascii="Times New Roman" w:hAnsi="Times New Roman" w:cs="Times New Roman"/>
                      <w:bCs/>
                      <w:color w:val="000000" w:themeColor="text1"/>
                      <w:sz w:val="21"/>
                      <w:szCs w:val="21"/>
                      <w:lang w:eastAsia="zh-CN"/>
                    </w:rPr>
                    <w:t>；</w:t>
                  </w:r>
                  <w:r>
                    <w:rPr>
                      <w:rFonts w:hint="default" w:ascii="Times New Roman" w:hAnsi="Times New Roman" w:eastAsia="宋体" w:cs="Times New Roman"/>
                      <w:bCs/>
                      <w:color w:val="000000" w:themeColor="text1"/>
                      <w:sz w:val="21"/>
                      <w:szCs w:val="21"/>
                    </w:rPr>
                    <w:t>《恶臭污染物排</w:t>
                  </w:r>
                </w:p>
                <w:p w14:paraId="6B47A15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bCs/>
                      <w:color w:val="000000" w:themeColor="text1"/>
                      <w:sz w:val="21"/>
                      <w:szCs w:val="21"/>
                      <w:lang w:eastAsia="zh-CN"/>
                    </w:rPr>
                  </w:pPr>
                  <w:r>
                    <w:rPr>
                      <w:rFonts w:hint="default" w:ascii="Times New Roman" w:hAnsi="Times New Roman" w:eastAsia="宋体" w:cs="Times New Roman"/>
                      <w:bCs/>
                      <w:color w:val="000000" w:themeColor="text1"/>
                      <w:sz w:val="21"/>
                      <w:szCs w:val="21"/>
                    </w:rPr>
                    <w:t>放标准》（GB14554-93）</w:t>
                  </w:r>
                </w:p>
              </w:tc>
            </w:tr>
            <w:tr w14:paraId="1B1E2A01">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565" w:hRule="atLeast"/>
                <w:jc w:val="center"/>
              </w:trPr>
              <w:tc>
                <w:tcPr>
                  <w:tcW w:w="820" w:type="dxa"/>
                  <w:vMerge w:val="continue"/>
                  <w:tcBorders>
                    <w:tl2br w:val="nil"/>
                    <w:tr2bl w:val="nil"/>
                  </w:tcBorders>
                  <w:vAlign w:val="center"/>
                </w:tcPr>
                <w:p w14:paraId="0F530C1B">
                  <w:pPr>
                    <w:keepNext w:val="0"/>
                    <w:keepLines w:val="0"/>
                    <w:pageBreakBefore w:val="0"/>
                    <w:wordWrap/>
                    <w:overflowPunct/>
                    <w:topLinePunct w:val="0"/>
                    <w:bidi w:val="0"/>
                    <w:ind w:firstLine="0" w:firstLineChars="0"/>
                    <w:rPr>
                      <w:rFonts w:ascii="Arial"/>
                      <w:color w:val="000000" w:themeColor="text1"/>
                      <w:sz w:val="21"/>
                    </w:rPr>
                  </w:pPr>
                </w:p>
              </w:tc>
              <w:tc>
                <w:tcPr>
                  <w:tcW w:w="982" w:type="dxa"/>
                  <w:vMerge w:val="restart"/>
                  <w:tcBorders>
                    <w:tl2br w:val="nil"/>
                    <w:tr2bl w:val="nil"/>
                  </w:tcBorders>
                  <w:vAlign w:val="center"/>
                </w:tcPr>
                <w:p w14:paraId="59A33AC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无组织废气</w:t>
                  </w:r>
                </w:p>
              </w:tc>
              <w:tc>
                <w:tcPr>
                  <w:tcW w:w="1215" w:type="dxa"/>
                  <w:vMerge w:val="restart"/>
                  <w:tcBorders>
                    <w:tl2br w:val="nil"/>
                    <w:tr2bl w:val="nil"/>
                  </w:tcBorders>
                  <w:vAlign w:val="center"/>
                </w:tcPr>
                <w:p w14:paraId="64565B5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厂界</w:t>
                  </w:r>
                </w:p>
              </w:tc>
              <w:tc>
                <w:tcPr>
                  <w:tcW w:w="945" w:type="dxa"/>
                  <w:tcBorders>
                    <w:tl2br w:val="nil"/>
                    <w:tr2bl w:val="nil"/>
                  </w:tcBorders>
                  <w:vAlign w:val="center"/>
                </w:tcPr>
                <w:p w14:paraId="79E1DE7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颗粒物</w:t>
                  </w:r>
                </w:p>
              </w:tc>
              <w:tc>
                <w:tcPr>
                  <w:tcW w:w="1080" w:type="dxa"/>
                  <w:tcBorders>
                    <w:tl2br w:val="nil"/>
                    <w:tr2bl w:val="nil"/>
                  </w:tcBorders>
                  <w:vAlign w:val="center"/>
                </w:tcPr>
                <w:p w14:paraId="7510792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1 次/</w:t>
                  </w:r>
                  <w:r>
                    <w:rPr>
                      <w:rFonts w:hint="eastAsia" w:ascii="Times New Roman" w:hAnsi="Times New Roman" w:cs="Times New Roman"/>
                      <w:color w:val="000000" w:themeColor="text1"/>
                      <w:sz w:val="21"/>
                      <w:szCs w:val="21"/>
                      <w:lang w:val="en-US" w:eastAsia="zh-CN"/>
                    </w:rPr>
                    <w:t>半年</w:t>
                  </w:r>
                </w:p>
              </w:tc>
              <w:tc>
                <w:tcPr>
                  <w:tcW w:w="3115" w:type="dxa"/>
                  <w:tcBorders>
                    <w:tl2br w:val="nil"/>
                    <w:tr2bl w:val="nil"/>
                  </w:tcBorders>
                  <w:vAlign w:val="center"/>
                </w:tcPr>
                <w:p w14:paraId="0F353D1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eastAsia" w:ascii="Times New Roman" w:hAnsi="Times New Roman" w:eastAsia="宋体" w:cs="Times New Roman"/>
                      <w:bCs/>
                      <w:color w:val="000000" w:themeColor="text1"/>
                      <w:sz w:val="21"/>
                      <w:szCs w:val="21"/>
                      <w:lang w:val="en-US" w:eastAsia="zh-CN"/>
                    </w:rPr>
                    <w:t>生产装置不得有明显的无组织排放</w:t>
                  </w:r>
                </w:p>
              </w:tc>
            </w:tr>
            <w:tr w14:paraId="6322DF16">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17" w:hRule="atLeast"/>
                <w:jc w:val="center"/>
              </w:trPr>
              <w:tc>
                <w:tcPr>
                  <w:tcW w:w="820" w:type="dxa"/>
                  <w:vMerge w:val="continue"/>
                  <w:tcBorders>
                    <w:tl2br w:val="nil"/>
                    <w:tr2bl w:val="nil"/>
                  </w:tcBorders>
                  <w:vAlign w:val="center"/>
                </w:tcPr>
                <w:p w14:paraId="577AF8E6">
                  <w:pPr>
                    <w:keepNext w:val="0"/>
                    <w:keepLines w:val="0"/>
                    <w:pageBreakBefore w:val="0"/>
                    <w:wordWrap/>
                    <w:overflowPunct/>
                    <w:topLinePunct w:val="0"/>
                    <w:bidi w:val="0"/>
                    <w:ind w:firstLine="0" w:firstLineChars="0"/>
                    <w:rPr>
                      <w:rFonts w:ascii="Arial"/>
                      <w:color w:val="000000" w:themeColor="text1"/>
                      <w:sz w:val="21"/>
                    </w:rPr>
                  </w:pPr>
                </w:p>
              </w:tc>
              <w:tc>
                <w:tcPr>
                  <w:tcW w:w="982" w:type="dxa"/>
                  <w:vMerge w:val="continue"/>
                  <w:tcBorders>
                    <w:tl2br w:val="nil"/>
                    <w:tr2bl w:val="nil"/>
                  </w:tcBorders>
                  <w:vAlign w:val="center"/>
                </w:tcPr>
                <w:p w14:paraId="055D618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1215" w:type="dxa"/>
                  <w:vMerge w:val="continue"/>
                  <w:tcBorders>
                    <w:tl2br w:val="nil"/>
                    <w:tr2bl w:val="nil"/>
                  </w:tcBorders>
                  <w:vAlign w:val="center"/>
                </w:tcPr>
                <w:p w14:paraId="528D3F4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945" w:type="dxa"/>
                  <w:tcBorders>
                    <w:tl2br w:val="nil"/>
                    <w:tr2bl w:val="nil"/>
                  </w:tcBorders>
                  <w:vAlign w:val="center"/>
                </w:tcPr>
                <w:p w14:paraId="1C88B73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z w:val="21"/>
                      <w:szCs w:val="21"/>
                      <w:lang w:val="en-US" w:eastAsia="zh-CN"/>
                    </w:rPr>
                    <w:t>臭气浓度</w:t>
                  </w:r>
                </w:p>
              </w:tc>
              <w:tc>
                <w:tcPr>
                  <w:tcW w:w="1080" w:type="dxa"/>
                  <w:tcBorders>
                    <w:tl2br w:val="nil"/>
                    <w:tr2bl w:val="nil"/>
                  </w:tcBorders>
                  <w:vAlign w:val="center"/>
                </w:tcPr>
                <w:p w14:paraId="7F53682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 次/</w:t>
                  </w:r>
                  <w:r>
                    <w:rPr>
                      <w:rFonts w:hint="eastAsia" w:ascii="Times New Roman" w:hAnsi="Times New Roman" w:eastAsia="宋体" w:cs="Times New Roman"/>
                      <w:color w:val="000000" w:themeColor="text1"/>
                      <w:sz w:val="21"/>
                      <w:szCs w:val="21"/>
                      <w:lang w:val="en-US" w:eastAsia="zh-CN"/>
                    </w:rPr>
                    <w:t>年</w:t>
                  </w:r>
                </w:p>
              </w:tc>
              <w:tc>
                <w:tcPr>
                  <w:tcW w:w="3115" w:type="dxa"/>
                  <w:tcBorders>
                    <w:tl2br w:val="nil"/>
                    <w:tr2bl w:val="nil"/>
                  </w:tcBorders>
                  <w:vAlign w:val="center"/>
                </w:tcPr>
                <w:p w14:paraId="4DB8523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《恶臭污染物排</w:t>
                  </w:r>
                </w:p>
                <w:p w14:paraId="6F02468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放标准》（GB14554-93）</w:t>
                  </w:r>
                </w:p>
              </w:tc>
            </w:tr>
            <w:tr w14:paraId="7DFCA66C">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17" w:hRule="atLeast"/>
                <w:jc w:val="center"/>
              </w:trPr>
              <w:tc>
                <w:tcPr>
                  <w:tcW w:w="820" w:type="dxa"/>
                  <w:vMerge w:val="continue"/>
                  <w:tcBorders>
                    <w:tl2br w:val="nil"/>
                    <w:tr2bl w:val="nil"/>
                  </w:tcBorders>
                  <w:vAlign w:val="center"/>
                </w:tcPr>
                <w:p w14:paraId="6CB02C05">
                  <w:pPr>
                    <w:keepNext w:val="0"/>
                    <w:keepLines w:val="0"/>
                    <w:pageBreakBefore w:val="0"/>
                    <w:wordWrap/>
                    <w:overflowPunct/>
                    <w:topLinePunct w:val="0"/>
                    <w:bidi w:val="0"/>
                    <w:ind w:firstLine="0" w:firstLineChars="0"/>
                    <w:rPr>
                      <w:rFonts w:ascii="Arial"/>
                      <w:color w:val="000000" w:themeColor="text1"/>
                      <w:sz w:val="21"/>
                    </w:rPr>
                  </w:pPr>
                </w:p>
              </w:tc>
              <w:tc>
                <w:tcPr>
                  <w:tcW w:w="982" w:type="dxa"/>
                  <w:vMerge w:val="continue"/>
                  <w:tcBorders>
                    <w:tl2br w:val="nil"/>
                    <w:tr2bl w:val="nil"/>
                  </w:tcBorders>
                  <w:vAlign w:val="center"/>
                </w:tcPr>
                <w:p w14:paraId="3B135E2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p>
              </w:tc>
              <w:tc>
                <w:tcPr>
                  <w:tcW w:w="1215" w:type="dxa"/>
                  <w:vMerge w:val="continue"/>
                  <w:tcBorders>
                    <w:tl2br w:val="nil"/>
                    <w:tr2bl w:val="nil"/>
                  </w:tcBorders>
                  <w:vAlign w:val="center"/>
                </w:tcPr>
                <w:p w14:paraId="30E6168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z w:val="21"/>
                      <w:szCs w:val="21"/>
                      <w:lang w:val="en-US" w:eastAsia="zh-CN"/>
                    </w:rPr>
                  </w:pPr>
                </w:p>
              </w:tc>
              <w:tc>
                <w:tcPr>
                  <w:tcW w:w="945" w:type="dxa"/>
                  <w:tcBorders>
                    <w:tl2br w:val="nil"/>
                    <w:tr2bl w:val="nil"/>
                  </w:tcBorders>
                  <w:vAlign w:val="center"/>
                </w:tcPr>
                <w:p w14:paraId="716BAD3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非甲烷总烃</w:t>
                  </w:r>
                </w:p>
              </w:tc>
              <w:tc>
                <w:tcPr>
                  <w:tcW w:w="1080" w:type="dxa"/>
                  <w:tcBorders>
                    <w:tl2br w:val="nil"/>
                    <w:tr2bl w:val="nil"/>
                  </w:tcBorders>
                  <w:vAlign w:val="center"/>
                </w:tcPr>
                <w:p w14:paraId="1941837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 次/</w:t>
                  </w:r>
                  <w:r>
                    <w:rPr>
                      <w:rFonts w:hint="eastAsia" w:ascii="Times New Roman" w:hAnsi="Times New Roman" w:eastAsia="宋体" w:cs="Times New Roman"/>
                      <w:color w:val="000000" w:themeColor="text1"/>
                      <w:sz w:val="21"/>
                      <w:szCs w:val="21"/>
                      <w:lang w:val="en-US" w:eastAsia="zh-CN"/>
                    </w:rPr>
                    <w:t>年</w:t>
                  </w:r>
                </w:p>
              </w:tc>
              <w:tc>
                <w:tcPr>
                  <w:tcW w:w="3115" w:type="dxa"/>
                  <w:tcBorders>
                    <w:tl2br w:val="nil"/>
                    <w:tr2bl w:val="nil"/>
                  </w:tcBorders>
                  <w:vAlign w:val="center"/>
                </w:tcPr>
                <w:p w14:paraId="1324E28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《挥发性有机物排放标准 第4部分：塑料制造业》（DB36/1101.</w:t>
                  </w:r>
                  <w:r>
                    <w:rPr>
                      <w:rFonts w:hint="eastAsia" w:ascii="Times New Roman" w:hAnsi="Times New Roman" w:eastAsia="宋体" w:cs="Times New Roman"/>
                      <w:bCs/>
                      <w:color w:val="000000" w:themeColor="text1"/>
                      <w:sz w:val="21"/>
                      <w:szCs w:val="21"/>
                      <w:lang w:val="en-US" w:eastAsia="zh-CN"/>
                    </w:rPr>
                    <w:t>4</w:t>
                  </w:r>
                  <w:r>
                    <w:rPr>
                      <w:rFonts w:hint="default" w:ascii="Times New Roman" w:hAnsi="Times New Roman" w:eastAsia="宋体" w:cs="Times New Roman"/>
                      <w:bCs/>
                      <w:color w:val="000000" w:themeColor="text1"/>
                      <w:sz w:val="21"/>
                      <w:szCs w:val="21"/>
                    </w:rPr>
                    <w:t>-2019）</w:t>
                  </w:r>
                </w:p>
              </w:tc>
            </w:tr>
          </w:tbl>
          <w:p w14:paraId="5C3B61BC">
            <w:pPr>
              <w:pStyle w:val="12"/>
              <w:spacing w:before="0" w:after="0" w:line="360" w:lineRule="auto"/>
              <w:ind w:right="0" w:firstLine="482"/>
              <w:rPr>
                <w:rFonts w:hint="default" w:ascii="Times New Roman" w:hAnsi="Times New Roman" w:eastAsia="宋体" w:cs="Times New Roman"/>
                <w:b/>
                <w:bCs/>
                <w:color w:val="000000" w:themeColor="text1"/>
                <w:kern w:val="2"/>
                <w:sz w:val="24"/>
                <w:szCs w:val="24"/>
              </w:rPr>
            </w:pPr>
            <w:r>
              <w:rPr>
                <w:rFonts w:hint="default" w:ascii="Times New Roman" w:hAnsi="Times New Roman" w:eastAsia="宋体" w:cs="Times New Roman"/>
                <w:b/>
                <w:bCs/>
                <w:color w:val="000000" w:themeColor="text1"/>
                <w:kern w:val="2"/>
                <w:sz w:val="24"/>
                <w:szCs w:val="24"/>
              </w:rPr>
              <w:t>2.</w:t>
            </w:r>
            <w:r>
              <w:rPr>
                <w:rFonts w:hint="eastAsia" w:ascii="Times New Roman" w:hAnsi="Times New Roman" w:eastAsia="宋体" w:cs="Times New Roman"/>
                <w:b/>
                <w:bCs/>
                <w:color w:val="000000" w:themeColor="text1"/>
                <w:kern w:val="2"/>
                <w:sz w:val="24"/>
                <w:szCs w:val="24"/>
                <w:lang w:val="en-US" w:eastAsia="zh-CN"/>
              </w:rPr>
              <w:t>6</w:t>
            </w:r>
            <w:r>
              <w:rPr>
                <w:rFonts w:hint="default" w:ascii="Times New Roman" w:hAnsi="Times New Roman" w:eastAsia="宋体" w:cs="Times New Roman"/>
                <w:b/>
                <w:bCs/>
                <w:color w:val="000000" w:themeColor="text1"/>
                <w:kern w:val="2"/>
                <w:sz w:val="24"/>
                <w:szCs w:val="24"/>
              </w:rPr>
              <w:t xml:space="preserve"> 卫生防护距离</w:t>
            </w:r>
          </w:p>
          <w:p w14:paraId="5D6047A1">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①等标排放量计算及特征</w:t>
            </w:r>
            <w:r>
              <w:rPr>
                <w:rFonts w:hint="default" w:ascii="Times New Roman" w:hAnsi="Times New Roman" w:eastAsia="宋体" w:cs="Times New Roman"/>
                <w:bCs/>
                <w:color w:val="000000" w:themeColor="text1"/>
              </w:rPr>
              <w:t>大气有害物质确定</w:t>
            </w:r>
          </w:p>
          <w:p w14:paraId="72F0090B">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bCs/>
                <w:color w:val="000000" w:themeColor="text1"/>
              </w:rPr>
            </w:pPr>
            <w:r>
              <w:rPr>
                <w:rFonts w:hint="default" w:ascii="Times New Roman" w:hAnsi="Times New Roman" w:eastAsia="宋体" w:cs="Times New Roman"/>
                <w:color w:val="000000" w:themeColor="text1"/>
              </w:rPr>
              <w:t>根据《</w:t>
            </w:r>
            <w:r>
              <w:rPr>
                <w:rFonts w:hint="default" w:ascii="Times New Roman" w:hAnsi="Times New Roman" w:eastAsia="宋体" w:cs="Times New Roman"/>
                <w:bCs/>
                <w:color w:val="000000" w:themeColor="text1"/>
              </w:rPr>
              <w:t>大气有害物质无组织排放卫生防护距离推导技术导则》（GB/T 39499-2020），“在选取特征大气有害物质时，应首先考虑其对人体健康损害毒性特点，并根据目标行业企业的产品产量及其原辅材料、工艺特征、中间产物、产排污特点等具体情况，确定单个大气有害物质的无组织排放量及等标排放量（Qc/Cm），最终确定卫生防护距离相关的主要特征大气有害物质1种</w:t>
            </w:r>
            <w:r>
              <w:rPr>
                <w:rFonts w:hint="eastAsia" w:cs="Times New Roman"/>
                <w:bCs/>
                <w:color w:val="000000" w:themeColor="text1"/>
                <w:lang w:eastAsia="zh-CN"/>
              </w:rPr>
              <w:t>～</w:t>
            </w:r>
            <w:r>
              <w:rPr>
                <w:rFonts w:hint="default" w:ascii="Times New Roman" w:hAnsi="Times New Roman" w:eastAsia="宋体" w:cs="Times New Roman"/>
                <w:bCs/>
                <w:color w:val="000000" w:themeColor="text1"/>
              </w:rPr>
              <w:t>2种。”“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14:paraId="08E840E0">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bCs/>
                <w:color w:val="000000" w:themeColor="text1"/>
              </w:rPr>
            </w:pPr>
            <w:r>
              <w:rPr>
                <w:rFonts w:hint="default" w:ascii="Times New Roman" w:hAnsi="Times New Roman" w:eastAsia="宋体" w:cs="Times New Roman"/>
                <w:bCs/>
                <w:color w:val="000000" w:themeColor="text1"/>
              </w:rPr>
              <w:t>项目无组织排放有毒有害污染物的等标排放量计算如下表：</w:t>
            </w:r>
          </w:p>
          <w:p w14:paraId="000AD30F">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w:t>
            </w:r>
            <w:r>
              <w:rPr>
                <w:rFonts w:hint="default" w:ascii="Times New Roman" w:hAnsi="Times New Roman" w:eastAsia="宋体" w:cs="Times New Roman"/>
                <w:b/>
                <w:color w:val="000000" w:themeColor="text1"/>
                <w:sz w:val="21"/>
                <w:szCs w:val="21"/>
                <w:lang w:val="en-US" w:eastAsia="zh-CN"/>
              </w:rPr>
              <w:t>1</w:t>
            </w:r>
            <w:r>
              <w:rPr>
                <w:rFonts w:hint="eastAsia" w:cs="Times New Roman"/>
                <w:b/>
                <w:color w:val="000000" w:themeColor="text1"/>
                <w:sz w:val="21"/>
                <w:szCs w:val="21"/>
                <w:lang w:val="en-US" w:eastAsia="zh-CN"/>
              </w:rPr>
              <w:t>4</w:t>
            </w:r>
            <w:r>
              <w:rPr>
                <w:rFonts w:hint="default" w:ascii="Times New Roman" w:hAnsi="Times New Roman" w:eastAsia="宋体" w:cs="Times New Roman"/>
                <w:b/>
                <w:color w:val="000000" w:themeColor="text1"/>
                <w:sz w:val="21"/>
                <w:szCs w:val="21"/>
              </w:rPr>
              <w:t xml:space="preserve">  项目</w:t>
            </w:r>
            <w:r>
              <w:rPr>
                <w:rFonts w:hint="default" w:ascii="Times New Roman" w:hAnsi="Times New Roman" w:eastAsia="宋体" w:cs="Times New Roman"/>
                <w:b/>
                <w:bCs/>
                <w:color w:val="000000" w:themeColor="text1"/>
                <w:sz w:val="21"/>
                <w:szCs w:val="21"/>
              </w:rPr>
              <w:t>无组织排放有毒有害污染物的等标排放量</w:t>
            </w:r>
            <w:r>
              <w:rPr>
                <w:rFonts w:hint="default" w:ascii="Times New Roman" w:hAnsi="Times New Roman" w:eastAsia="宋体" w:cs="Times New Roman"/>
                <w:b/>
                <w:color w:val="000000" w:themeColor="text1"/>
                <w:sz w:val="21"/>
                <w:szCs w:val="21"/>
              </w:rPr>
              <w:t>计算表</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9"/>
              <w:gridCol w:w="1285"/>
              <w:gridCol w:w="1575"/>
              <w:gridCol w:w="1953"/>
              <w:gridCol w:w="1715"/>
            </w:tblGrid>
            <w:tr w14:paraId="4FC8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pct"/>
                  <w:tcBorders>
                    <w:top w:val="single" w:color="auto" w:sz="12" w:space="0"/>
                  </w:tcBorders>
                  <w:vAlign w:val="center"/>
                </w:tcPr>
                <w:p w14:paraId="437C768F">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污染物位置</w:t>
                  </w:r>
                </w:p>
              </w:tc>
              <w:tc>
                <w:tcPr>
                  <w:tcW w:w="791" w:type="pct"/>
                  <w:tcBorders>
                    <w:top w:val="single" w:color="auto" w:sz="12" w:space="0"/>
                  </w:tcBorders>
                  <w:vAlign w:val="center"/>
                </w:tcPr>
                <w:p w14:paraId="656B090E">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污染源名称</w:t>
                  </w:r>
                </w:p>
              </w:tc>
              <w:tc>
                <w:tcPr>
                  <w:tcW w:w="970" w:type="pct"/>
                  <w:tcBorders>
                    <w:top w:val="single" w:color="auto" w:sz="12" w:space="0"/>
                  </w:tcBorders>
                  <w:vAlign w:val="center"/>
                </w:tcPr>
                <w:p w14:paraId="2970D672">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最大排放速率（kg/h）</w:t>
                  </w:r>
                </w:p>
              </w:tc>
              <w:tc>
                <w:tcPr>
                  <w:tcW w:w="1202" w:type="pct"/>
                  <w:tcBorders>
                    <w:top w:val="single" w:color="auto" w:sz="12" w:space="0"/>
                  </w:tcBorders>
                  <w:vAlign w:val="center"/>
                </w:tcPr>
                <w:p w14:paraId="75056BC1">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18"/>
                      <w:sz w:val="21"/>
                      <w:szCs w:val="21"/>
                    </w:rPr>
                  </w:pPr>
                  <w:r>
                    <w:rPr>
                      <w:rFonts w:hint="default" w:ascii="Times New Roman" w:hAnsi="Times New Roman" w:eastAsia="宋体" w:cs="Times New Roman"/>
                      <w:b/>
                      <w:color w:val="000000" w:themeColor="text1"/>
                      <w:kern w:val="18"/>
                      <w:sz w:val="21"/>
                      <w:szCs w:val="21"/>
                    </w:rPr>
                    <w:t>环境空气质量标准*（mg/m</w:t>
                  </w:r>
                  <w:r>
                    <w:rPr>
                      <w:rFonts w:hint="default" w:ascii="Times New Roman" w:hAnsi="Times New Roman" w:eastAsia="宋体" w:cs="Times New Roman"/>
                      <w:b/>
                      <w:color w:val="000000" w:themeColor="text1"/>
                      <w:kern w:val="18"/>
                      <w:sz w:val="21"/>
                      <w:szCs w:val="21"/>
                      <w:vertAlign w:val="superscript"/>
                    </w:rPr>
                    <w:t>3</w:t>
                  </w:r>
                  <w:r>
                    <w:rPr>
                      <w:rFonts w:hint="default" w:ascii="Times New Roman" w:hAnsi="Times New Roman" w:eastAsia="宋体" w:cs="Times New Roman"/>
                      <w:b/>
                      <w:color w:val="000000" w:themeColor="text1"/>
                      <w:kern w:val="18"/>
                      <w:sz w:val="21"/>
                      <w:szCs w:val="21"/>
                    </w:rPr>
                    <w:t>）</w:t>
                  </w:r>
                </w:p>
              </w:tc>
              <w:tc>
                <w:tcPr>
                  <w:tcW w:w="1056" w:type="pct"/>
                  <w:tcBorders>
                    <w:top w:val="single" w:color="auto" w:sz="12" w:space="0"/>
                    <w:right w:val="nil"/>
                  </w:tcBorders>
                  <w:vAlign w:val="center"/>
                </w:tcPr>
                <w:p w14:paraId="5ADE853E">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kern w:val="18"/>
                      <w:sz w:val="21"/>
                      <w:szCs w:val="21"/>
                    </w:rPr>
                  </w:pPr>
                  <w:r>
                    <w:rPr>
                      <w:rFonts w:hint="default" w:ascii="Times New Roman" w:hAnsi="Times New Roman" w:eastAsia="宋体" w:cs="Times New Roman"/>
                      <w:b/>
                      <w:color w:val="000000" w:themeColor="text1"/>
                      <w:kern w:val="18"/>
                      <w:sz w:val="21"/>
                      <w:szCs w:val="21"/>
                    </w:rPr>
                    <w:t>等标排放量</w:t>
                  </w:r>
                </w:p>
              </w:tc>
            </w:tr>
            <w:tr w14:paraId="28CC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pct"/>
                  <w:tcBorders>
                    <w:left w:val="nil"/>
                  </w:tcBorders>
                  <w:vAlign w:val="center"/>
                </w:tcPr>
                <w:p w14:paraId="1EA52A7E">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炭黑处理车间</w:t>
                  </w:r>
                </w:p>
              </w:tc>
              <w:tc>
                <w:tcPr>
                  <w:tcW w:w="791" w:type="pct"/>
                  <w:vAlign w:val="center"/>
                </w:tcPr>
                <w:p w14:paraId="18161000">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颗粒物</w:t>
                  </w:r>
                </w:p>
              </w:tc>
              <w:tc>
                <w:tcPr>
                  <w:tcW w:w="1575" w:type="dxa"/>
                  <w:vAlign w:val="center"/>
                </w:tcPr>
                <w:p w14:paraId="1BFC5F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bCs/>
                      <w:color w:val="000000" w:themeColor="text1"/>
                      <w:sz w:val="21"/>
                      <w:szCs w:val="21"/>
                      <w:lang w:val="en-US" w:eastAsia="zh-CN"/>
                    </w:rPr>
                    <w:t>0.</w:t>
                  </w:r>
                  <w:r>
                    <w:rPr>
                      <w:rFonts w:hint="eastAsia" w:cs="Times New Roman"/>
                      <w:bCs/>
                      <w:color w:val="000000" w:themeColor="text1"/>
                      <w:sz w:val="21"/>
                      <w:szCs w:val="21"/>
                      <w:lang w:val="en-US" w:eastAsia="zh-CN"/>
                    </w:rPr>
                    <w:t>040</w:t>
                  </w:r>
                </w:p>
              </w:tc>
              <w:tc>
                <w:tcPr>
                  <w:tcW w:w="1202" w:type="pct"/>
                  <w:vAlign w:val="center"/>
                </w:tcPr>
                <w:p w14:paraId="57D5A464">
                  <w:pPr>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w:t>
                  </w:r>
                </w:p>
              </w:tc>
              <w:tc>
                <w:tcPr>
                  <w:tcW w:w="1056" w:type="pct"/>
                  <w:tcBorders>
                    <w:right w:val="nil"/>
                  </w:tcBorders>
                  <w:vAlign w:val="center"/>
                </w:tcPr>
                <w:p w14:paraId="57E6C0B0">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18"/>
                      <w:sz w:val="21"/>
                      <w:szCs w:val="21"/>
                      <w:lang w:val="en-US" w:eastAsia="zh-CN"/>
                    </w:rPr>
                  </w:pPr>
                  <w:r>
                    <w:rPr>
                      <w:rFonts w:hint="eastAsia" w:cs="Times New Roman"/>
                      <w:color w:val="000000" w:themeColor="text1"/>
                      <w:kern w:val="18"/>
                      <w:sz w:val="21"/>
                      <w:szCs w:val="21"/>
                      <w:lang w:val="en-US" w:eastAsia="zh-CN"/>
                    </w:rPr>
                    <w:t>44444</w:t>
                  </w:r>
                </w:p>
              </w:tc>
            </w:tr>
            <w:tr w14:paraId="4B33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pct"/>
                  <w:vMerge w:val="restart"/>
                  <w:tcBorders>
                    <w:left w:val="nil"/>
                  </w:tcBorders>
                  <w:vAlign w:val="center"/>
                </w:tcPr>
                <w:p w14:paraId="4E6B3964">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rPr>
                  </w:pPr>
                  <w:r>
                    <w:rPr>
                      <w:rFonts w:hint="eastAsia" w:cs="Times New Roman"/>
                      <w:color w:val="000000" w:themeColor="text1"/>
                      <w:sz w:val="21"/>
                      <w:szCs w:val="21"/>
                      <w:lang w:val="en-US" w:eastAsia="zh-CN"/>
                    </w:rPr>
                    <w:t>色母粒生产车间</w:t>
                  </w:r>
                </w:p>
              </w:tc>
              <w:tc>
                <w:tcPr>
                  <w:tcW w:w="791" w:type="pct"/>
                  <w:vAlign w:val="center"/>
                </w:tcPr>
                <w:p w14:paraId="1689FA7A">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p>
              </w:tc>
              <w:tc>
                <w:tcPr>
                  <w:tcW w:w="1575" w:type="dxa"/>
                  <w:vAlign w:val="center"/>
                </w:tcPr>
                <w:p w14:paraId="27AB04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w:t>
                  </w:r>
                  <w:r>
                    <w:rPr>
                      <w:rFonts w:hint="eastAsia" w:cs="Times New Roman"/>
                      <w:color w:val="000000" w:themeColor="text1"/>
                      <w:sz w:val="21"/>
                      <w:szCs w:val="21"/>
                      <w:lang w:val="en-US" w:eastAsia="zh-CN"/>
                    </w:rPr>
                    <w:t>60</w:t>
                  </w:r>
                </w:p>
              </w:tc>
              <w:tc>
                <w:tcPr>
                  <w:tcW w:w="1202" w:type="pct"/>
                  <w:vAlign w:val="center"/>
                </w:tcPr>
                <w:p w14:paraId="121CC3B0">
                  <w:pPr>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w:t>
                  </w:r>
                </w:p>
              </w:tc>
              <w:tc>
                <w:tcPr>
                  <w:tcW w:w="1056" w:type="pct"/>
                  <w:tcBorders>
                    <w:right w:val="nil"/>
                  </w:tcBorders>
                  <w:vAlign w:val="center"/>
                </w:tcPr>
                <w:p w14:paraId="762BF345">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18"/>
                      <w:sz w:val="21"/>
                      <w:szCs w:val="21"/>
                      <w:lang w:val="en-US" w:eastAsia="zh-CN"/>
                    </w:rPr>
                  </w:pPr>
                  <w:r>
                    <w:rPr>
                      <w:rFonts w:hint="eastAsia" w:cs="Times New Roman"/>
                      <w:color w:val="000000" w:themeColor="text1"/>
                      <w:kern w:val="18"/>
                      <w:sz w:val="21"/>
                      <w:szCs w:val="21"/>
                      <w:lang w:val="en-US" w:eastAsia="zh-CN"/>
                    </w:rPr>
                    <w:t>288889</w:t>
                  </w:r>
                </w:p>
              </w:tc>
            </w:tr>
            <w:tr w14:paraId="49DF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9" w:type="pct"/>
                  <w:vMerge w:val="continue"/>
                  <w:tcBorders>
                    <w:left w:val="nil"/>
                    <w:bottom w:val="single" w:color="auto" w:sz="12" w:space="0"/>
                  </w:tcBorders>
                  <w:vAlign w:val="center"/>
                </w:tcPr>
                <w:p w14:paraId="7E36F8FE">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rightChars="0" w:firstLine="0" w:firstLineChars="0"/>
                    <w:jc w:val="center"/>
                    <w:rPr>
                      <w:rFonts w:hint="eastAsia" w:cs="Times New Roman"/>
                      <w:color w:val="000000" w:themeColor="text1"/>
                      <w:sz w:val="21"/>
                      <w:szCs w:val="21"/>
                      <w:lang w:val="en-US" w:eastAsia="zh-CN"/>
                    </w:rPr>
                  </w:pPr>
                </w:p>
              </w:tc>
              <w:tc>
                <w:tcPr>
                  <w:tcW w:w="791" w:type="pct"/>
                  <w:tcBorders>
                    <w:bottom w:val="single" w:color="auto" w:sz="12" w:space="0"/>
                  </w:tcBorders>
                  <w:vAlign w:val="center"/>
                </w:tcPr>
                <w:p w14:paraId="1AAD7228">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非甲烷总烃</w:t>
                  </w:r>
                </w:p>
              </w:tc>
              <w:tc>
                <w:tcPr>
                  <w:tcW w:w="1575" w:type="dxa"/>
                  <w:tcBorders>
                    <w:bottom w:val="single" w:color="auto" w:sz="12" w:space="0"/>
                  </w:tcBorders>
                  <w:vAlign w:val="center"/>
                </w:tcPr>
                <w:p w14:paraId="5379D1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169</w:t>
                  </w:r>
                </w:p>
              </w:tc>
              <w:tc>
                <w:tcPr>
                  <w:tcW w:w="1202" w:type="pct"/>
                  <w:tcBorders>
                    <w:bottom w:val="single" w:color="auto" w:sz="12" w:space="0"/>
                  </w:tcBorders>
                  <w:vAlign w:val="center"/>
                </w:tcPr>
                <w:p w14:paraId="73985D28">
                  <w:pPr>
                    <w:keepNext w:val="0"/>
                    <w:keepLines w:val="0"/>
                    <w:pageBreakBefore w:val="0"/>
                    <w:suppressLineNumbers w:val="0"/>
                    <w:kinsoku/>
                    <w:wordWrap/>
                    <w:topLinePunct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2.0</w:t>
                  </w:r>
                </w:p>
              </w:tc>
              <w:tc>
                <w:tcPr>
                  <w:tcW w:w="1056" w:type="pct"/>
                  <w:tcBorders>
                    <w:bottom w:val="single" w:color="auto" w:sz="12" w:space="0"/>
                    <w:right w:val="nil"/>
                  </w:tcBorders>
                  <w:vAlign w:val="center"/>
                </w:tcPr>
                <w:p w14:paraId="25DDF908">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kern w:val="18"/>
                      <w:sz w:val="21"/>
                      <w:szCs w:val="21"/>
                      <w:lang w:val="en-US" w:eastAsia="zh-CN"/>
                    </w:rPr>
                  </w:pPr>
                  <w:r>
                    <w:rPr>
                      <w:rFonts w:hint="eastAsia" w:cs="Times New Roman"/>
                      <w:color w:val="000000" w:themeColor="text1"/>
                      <w:kern w:val="18"/>
                      <w:sz w:val="21"/>
                      <w:szCs w:val="21"/>
                      <w:lang w:val="en-US" w:eastAsia="zh-CN"/>
                    </w:rPr>
                    <w:t>84500</w:t>
                  </w:r>
                </w:p>
              </w:tc>
            </w:tr>
          </w:tbl>
          <w:p w14:paraId="72663F9F">
            <w:pPr>
              <w:keepNext w:val="0"/>
              <w:keepLines w:val="0"/>
              <w:pageBreakBefore w:val="0"/>
              <w:suppressLineNumbers w:val="0"/>
              <w:kinsoku/>
              <w:wordWrap/>
              <w:topLinePunct w:val="0"/>
              <w:bidi w:val="0"/>
              <w:adjustRightInd w:val="0"/>
              <w:snapToGrid w:val="0"/>
              <w:spacing w:before="0" w:beforeAutospacing="0" w:after="0" w:afterAutospacing="0"/>
              <w:ind w:left="0" w:right="0" w:firstLine="42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*注：当特征大气有害物质</w:t>
            </w:r>
            <w:r>
              <w:rPr>
                <w:rFonts w:hint="eastAsia" w:cs="Times New Roman"/>
                <w:color w:val="000000" w:themeColor="text1"/>
                <w:sz w:val="21"/>
                <w:szCs w:val="21"/>
                <w:lang w:eastAsia="zh-CN"/>
              </w:rPr>
              <w:t>在</w:t>
            </w:r>
            <w:r>
              <w:rPr>
                <w:rFonts w:hint="default" w:ascii="Times New Roman" w:hAnsi="Times New Roman" w:eastAsia="宋体" w:cs="Times New Roman"/>
                <w:color w:val="000000" w:themeColor="text1"/>
                <w:sz w:val="21"/>
                <w:szCs w:val="21"/>
              </w:rPr>
              <w:t>GB3095中有规定的二级标准日均值时，一般可取其二级标准日均值的三倍；但对于致癌物质、毒性可累积的物质如苯、汞、铅等，则直接取其二级标准日均值。当特征大气有害物质</w:t>
            </w:r>
            <w:r>
              <w:rPr>
                <w:rFonts w:hint="eastAsia" w:cs="Times New Roman"/>
                <w:color w:val="000000" w:themeColor="text1"/>
                <w:sz w:val="21"/>
                <w:szCs w:val="21"/>
                <w:lang w:eastAsia="zh-CN"/>
              </w:rPr>
              <w:t>在</w:t>
            </w:r>
            <w:r>
              <w:rPr>
                <w:rFonts w:hint="default" w:ascii="Times New Roman" w:hAnsi="Times New Roman" w:eastAsia="宋体" w:cs="Times New Roman"/>
                <w:color w:val="000000" w:themeColor="text1"/>
                <w:sz w:val="21"/>
                <w:szCs w:val="21"/>
              </w:rPr>
              <w:t>GB3095中无规定时，可按照HJ2.2中规定的1h平均标准值。恶臭类污染物取GB14554中规定的臭气浓度一级标准值。</w:t>
            </w:r>
          </w:p>
          <w:p w14:paraId="4301C1D3">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bCs/>
                <w:color w:val="000000" w:themeColor="text1"/>
              </w:rPr>
            </w:pPr>
            <w:r>
              <w:rPr>
                <w:rFonts w:hint="eastAsia" w:cs="Times New Roman"/>
                <w:bCs/>
                <w:color w:val="000000" w:themeColor="text1"/>
                <w:lang w:eastAsia="zh-CN"/>
              </w:rPr>
              <w:t>综上所述</w:t>
            </w:r>
            <w:r>
              <w:rPr>
                <w:rFonts w:hint="default" w:ascii="Times New Roman" w:hAnsi="Times New Roman" w:eastAsia="宋体" w:cs="Times New Roman"/>
                <w:bCs/>
                <w:color w:val="000000" w:themeColor="text1"/>
              </w:rPr>
              <w:t>，根据本项目无组织排放有毒有害污染物的等标排放量计算结果，选取</w:t>
            </w:r>
            <w:r>
              <w:rPr>
                <w:rFonts w:hint="eastAsia" w:cs="Times New Roman"/>
                <w:bCs/>
                <w:color w:val="000000" w:themeColor="text1"/>
                <w:lang w:val="en-US" w:eastAsia="zh-CN"/>
              </w:rPr>
              <w:t>炭黑处理车间、色母粒生产车间的颗粒物</w:t>
            </w:r>
            <w:r>
              <w:rPr>
                <w:rFonts w:hint="default" w:ascii="Times New Roman" w:hAnsi="Times New Roman" w:eastAsia="宋体" w:cs="Times New Roman"/>
                <w:bCs/>
                <w:color w:val="000000" w:themeColor="text1"/>
              </w:rPr>
              <w:t>为项目特征大气有害物质计算卫生防护距离初值。</w:t>
            </w:r>
          </w:p>
          <w:p w14:paraId="15CDD89F">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②卫生防护距离计算</w:t>
            </w:r>
          </w:p>
          <w:p w14:paraId="2BB04E6F">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采用《</w:t>
            </w:r>
            <w:r>
              <w:rPr>
                <w:rFonts w:hint="default" w:ascii="Times New Roman" w:hAnsi="Times New Roman" w:eastAsia="宋体" w:cs="Times New Roman"/>
                <w:bCs/>
                <w:color w:val="000000" w:themeColor="text1"/>
              </w:rPr>
              <w:t>大气有害物质无组织排放卫生防护距离推导技术导则》（GB/T 39499-2020）</w:t>
            </w:r>
            <w:r>
              <w:rPr>
                <w:rFonts w:hint="default" w:ascii="Times New Roman" w:hAnsi="Times New Roman" w:eastAsia="宋体" w:cs="Times New Roman"/>
                <w:color w:val="000000" w:themeColor="text1"/>
              </w:rPr>
              <w:t>中关于有害气体无组织排放控制与工业企业卫生防护距离标准制定方法的计算公式，计算本项目无组织排放污染物分别需要设置的卫生防护距离。计算公式为：</w:t>
            </w:r>
          </w:p>
          <w:p w14:paraId="558A4842">
            <w:pPr>
              <w:pStyle w:val="5"/>
              <w:ind w:firstLine="562"/>
              <w:outlineLvl w:val="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pt-BR"/>
              </w:rPr>
              <w:pict>
                <v:shape id="_x0000_s2056" o:spid="_x0000_s2056" o:spt="75" type="#_x0000_t75" style="position:absolute;left:0pt;margin-left:64.05pt;margin-top:2.55pt;height:23.8pt;width:171.85pt;z-index:-251649024;mso-width-relative:page;mso-height-relative:page;" o:ole="t" filled="f" o:preferrelative="t" stroked="f" coordsize="21600,21600">
                  <v:path/>
                  <v:fill on="f" focussize="0,0"/>
                  <v:stroke on="f" joinstyle="miter"/>
                  <v:imagedata r:id="rId49" o:title=""/>
                  <o:lock v:ext="edit" aspectratio="t"/>
                </v:shape>
                <o:OLEObject Type="Embed" ProgID="Equation.3" ShapeID="_x0000_s2056" DrawAspect="Content" ObjectID="_1468075740" r:id="rId48">
                  <o:LockedField>false</o:LockedField>
                </o:OLEObject>
              </w:pict>
            </w:r>
          </w:p>
          <w:p w14:paraId="22AC89BB">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式中：Qc——工业企业有害气体无组织排放量；</w:t>
            </w:r>
          </w:p>
          <w:p w14:paraId="2FFD85B2">
            <w:pPr>
              <w:ind w:firstLine="1200" w:firstLineChars="5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Cm——标准</w:t>
            </w:r>
            <w:r>
              <w:rPr>
                <w:rFonts w:hint="eastAsia" w:cs="Times New Roman"/>
                <w:color w:val="000000" w:themeColor="text1"/>
                <w:lang w:eastAsia="zh-CN"/>
              </w:rPr>
              <w:t>浓度限值</w:t>
            </w:r>
            <w:r>
              <w:rPr>
                <w:rFonts w:hint="default" w:ascii="Times New Roman" w:hAnsi="Times New Roman" w:eastAsia="宋体" w:cs="Times New Roman"/>
                <w:color w:val="000000" w:themeColor="text1"/>
              </w:rPr>
              <w:t>（mg/m³）；</w:t>
            </w:r>
          </w:p>
          <w:p w14:paraId="4F8A0D22">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      L——所需卫生防护距离（m）；</w:t>
            </w:r>
          </w:p>
          <w:p w14:paraId="288ABA37">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      r——有害气体无组织排放源所在生产单元的等效半径（m），根</w:t>
            </w:r>
          </w:p>
          <w:p w14:paraId="7A89C2D1">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据该生产单元占地面积（㎡）计算r=（S/π）0.5；</w:t>
            </w:r>
          </w:p>
          <w:p w14:paraId="1DA42FB6">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      A，B，C，D——卫生防护距离计算系数，根据工业企业所在地区近5年平均风速及大气污染源构成类别从下表查取；</w:t>
            </w:r>
          </w:p>
          <w:p w14:paraId="575146CA">
            <w:pPr>
              <w:adjustRightInd w:val="0"/>
              <w:snapToGrid w:val="0"/>
              <w:spacing w:line="240" w:lineRule="auto"/>
              <w:ind w:firstLine="482"/>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表4-1</w:t>
            </w:r>
            <w:r>
              <w:rPr>
                <w:rFonts w:hint="eastAsia" w:cs="Times New Roman"/>
                <w:b/>
                <w:color w:val="000000" w:themeColor="text1"/>
                <w:sz w:val="21"/>
                <w:szCs w:val="21"/>
                <w:lang w:val="en-US" w:eastAsia="zh-CN"/>
              </w:rPr>
              <w:t>5</w:t>
            </w:r>
            <w:r>
              <w:rPr>
                <w:rFonts w:hint="default" w:ascii="Times New Roman" w:hAnsi="Times New Roman" w:eastAsia="宋体" w:cs="Times New Roman"/>
                <w:b/>
                <w:color w:val="000000" w:themeColor="text1"/>
                <w:sz w:val="21"/>
                <w:szCs w:val="21"/>
              </w:rPr>
              <w:t xml:space="preserve"> 卫生防护距离计算系数</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420"/>
              <w:gridCol w:w="617"/>
              <w:gridCol w:w="622"/>
              <w:gridCol w:w="731"/>
              <w:gridCol w:w="692"/>
              <w:gridCol w:w="622"/>
              <w:gridCol w:w="686"/>
              <w:gridCol w:w="694"/>
              <w:gridCol w:w="622"/>
              <w:gridCol w:w="711"/>
            </w:tblGrid>
            <w:tr w14:paraId="7C22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vAlign w:val="center"/>
                </w:tcPr>
                <w:p w14:paraId="6B755A00">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卫生防护距离初值计算</w:t>
                  </w:r>
                </w:p>
                <w:p w14:paraId="383A8EF4">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系数</w:t>
                  </w:r>
                </w:p>
              </w:tc>
              <w:tc>
                <w:tcPr>
                  <w:tcW w:w="875" w:type="pct"/>
                  <w:vMerge w:val="restart"/>
                  <w:vAlign w:val="center"/>
                </w:tcPr>
                <w:p w14:paraId="670BA261">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工业企业所在</w:t>
                  </w:r>
                </w:p>
                <w:p w14:paraId="2C09A4F0">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地区近5年平均风速m/s</w:t>
                  </w:r>
                </w:p>
              </w:tc>
              <w:tc>
                <w:tcPr>
                  <w:tcW w:w="3692" w:type="pct"/>
                  <w:gridSpan w:val="9"/>
                  <w:vAlign w:val="center"/>
                </w:tcPr>
                <w:p w14:paraId="5194FB8A">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卫生防护距离L，m</w:t>
                  </w:r>
                </w:p>
              </w:tc>
            </w:tr>
            <w:tr w14:paraId="6422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4CBFA64A">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875" w:type="pct"/>
                  <w:vMerge w:val="continue"/>
                  <w:vAlign w:val="center"/>
                </w:tcPr>
                <w:p w14:paraId="0826542E">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1213" w:type="pct"/>
                  <w:gridSpan w:val="3"/>
                  <w:vAlign w:val="center"/>
                </w:tcPr>
                <w:p w14:paraId="6D01F1A1">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L≤1000</w:t>
                  </w:r>
                </w:p>
              </w:tc>
              <w:tc>
                <w:tcPr>
                  <w:tcW w:w="1231" w:type="pct"/>
                  <w:gridSpan w:val="3"/>
                  <w:vAlign w:val="center"/>
                </w:tcPr>
                <w:p w14:paraId="46B0264D">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1000</w:t>
                  </w:r>
                  <w:r>
                    <w:rPr>
                      <w:rFonts w:hint="eastAsia" w:cs="Times New Roman"/>
                      <w:b/>
                      <w:color w:val="000000" w:themeColor="text1"/>
                      <w:sz w:val="21"/>
                      <w:szCs w:val="21"/>
                      <w:lang w:eastAsia="zh-CN"/>
                    </w:rPr>
                    <w:t>&lt;</w:t>
                  </w:r>
                  <w:r>
                    <w:rPr>
                      <w:rFonts w:hint="default" w:ascii="Times New Roman" w:hAnsi="Times New Roman" w:eastAsia="宋体" w:cs="Times New Roman"/>
                      <w:b/>
                      <w:color w:val="000000" w:themeColor="text1"/>
                      <w:sz w:val="21"/>
                      <w:szCs w:val="21"/>
                    </w:rPr>
                    <w:t>L≤2000</w:t>
                  </w:r>
                </w:p>
              </w:tc>
              <w:tc>
                <w:tcPr>
                  <w:tcW w:w="1248" w:type="pct"/>
                  <w:gridSpan w:val="3"/>
                  <w:vAlign w:val="center"/>
                </w:tcPr>
                <w:p w14:paraId="3D62F680">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L</w:t>
                  </w:r>
                  <w:r>
                    <w:rPr>
                      <w:rFonts w:hint="eastAsia" w:cs="Times New Roman"/>
                      <w:b/>
                      <w:color w:val="000000" w:themeColor="text1"/>
                      <w:sz w:val="21"/>
                      <w:szCs w:val="21"/>
                      <w:lang w:eastAsia="zh-CN"/>
                    </w:rPr>
                    <w:t>&gt;</w:t>
                  </w:r>
                  <w:r>
                    <w:rPr>
                      <w:rFonts w:hint="default" w:ascii="Times New Roman" w:hAnsi="Times New Roman" w:eastAsia="宋体" w:cs="Times New Roman"/>
                      <w:b/>
                      <w:color w:val="000000" w:themeColor="text1"/>
                      <w:sz w:val="21"/>
                      <w:szCs w:val="21"/>
                    </w:rPr>
                    <w:t>2000</w:t>
                  </w:r>
                </w:p>
              </w:tc>
            </w:tr>
            <w:tr w14:paraId="72634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38186F1F">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875" w:type="pct"/>
                  <w:vMerge w:val="continue"/>
                  <w:vAlign w:val="center"/>
                </w:tcPr>
                <w:p w14:paraId="0EB0F58F">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3692" w:type="pct"/>
                  <w:gridSpan w:val="9"/>
                  <w:vAlign w:val="center"/>
                </w:tcPr>
                <w:p w14:paraId="43AE65D6">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工业企业大气污染源构成类别</w:t>
                  </w:r>
                </w:p>
              </w:tc>
            </w:tr>
            <w:tr w14:paraId="1FA3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vAlign w:val="center"/>
                </w:tcPr>
                <w:p w14:paraId="0A0B366C">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875" w:type="pct"/>
                  <w:vMerge w:val="continue"/>
                  <w:vAlign w:val="center"/>
                </w:tcPr>
                <w:p w14:paraId="0888511A">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p>
              </w:tc>
              <w:tc>
                <w:tcPr>
                  <w:tcW w:w="380" w:type="pct"/>
                  <w:vAlign w:val="center"/>
                </w:tcPr>
                <w:p w14:paraId="6BC78255">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Ⅰ</w:t>
                  </w:r>
                </w:p>
              </w:tc>
              <w:tc>
                <w:tcPr>
                  <w:tcW w:w="383" w:type="pct"/>
                  <w:vAlign w:val="center"/>
                </w:tcPr>
                <w:p w14:paraId="5C0F9789">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Ⅱ</w:t>
                  </w:r>
                </w:p>
              </w:tc>
              <w:tc>
                <w:tcPr>
                  <w:tcW w:w="450" w:type="pct"/>
                  <w:vAlign w:val="center"/>
                </w:tcPr>
                <w:p w14:paraId="454ACD1E">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Ⅲ</w:t>
                  </w:r>
                </w:p>
              </w:tc>
              <w:tc>
                <w:tcPr>
                  <w:tcW w:w="426" w:type="pct"/>
                  <w:vAlign w:val="center"/>
                </w:tcPr>
                <w:p w14:paraId="510EB49A">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Ⅰ</w:t>
                  </w:r>
                </w:p>
              </w:tc>
              <w:tc>
                <w:tcPr>
                  <w:tcW w:w="383" w:type="pct"/>
                  <w:vAlign w:val="center"/>
                </w:tcPr>
                <w:p w14:paraId="5FD80A69">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Ⅱ</w:t>
                  </w:r>
                </w:p>
              </w:tc>
              <w:tc>
                <w:tcPr>
                  <w:tcW w:w="422" w:type="pct"/>
                  <w:vAlign w:val="center"/>
                </w:tcPr>
                <w:p w14:paraId="0ECCC8E4">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Ⅲ</w:t>
                  </w:r>
                </w:p>
              </w:tc>
              <w:tc>
                <w:tcPr>
                  <w:tcW w:w="427" w:type="pct"/>
                  <w:vAlign w:val="center"/>
                </w:tcPr>
                <w:p w14:paraId="1B1D9EC0">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Ⅰ</w:t>
                  </w:r>
                </w:p>
              </w:tc>
              <w:tc>
                <w:tcPr>
                  <w:tcW w:w="383" w:type="pct"/>
                  <w:vAlign w:val="center"/>
                </w:tcPr>
                <w:p w14:paraId="1620355D">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Ⅱ</w:t>
                  </w:r>
                </w:p>
              </w:tc>
              <w:tc>
                <w:tcPr>
                  <w:tcW w:w="438" w:type="pct"/>
                  <w:vAlign w:val="center"/>
                </w:tcPr>
                <w:p w14:paraId="75D66F95">
                  <w:pPr>
                    <w:pStyle w:val="139"/>
                    <w:adjustRightInd w:val="0"/>
                    <w:snapToGrid w:val="0"/>
                    <w:spacing w:line="240" w:lineRule="auto"/>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Ⅲ</w:t>
                  </w:r>
                </w:p>
              </w:tc>
            </w:tr>
            <w:tr w14:paraId="6779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55B251B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A</w:t>
                  </w:r>
                </w:p>
              </w:tc>
              <w:tc>
                <w:tcPr>
                  <w:tcW w:w="875" w:type="pct"/>
                  <w:vAlign w:val="center"/>
                </w:tcPr>
                <w:p w14:paraId="2BBD85E1">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&lt;2</w:t>
                  </w:r>
                </w:p>
                <w:p w14:paraId="5E8AFCF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2～4</w:t>
                  </w:r>
                </w:p>
                <w:p w14:paraId="6BE8C761">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&gt;4</w:t>
                  </w:r>
                </w:p>
              </w:tc>
              <w:tc>
                <w:tcPr>
                  <w:tcW w:w="380" w:type="pct"/>
                  <w:vAlign w:val="center"/>
                </w:tcPr>
                <w:p w14:paraId="3C710C0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2332AE5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700</w:t>
                  </w:r>
                </w:p>
                <w:p w14:paraId="254FE0A9">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530</w:t>
                  </w:r>
                </w:p>
              </w:tc>
              <w:tc>
                <w:tcPr>
                  <w:tcW w:w="383" w:type="pct"/>
                  <w:vAlign w:val="center"/>
                </w:tcPr>
                <w:p w14:paraId="003E04D7">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53A6FD8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470</w:t>
                  </w:r>
                </w:p>
                <w:p w14:paraId="46A5EC02">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350</w:t>
                  </w:r>
                </w:p>
              </w:tc>
              <w:tc>
                <w:tcPr>
                  <w:tcW w:w="450" w:type="pct"/>
                  <w:vAlign w:val="center"/>
                </w:tcPr>
                <w:p w14:paraId="68DE52E2">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30304586">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350</w:t>
                  </w:r>
                </w:p>
                <w:p w14:paraId="4157CBC4">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426" w:type="pct"/>
                  <w:vAlign w:val="center"/>
                </w:tcPr>
                <w:p w14:paraId="7CACECF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258241A9">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700</w:t>
                  </w:r>
                </w:p>
                <w:p w14:paraId="12B7172E">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530</w:t>
                  </w:r>
                </w:p>
              </w:tc>
              <w:tc>
                <w:tcPr>
                  <w:tcW w:w="383" w:type="pct"/>
                  <w:vAlign w:val="center"/>
                </w:tcPr>
                <w:p w14:paraId="2937F37F">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30FBE11C">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470</w:t>
                  </w:r>
                </w:p>
                <w:p w14:paraId="21767CE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350</w:t>
                  </w:r>
                </w:p>
              </w:tc>
              <w:tc>
                <w:tcPr>
                  <w:tcW w:w="422" w:type="pct"/>
                  <w:vAlign w:val="center"/>
                </w:tcPr>
                <w:p w14:paraId="08F3FA90">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400</w:t>
                  </w:r>
                </w:p>
                <w:p w14:paraId="63E4EA3E">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350</w:t>
                  </w:r>
                </w:p>
                <w:p w14:paraId="5AC73B4E">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260</w:t>
                  </w:r>
                </w:p>
              </w:tc>
              <w:tc>
                <w:tcPr>
                  <w:tcW w:w="427" w:type="pct"/>
                  <w:vAlign w:val="center"/>
                </w:tcPr>
                <w:p w14:paraId="494BFCAE">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w:t>
                  </w:r>
                </w:p>
                <w:p w14:paraId="24DD4960">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380</w:t>
                  </w:r>
                </w:p>
                <w:p w14:paraId="1F024686">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290</w:t>
                  </w:r>
                </w:p>
              </w:tc>
              <w:tc>
                <w:tcPr>
                  <w:tcW w:w="383" w:type="pct"/>
                  <w:vAlign w:val="center"/>
                </w:tcPr>
                <w:p w14:paraId="4369B18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w:t>
                  </w:r>
                </w:p>
                <w:p w14:paraId="51FA01D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250</w:t>
                  </w:r>
                </w:p>
                <w:p w14:paraId="2A119B8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190</w:t>
                  </w:r>
                </w:p>
              </w:tc>
              <w:tc>
                <w:tcPr>
                  <w:tcW w:w="438" w:type="pct"/>
                  <w:vAlign w:val="center"/>
                </w:tcPr>
                <w:p w14:paraId="14DF262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80</w:t>
                  </w:r>
                </w:p>
                <w:p w14:paraId="60C6DDF1">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190</w:t>
                  </w:r>
                </w:p>
                <w:p w14:paraId="312FCB1C">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110</w:t>
                  </w:r>
                </w:p>
              </w:tc>
            </w:tr>
            <w:tr w14:paraId="020D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7404AB6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B</w:t>
                  </w:r>
                </w:p>
              </w:tc>
              <w:tc>
                <w:tcPr>
                  <w:tcW w:w="875" w:type="pct"/>
                  <w:vAlign w:val="center"/>
                </w:tcPr>
                <w:p w14:paraId="1188787A">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&lt;2</w:t>
                  </w:r>
                </w:p>
                <w:p w14:paraId="65A5DD6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&gt;2</w:t>
                  </w:r>
                </w:p>
              </w:tc>
              <w:tc>
                <w:tcPr>
                  <w:tcW w:w="1213" w:type="pct"/>
                  <w:gridSpan w:val="3"/>
                  <w:vAlign w:val="center"/>
                </w:tcPr>
                <w:p w14:paraId="3C196FF6">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w:t>
                  </w:r>
                </w:p>
                <w:p w14:paraId="155E24A8">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0.021</w:t>
                  </w:r>
                </w:p>
              </w:tc>
              <w:tc>
                <w:tcPr>
                  <w:tcW w:w="1231" w:type="pct"/>
                  <w:gridSpan w:val="3"/>
                  <w:vAlign w:val="center"/>
                </w:tcPr>
                <w:p w14:paraId="3E7DFA5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0.015</w:t>
                  </w:r>
                </w:p>
                <w:p w14:paraId="160BABE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0.036</w:t>
                  </w:r>
                </w:p>
              </w:tc>
              <w:tc>
                <w:tcPr>
                  <w:tcW w:w="1248" w:type="pct"/>
                  <w:gridSpan w:val="3"/>
                  <w:vAlign w:val="center"/>
                </w:tcPr>
                <w:p w14:paraId="17BADC1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0.015</w:t>
                  </w:r>
                </w:p>
                <w:p w14:paraId="1AAA78B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0.036</w:t>
                  </w:r>
                </w:p>
              </w:tc>
            </w:tr>
            <w:tr w14:paraId="7F80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00AEFF1F">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C</w:t>
                  </w:r>
                </w:p>
              </w:tc>
              <w:tc>
                <w:tcPr>
                  <w:tcW w:w="875" w:type="pct"/>
                  <w:vAlign w:val="center"/>
                </w:tcPr>
                <w:p w14:paraId="4678683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&lt;2</w:t>
                  </w:r>
                </w:p>
                <w:p w14:paraId="5D840388">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&gt;2</w:t>
                  </w:r>
                </w:p>
              </w:tc>
              <w:tc>
                <w:tcPr>
                  <w:tcW w:w="1213" w:type="pct"/>
                  <w:gridSpan w:val="3"/>
                  <w:vAlign w:val="center"/>
                </w:tcPr>
                <w:p w14:paraId="51B7D0B1">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1.85</w:t>
                  </w:r>
                </w:p>
                <w:p w14:paraId="1AEBF478">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1.85</w:t>
                  </w:r>
                </w:p>
              </w:tc>
              <w:tc>
                <w:tcPr>
                  <w:tcW w:w="1231" w:type="pct"/>
                  <w:gridSpan w:val="3"/>
                  <w:vAlign w:val="center"/>
                </w:tcPr>
                <w:p w14:paraId="0083AD2A">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1.79</w:t>
                  </w:r>
                </w:p>
                <w:p w14:paraId="76048FE3">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1.77</w:t>
                  </w:r>
                </w:p>
              </w:tc>
              <w:tc>
                <w:tcPr>
                  <w:tcW w:w="1248" w:type="pct"/>
                  <w:gridSpan w:val="3"/>
                  <w:vAlign w:val="center"/>
                </w:tcPr>
                <w:p w14:paraId="0D4DF20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1.79</w:t>
                  </w:r>
                </w:p>
                <w:p w14:paraId="2D0E0F9C">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1.77</w:t>
                  </w:r>
                </w:p>
              </w:tc>
            </w:tr>
            <w:tr w14:paraId="6A81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Align w:val="center"/>
                </w:tcPr>
                <w:p w14:paraId="6B5F7221">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D</w:t>
                  </w:r>
                </w:p>
              </w:tc>
              <w:tc>
                <w:tcPr>
                  <w:tcW w:w="875" w:type="pct"/>
                  <w:vAlign w:val="center"/>
                </w:tcPr>
                <w:p w14:paraId="5230F029">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&lt;2</w:t>
                  </w:r>
                </w:p>
                <w:p w14:paraId="6202844F">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&gt;2</w:t>
                  </w:r>
                </w:p>
              </w:tc>
              <w:tc>
                <w:tcPr>
                  <w:tcW w:w="1213" w:type="pct"/>
                  <w:gridSpan w:val="3"/>
                  <w:vAlign w:val="center"/>
                </w:tcPr>
                <w:p w14:paraId="78D253BF">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0.78</w:t>
                  </w:r>
                </w:p>
                <w:p w14:paraId="24FD1216">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0.84</w:t>
                  </w:r>
                </w:p>
              </w:tc>
              <w:tc>
                <w:tcPr>
                  <w:tcW w:w="1231" w:type="pct"/>
                  <w:gridSpan w:val="3"/>
                  <w:vAlign w:val="center"/>
                </w:tcPr>
                <w:p w14:paraId="531009A2">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0.78</w:t>
                  </w:r>
                </w:p>
                <w:p w14:paraId="125A3B95">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0.84</w:t>
                  </w:r>
                </w:p>
              </w:tc>
              <w:tc>
                <w:tcPr>
                  <w:tcW w:w="1248" w:type="pct"/>
                  <w:gridSpan w:val="3"/>
                  <w:vAlign w:val="center"/>
                </w:tcPr>
                <w:p w14:paraId="4B0FAF49">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0.57</w:t>
                  </w:r>
                </w:p>
                <w:p w14:paraId="4594ADBD">
                  <w:pPr>
                    <w:pStyle w:val="139"/>
                    <w:adjustRightInd w:val="0"/>
                    <w:snapToGrid w:val="0"/>
                    <w:spacing w:line="24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0.76</w:t>
                  </w:r>
                </w:p>
              </w:tc>
            </w:tr>
            <w:tr w14:paraId="373E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1"/>
                  <w:vAlign w:val="center"/>
                </w:tcPr>
                <w:p w14:paraId="34D64DF5">
                  <w:pPr>
                    <w:pStyle w:val="89"/>
                    <w:spacing w:line="240" w:lineRule="auto"/>
                    <w:ind w:firstLine="0" w:firstLineChars="0"/>
                    <w:jc w:val="left"/>
                    <w:rPr>
                      <w:rFonts w:hint="default"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lang w:eastAsia="zh-CN"/>
                    </w:rPr>
                    <w:t>注：Ⅰ类： 与无组织排放源共存的排放同种有害气体的排气筒的排放量，大于或等于标准规定的允许排放量的1/3者。</w:t>
                  </w:r>
                </w:p>
                <w:p w14:paraId="03FEA6F7">
                  <w:pPr>
                    <w:pStyle w:val="89"/>
                    <w:spacing w:line="240" w:lineRule="auto"/>
                    <w:ind w:firstLine="0" w:firstLineChars="0"/>
                    <w:jc w:val="left"/>
                    <w:rPr>
                      <w:rFonts w:hint="default" w:ascii="Times New Roman" w:hAnsi="Times New Roman" w:eastAsia="宋体" w:cs="Times New Roman"/>
                      <w:color w:val="000000" w:themeColor="text1"/>
                      <w:szCs w:val="21"/>
                      <w:lang w:eastAsia="zh-CN"/>
                    </w:rPr>
                  </w:pPr>
                  <w:r>
                    <w:rPr>
                      <w:rFonts w:hint="default" w:ascii="Times New Roman" w:hAnsi="Times New Roman" w:eastAsia="宋体" w:cs="Times New Roman"/>
                      <w:color w:val="000000" w:themeColor="text1"/>
                      <w:szCs w:val="21"/>
                      <w:lang w:eastAsia="zh-CN"/>
                    </w:rPr>
                    <w:t>Ⅱ类： 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004B5855">
                  <w:pPr>
                    <w:pStyle w:val="139"/>
                    <w:adjustRightInd w:val="0"/>
                    <w:snapToGrid w:val="0"/>
                    <w:spacing w:line="240" w:lineRule="auto"/>
                    <w:jc w:val="left"/>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Ⅲ类： 无排放同种有害物质的排气筒与无组织排放源共存，且无组织排放的有害物质的容许浓度是按慢性反应指标确定者。</w:t>
                  </w:r>
                </w:p>
              </w:tc>
            </w:tr>
          </w:tbl>
          <w:p w14:paraId="71178711">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卫生防护距离计算如下：</w:t>
            </w:r>
          </w:p>
          <w:p w14:paraId="17FE5C3D">
            <w:pPr>
              <w:pStyle w:val="20"/>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pacing w:val="4"/>
                <w:sz w:val="21"/>
                <w:szCs w:val="21"/>
                <w:lang w:bidi="ar"/>
              </w:rPr>
              <w:t>表4-1</w:t>
            </w:r>
            <w:r>
              <w:rPr>
                <w:rFonts w:hint="eastAsia" w:ascii="Times New Roman" w:hAnsi="Times New Roman" w:cs="Times New Roman"/>
                <w:b/>
                <w:color w:val="000000" w:themeColor="text1"/>
                <w:spacing w:val="4"/>
                <w:sz w:val="21"/>
                <w:szCs w:val="21"/>
                <w:lang w:val="en-US" w:eastAsia="zh-CN" w:bidi="ar"/>
              </w:rPr>
              <w:t>6</w:t>
            </w:r>
            <w:r>
              <w:rPr>
                <w:rFonts w:hint="default" w:ascii="Times New Roman" w:hAnsi="Times New Roman" w:eastAsia="宋体" w:cs="Times New Roman"/>
                <w:b/>
                <w:color w:val="000000" w:themeColor="text1"/>
                <w:spacing w:val="4"/>
                <w:sz w:val="21"/>
                <w:szCs w:val="21"/>
                <w:lang w:bidi="ar"/>
              </w:rPr>
              <w:t xml:space="preserve">  卫生防护距离计算结果</w:t>
            </w:r>
          </w:p>
          <w:tbl>
            <w:tblPr>
              <w:tblStyle w:val="33"/>
              <w:tblW w:w="7856" w:type="dxa"/>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004"/>
              <w:gridCol w:w="1016"/>
              <w:gridCol w:w="1016"/>
              <w:gridCol w:w="875"/>
              <w:gridCol w:w="1333"/>
              <w:gridCol w:w="895"/>
              <w:gridCol w:w="817"/>
            </w:tblGrid>
            <w:tr w14:paraId="6A3B7BB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405" w:hRule="atLeast"/>
                <w:jc w:val="center"/>
              </w:trPr>
              <w:tc>
                <w:tcPr>
                  <w:tcW w:w="572" w:type="pct"/>
                  <w:tcBorders>
                    <w:top w:val="single" w:color="auto" w:sz="12" w:space="0"/>
                    <w:left w:val="nil"/>
                    <w:bottom w:val="single" w:color="auto" w:sz="6" w:space="0"/>
                    <w:right w:val="single" w:color="auto" w:sz="6" w:space="0"/>
                  </w:tcBorders>
                  <w:shd w:val="clear" w:color="auto" w:fill="auto"/>
                  <w:tcMar>
                    <w:left w:w="28" w:type="dxa"/>
                    <w:right w:w="28" w:type="dxa"/>
                  </w:tcMar>
                  <w:vAlign w:val="center"/>
                </w:tcPr>
                <w:p w14:paraId="16E0F734">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污染物</w:t>
                  </w:r>
                </w:p>
                <w:p w14:paraId="62C0A949">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名称</w:t>
                  </w:r>
                </w:p>
              </w:tc>
              <w:tc>
                <w:tcPr>
                  <w:tcW w:w="639" w:type="pct"/>
                  <w:tcBorders>
                    <w:top w:val="single" w:color="auto" w:sz="12" w:space="0"/>
                    <w:left w:val="single" w:color="auto" w:sz="6" w:space="0"/>
                    <w:bottom w:val="single" w:color="auto" w:sz="6" w:space="0"/>
                    <w:right w:val="single" w:color="auto" w:sz="6" w:space="0"/>
                  </w:tcBorders>
                  <w:shd w:val="clear" w:color="auto" w:fill="auto"/>
                  <w:tcMar>
                    <w:left w:w="28" w:type="dxa"/>
                    <w:right w:w="28" w:type="dxa"/>
                  </w:tcMar>
                  <w:vAlign w:val="center"/>
                </w:tcPr>
                <w:p w14:paraId="6E4B4C28">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污染源</w:t>
                  </w:r>
                </w:p>
                <w:p w14:paraId="778F4A5E">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位置</w:t>
                  </w:r>
                </w:p>
              </w:tc>
              <w:tc>
                <w:tcPr>
                  <w:tcW w:w="646" w:type="pct"/>
                  <w:tcBorders>
                    <w:top w:val="single" w:color="auto" w:sz="12" w:space="0"/>
                    <w:left w:val="single" w:color="auto" w:sz="6" w:space="0"/>
                    <w:bottom w:val="single" w:color="auto" w:sz="6" w:space="0"/>
                    <w:right w:val="single" w:color="auto" w:sz="6" w:space="0"/>
                  </w:tcBorders>
                  <w:shd w:val="clear" w:color="auto" w:fill="auto"/>
                  <w:tcMar>
                    <w:left w:w="28" w:type="dxa"/>
                    <w:right w:w="28" w:type="dxa"/>
                  </w:tcMar>
                  <w:vAlign w:val="center"/>
                </w:tcPr>
                <w:p w14:paraId="64E77A56">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产生速率kg/h</w:t>
                  </w:r>
                </w:p>
              </w:tc>
              <w:tc>
                <w:tcPr>
                  <w:tcW w:w="646" w:type="pct"/>
                  <w:tcBorders>
                    <w:top w:val="single" w:color="auto" w:sz="12" w:space="0"/>
                    <w:left w:val="single" w:color="auto" w:sz="6" w:space="0"/>
                    <w:bottom w:val="single" w:color="auto" w:sz="6" w:space="0"/>
                    <w:right w:val="single" w:color="auto" w:sz="6" w:space="0"/>
                  </w:tcBorders>
                  <w:shd w:val="clear" w:color="auto" w:fill="auto"/>
                  <w:tcMar>
                    <w:left w:w="28" w:type="dxa"/>
                    <w:right w:w="28" w:type="dxa"/>
                  </w:tcMar>
                  <w:vAlign w:val="center"/>
                </w:tcPr>
                <w:p w14:paraId="69DE6476">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面源面积m</w:t>
                  </w:r>
                  <w:r>
                    <w:rPr>
                      <w:rFonts w:hint="default" w:ascii="Times New Roman" w:hAnsi="Times New Roman" w:eastAsia="宋体" w:cs="Times New Roman"/>
                      <w:b/>
                      <w:color w:val="000000" w:themeColor="text1"/>
                      <w:sz w:val="21"/>
                      <w:szCs w:val="21"/>
                      <w:vertAlign w:val="superscript"/>
                      <w:lang w:bidi="ar"/>
                    </w:rPr>
                    <w:t>2</w:t>
                  </w:r>
                </w:p>
              </w:tc>
              <w:tc>
                <w:tcPr>
                  <w:tcW w:w="556" w:type="pct"/>
                  <w:tcBorders>
                    <w:top w:val="single" w:color="auto" w:sz="12" w:space="0"/>
                    <w:left w:val="single" w:color="auto" w:sz="6" w:space="0"/>
                    <w:bottom w:val="single" w:color="auto" w:sz="6" w:space="0"/>
                    <w:right w:val="single" w:color="auto" w:sz="6" w:space="0"/>
                  </w:tcBorders>
                  <w:shd w:val="clear" w:color="auto" w:fill="auto"/>
                  <w:tcMar>
                    <w:left w:w="28" w:type="dxa"/>
                    <w:right w:w="28" w:type="dxa"/>
                  </w:tcMar>
                  <w:vAlign w:val="center"/>
                </w:tcPr>
                <w:p w14:paraId="53C3D0EE">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面源高度m</w:t>
                  </w:r>
                </w:p>
              </w:tc>
              <w:tc>
                <w:tcPr>
                  <w:tcW w:w="848" w:type="pct"/>
                  <w:tcBorders>
                    <w:top w:val="single" w:color="auto" w:sz="12" w:space="0"/>
                    <w:left w:val="single" w:color="auto" w:sz="6" w:space="0"/>
                    <w:bottom w:val="single" w:color="auto" w:sz="6" w:space="0"/>
                    <w:right w:val="single" w:color="auto" w:sz="6" w:space="0"/>
                  </w:tcBorders>
                  <w:shd w:val="clear" w:color="auto" w:fill="auto"/>
                  <w:vAlign w:val="center"/>
                </w:tcPr>
                <w:p w14:paraId="27E7CE14">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评价标准（mg/m</w:t>
                  </w:r>
                  <w:r>
                    <w:rPr>
                      <w:rFonts w:hint="default" w:ascii="Times New Roman" w:hAnsi="Times New Roman" w:eastAsia="宋体" w:cs="Times New Roman"/>
                      <w:b/>
                      <w:color w:val="000000" w:themeColor="text1"/>
                      <w:sz w:val="21"/>
                      <w:szCs w:val="21"/>
                      <w:vertAlign w:val="superscript"/>
                      <w:lang w:bidi="ar"/>
                    </w:rPr>
                    <w:t>3</w:t>
                  </w:r>
                  <w:r>
                    <w:rPr>
                      <w:rFonts w:hint="default" w:ascii="Times New Roman" w:hAnsi="Times New Roman" w:eastAsia="宋体" w:cs="Times New Roman"/>
                      <w:b/>
                      <w:color w:val="000000" w:themeColor="text1"/>
                      <w:sz w:val="21"/>
                      <w:szCs w:val="21"/>
                      <w:lang w:bidi="ar"/>
                    </w:rPr>
                    <w:t>）</w:t>
                  </w:r>
                </w:p>
              </w:tc>
              <w:tc>
                <w:tcPr>
                  <w:tcW w:w="569" w:type="pct"/>
                  <w:tcBorders>
                    <w:top w:val="single" w:color="auto" w:sz="12" w:space="0"/>
                    <w:left w:val="single" w:color="auto" w:sz="6" w:space="0"/>
                    <w:bottom w:val="single" w:color="auto" w:sz="6" w:space="0"/>
                    <w:right w:val="single" w:color="auto" w:sz="6" w:space="0"/>
                  </w:tcBorders>
                  <w:shd w:val="clear" w:color="auto" w:fill="auto"/>
                  <w:vAlign w:val="center"/>
                </w:tcPr>
                <w:p w14:paraId="3B60D32E">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计算值（m）</w:t>
                  </w:r>
                </w:p>
              </w:tc>
              <w:tc>
                <w:tcPr>
                  <w:tcW w:w="519" w:type="pct"/>
                  <w:tcBorders>
                    <w:top w:val="single" w:color="auto" w:sz="12" w:space="0"/>
                    <w:left w:val="single" w:color="auto" w:sz="6" w:space="0"/>
                    <w:bottom w:val="single" w:color="auto" w:sz="6" w:space="0"/>
                    <w:right w:val="nil"/>
                  </w:tcBorders>
                  <w:shd w:val="clear" w:color="auto" w:fill="auto"/>
                  <w:vAlign w:val="center"/>
                </w:tcPr>
                <w:p w14:paraId="0A77FE30">
                  <w:pPr>
                    <w:keepNext/>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lang w:bidi="ar"/>
                    </w:rPr>
                    <w:t>取值</w:t>
                  </w:r>
                </w:p>
                <w:p w14:paraId="35381E1F">
                  <w:pPr>
                    <w:keepNext/>
                    <w:adjustRightInd w:val="0"/>
                    <w:snapToGrid w:val="0"/>
                    <w:spacing w:line="240" w:lineRule="auto"/>
                    <w:ind w:firstLine="0" w:firstLineChars="0"/>
                    <w:jc w:val="center"/>
                    <w:rPr>
                      <w:rFonts w:hint="eastAsia" w:ascii="Times New Roman" w:hAnsi="Times New Roman" w:eastAsia="宋体" w:cs="Times New Roman"/>
                      <w:b/>
                      <w:color w:val="000000" w:themeColor="text1"/>
                      <w:sz w:val="21"/>
                      <w:szCs w:val="21"/>
                      <w:lang w:eastAsia="zh-CN"/>
                    </w:rPr>
                  </w:pPr>
                  <w:r>
                    <w:rPr>
                      <w:rFonts w:hint="eastAsia" w:cs="Times New Roman"/>
                      <w:b/>
                      <w:color w:val="000000" w:themeColor="text1"/>
                      <w:sz w:val="21"/>
                      <w:szCs w:val="21"/>
                      <w:lang w:eastAsia="zh-CN" w:bidi="ar"/>
                    </w:rPr>
                    <w:t>(</w:t>
                  </w:r>
                  <w:r>
                    <w:rPr>
                      <w:rFonts w:hint="default" w:ascii="Times New Roman" w:hAnsi="Times New Roman" w:eastAsia="宋体" w:cs="Times New Roman"/>
                      <w:b/>
                      <w:color w:val="000000" w:themeColor="text1"/>
                      <w:sz w:val="21"/>
                      <w:szCs w:val="21"/>
                      <w:lang w:bidi="ar"/>
                    </w:rPr>
                    <w:t>m</w:t>
                  </w:r>
                  <w:r>
                    <w:rPr>
                      <w:rFonts w:hint="eastAsia" w:cs="Times New Roman"/>
                      <w:b/>
                      <w:color w:val="000000" w:themeColor="text1"/>
                      <w:sz w:val="21"/>
                      <w:szCs w:val="21"/>
                      <w:lang w:eastAsia="zh-CN" w:bidi="ar"/>
                    </w:rPr>
                    <w:t>)</w:t>
                  </w:r>
                </w:p>
              </w:tc>
            </w:tr>
            <w:tr w14:paraId="752207E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72" w:type="pct"/>
                  <w:tcBorders>
                    <w:top w:val="single" w:color="auto" w:sz="6" w:space="0"/>
                    <w:left w:val="nil"/>
                    <w:bottom w:val="single" w:color="auto" w:sz="6" w:space="0"/>
                    <w:right w:val="single" w:color="auto" w:sz="6" w:space="0"/>
                  </w:tcBorders>
                  <w:shd w:val="clear" w:color="auto" w:fill="auto"/>
                  <w:tcMar>
                    <w:left w:w="28" w:type="dxa"/>
                    <w:right w:w="28" w:type="dxa"/>
                  </w:tcMar>
                  <w:vAlign w:val="center"/>
                </w:tcPr>
                <w:p w14:paraId="24C3EF3F">
                  <w:pPr>
                    <w:pStyle w:val="148"/>
                    <w:widowControl/>
                    <w:snapToGrid w:val="0"/>
                    <w:spacing w:line="240" w:lineRule="auto"/>
                    <w:ind w:firstLine="0" w:firstLineChars="0"/>
                    <w:rPr>
                      <w:rFonts w:hint="default" w:ascii="Times New Roman" w:hAnsi="Times New Roman" w:eastAsia="宋体" w:cs="Times New Roman"/>
                      <w:color w:val="000000" w:themeColor="text1"/>
                      <w:kern w:val="21"/>
                      <w:sz w:val="21"/>
                      <w:szCs w:val="21"/>
                      <w:lang w:val="en-US" w:eastAsia="zh-CN"/>
                    </w:rPr>
                  </w:pPr>
                  <w:r>
                    <w:rPr>
                      <w:rFonts w:hint="eastAsia" w:cs="Times New Roman"/>
                      <w:color w:val="000000" w:themeColor="text1"/>
                      <w:kern w:val="21"/>
                      <w:sz w:val="21"/>
                      <w:szCs w:val="21"/>
                      <w:lang w:val="en-US" w:eastAsia="zh-CN"/>
                    </w:rPr>
                    <w:t>颗粒物</w:t>
                  </w:r>
                </w:p>
              </w:tc>
              <w:tc>
                <w:tcPr>
                  <w:tcW w:w="639" w:type="pct"/>
                  <w:tcBorders>
                    <w:top w:val="single" w:color="auto" w:sz="6" w:space="0"/>
                    <w:left w:val="single" w:color="auto" w:sz="6" w:space="0"/>
                    <w:bottom w:val="single" w:color="auto" w:sz="6" w:space="0"/>
                    <w:right w:val="single" w:color="auto" w:sz="6" w:space="0"/>
                  </w:tcBorders>
                  <w:shd w:val="clear" w:color="auto" w:fill="auto"/>
                  <w:tcMar>
                    <w:left w:w="28" w:type="dxa"/>
                    <w:right w:w="28" w:type="dxa"/>
                  </w:tcMar>
                  <w:vAlign w:val="center"/>
                </w:tcPr>
                <w:p w14:paraId="3F576422">
                  <w:pPr>
                    <w:keepNext/>
                    <w:adjustRightInd w:val="0"/>
                    <w:snapToGrid w:val="0"/>
                    <w:spacing w:line="240" w:lineRule="auto"/>
                    <w:ind w:firstLine="0" w:firstLineChars="0"/>
                    <w:jc w:val="center"/>
                    <w:rPr>
                      <w:rFonts w:hint="eastAsia" w:ascii="Times New Roman" w:hAnsi="Times New Roman" w:eastAsia="宋体" w:cs="Times New Roman"/>
                      <w:color w:val="000000" w:themeColor="text1"/>
                      <w:sz w:val="21"/>
                      <w:szCs w:val="21"/>
                      <w:lang w:eastAsia="zh-CN"/>
                    </w:rPr>
                  </w:pPr>
                  <w:r>
                    <w:rPr>
                      <w:rFonts w:hint="eastAsia" w:cs="Times New Roman"/>
                      <w:color w:val="000000" w:themeColor="text1"/>
                      <w:sz w:val="21"/>
                      <w:szCs w:val="21"/>
                      <w:lang w:val="en-US" w:eastAsia="zh-CN" w:bidi="ar"/>
                    </w:rPr>
                    <w:t>炭黑处理车间</w:t>
                  </w:r>
                </w:p>
              </w:tc>
              <w:tc>
                <w:tcPr>
                  <w:tcW w:w="646" w:type="pct"/>
                  <w:tcBorders>
                    <w:top w:val="single" w:color="auto" w:sz="6" w:space="0"/>
                    <w:left w:val="single" w:color="auto" w:sz="6" w:space="0"/>
                    <w:bottom w:val="single" w:color="auto" w:sz="6" w:space="0"/>
                    <w:right w:val="single" w:color="auto" w:sz="6" w:space="0"/>
                  </w:tcBorders>
                  <w:shd w:val="clear" w:color="auto" w:fill="auto"/>
                  <w:tcMar>
                    <w:left w:w="28" w:type="dxa"/>
                    <w:right w:w="28" w:type="dxa"/>
                  </w:tcMar>
                  <w:vAlign w:val="center"/>
                </w:tcPr>
                <w:p w14:paraId="3A9F193E">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p>
              </w:tc>
              <w:tc>
                <w:tcPr>
                  <w:tcW w:w="646" w:type="pct"/>
                  <w:tcBorders>
                    <w:top w:val="single" w:color="auto" w:sz="6" w:space="0"/>
                    <w:left w:val="single" w:color="auto" w:sz="6" w:space="0"/>
                    <w:bottom w:val="single" w:color="auto" w:sz="6" w:space="0"/>
                    <w:right w:val="single" w:color="auto" w:sz="6" w:space="0"/>
                  </w:tcBorders>
                  <w:shd w:val="clear" w:color="auto" w:fill="auto"/>
                  <w:tcMar>
                    <w:left w:w="28" w:type="dxa"/>
                    <w:right w:w="28" w:type="dxa"/>
                  </w:tcMar>
                  <w:vAlign w:val="center"/>
                </w:tcPr>
                <w:p w14:paraId="702BF3A4">
                  <w:pPr>
                    <w:keepNext/>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980</w:t>
                  </w:r>
                </w:p>
              </w:tc>
              <w:tc>
                <w:tcPr>
                  <w:tcW w:w="556" w:type="pct"/>
                  <w:tcBorders>
                    <w:top w:val="single" w:color="auto" w:sz="6" w:space="0"/>
                    <w:left w:val="single" w:color="auto" w:sz="6" w:space="0"/>
                    <w:bottom w:val="single" w:color="auto" w:sz="6" w:space="0"/>
                    <w:right w:val="single" w:color="auto" w:sz="6" w:space="0"/>
                  </w:tcBorders>
                  <w:shd w:val="clear" w:color="auto" w:fill="auto"/>
                  <w:tcMar>
                    <w:left w:w="28" w:type="dxa"/>
                    <w:right w:w="28" w:type="dxa"/>
                  </w:tcMar>
                  <w:vAlign w:val="center"/>
                </w:tcPr>
                <w:p w14:paraId="1DA3E716">
                  <w:pPr>
                    <w:keepNext/>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10</w:t>
                  </w:r>
                </w:p>
              </w:tc>
              <w:tc>
                <w:tcPr>
                  <w:tcW w:w="848" w:type="pct"/>
                  <w:tcBorders>
                    <w:top w:val="single" w:color="auto" w:sz="6" w:space="0"/>
                    <w:left w:val="single" w:color="auto" w:sz="6" w:space="0"/>
                    <w:bottom w:val="single" w:color="auto" w:sz="6" w:space="0"/>
                    <w:right w:val="single" w:color="auto" w:sz="6" w:space="0"/>
                  </w:tcBorders>
                  <w:shd w:val="clear" w:color="auto" w:fill="auto"/>
                  <w:vAlign w:val="center"/>
                </w:tcPr>
                <w:p w14:paraId="71ACF508">
                  <w:pPr>
                    <w:keepNext/>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0.9</w:t>
                  </w:r>
                </w:p>
              </w:tc>
              <w:tc>
                <w:tcPr>
                  <w:tcW w:w="569" w:type="pct"/>
                  <w:tcBorders>
                    <w:top w:val="single" w:color="auto" w:sz="6" w:space="0"/>
                    <w:left w:val="single" w:color="auto" w:sz="6" w:space="0"/>
                    <w:bottom w:val="single" w:color="auto" w:sz="6" w:space="0"/>
                    <w:right w:val="single" w:color="auto" w:sz="6" w:space="0"/>
                  </w:tcBorders>
                  <w:shd w:val="clear" w:color="auto" w:fill="auto"/>
                  <w:vAlign w:val="center"/>
                </w:tcPr>
                <w:p w14:paraId="078A1644">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1.596</w:t>
                  </w:r>
                </w:p>
              </w:tc>
              <w:tc>
                <w:tcPr>
                  <w:tcW w:w="519" w:type="pct"/>
                  <w:tcBorders>
                    <w:top w:val="single" w:color="auto" w:sz="6" w:space="0"/>
                    <w:left w:val="single" w:color="auto" w:sz="6" w:space="0"/>
                    <w:bottom w:val="single" w:color="auto" w:sz="6" w:space="0"/>
                    <w:right w:val="nil"/>
                  </w:tcBorders>
                  <w:shd w:val="clear" w:color="auto" w:fill="auto"/>
                  <w:vAlign w:val="center"/>
                </w:tcPr>
                <w:p w14:paraId="18ACAC4E">
                  <w:pPr>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50</w:t>
                  </w:r>
                </w:p>
              </w:tc>
            </w:tr>
            <w:tr w14:paraId="412378E1">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507" w:hRule="atLeast"/>
                <w:jc w:val="center"/>
              </w:trPr>
              <w:tc>
                <w:tcPr>
                  <w:tcW w:w="572" w:type="pct"/>
                  <w:tcBorders>
                    <w:top w:val="single" w:color="auto" w:sz="6" w:space="0"/>
                    <w:left w:val="nil"/>
                    <w:bottom w:val="single" w:color="auto" w:sz="6" w:space="0"/>
                    <w:right w:val="single" w:color="auto" w:sz="6" w:space="0"/>
                  </w:tcBorders>
                  <w:shd w:val="clear" w:color="auto" w:fill="auto"/>
                  <w:tcMar>
                    <w:left w:w="28" w:type="dxa"/>
                    <w:right w:w="28" w:type="dxa"/>
                  </w:tcMar>
                  <w:vAlign w:val="center"/>
                </w:tcPr>
                <w:p w14:paraId="0EE88C07">
                  <w:pPr>
                    <w:pStyle w:val="148"/>
                    <w:widowControl/>
                    <w:snapToGrid w:val="0"/>
                    <w:spacing w:line="240" w:lineRule="auto"/>
                    <w:ind w:firstLine="0" w:firstLineChars="0"/>
                    <w:rPr>
                      <w:rFonts w:hint="default" w:cs="Times New Roman"/>
                      <w:color w:val="000000" w:themeColor="text1"/>
                      <w:kern w:val="21"/>
                      <w:sz w:val="21"/>
                      <w:szCs w:val="21"/>
                      <w:lang w:val="en-US" w:eastAsia="zh-CN"/>
                    </w:rPr>
                  </w:pPr>
                  <w:r>
                    <w:rPr>
                      <w:rFonts w:hint="eastAsia" w:cs="Times New Roman"/>
                      <w:color w:val="000000" w:themeColor="text1"/>
                      <w:kern w:val="21"/>
                      <w:sz w:val="21"/>
                      <w:szCs w:val="21"/>
                      <w:lang w:val="en-US" w:eastAsia="zh-CN"/>
                    </w:rPr>
                    <w:t>颗粒物</w:t>
                  </w:r>
                </w:p>
              </w:tc>
              <w:tc>
                <w:tcPr>
                  <w:tcW w:w="639" w:type="pct"/>
                  <w:vMerge w:val="restart"/>
                  <w:tcBorders>
                    <w:top w:val="single" w:color="auto" w:sz="6" w:space="0"/>
                    <w:left w:val="single" w:color="auto" w:sz="6" w:space="0"/>
                    <w:right w:val="single" w:color="auto" w:sz="6" w:space="0"/>
                  </w:tcBorders>
                  <w:shd w:val="clear" w:color="auto" w:fill="auto"/>
                  <w:tcMar>
                    <w:left w:w="28" w:type="dxa"/>
                    <w:right w:w="28" w:type="dxa"/>
                  </w:tcMar>
                  <w:vAlign w:val="center"/>
                </w:tcPr>
                <w:p w14:paraId="165486F3">
                  <w:pPr>
                    <w:keepNext/>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色母粒生产车间</w:t>
                  </w:r>
                </w:p>
              </w:tc>
              <w:tc>
                <w:tcPr>
                  <w:tcW w:w="646" w:type="pct"/>
                  <w:tcBorders>
                    <w:top w:val="single" w:color="auto" w:sz="6" w:space="0"/>
                    <w:left w:val="single" w:color="auto" w:sz="6" w:space="0"/>
                    <w:bottom w:val="single" w:color="auto" w:sz="6" w:space="0"/>
                    <w:right w:val="single" w:color="auto" w:sz="6" w:space="0"/>
                  </w:tcBorders>
                  <w:shd w:val="clear" w:color="auto" w:fill="auto"/>
                  <w:tcMar>
                    <w:left w:w="28" w:type="dxa"/>
                    <w:right w:w="28" w:type="dxa"/>
                  </w:tcMar>
                  <w:vAlign w:val="center"/>
                </w:tcPr>
                <w:p w14:paraId="080576C3">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p>
              </w:tc>
              <w:tc>
                <w:tcPr>
                  <w:tcW w:w="646" w:type="pct"/>
                  <w:vMerge w:val="restart"/>
                  <w:tcBorders>
                    <w:top w:val="single" w:color="auto" w:sz="6" w:space="0"/>
                    <w:left w:val="single" w:color="auto" w:sz="6" w:space="0"/>
                    <w:right w:val="single" w:color="auto" w:sz="6" w:space="0"/>
                  </w:tcBorders>
                  <w:shd w:val="clear" w:color="auto" w:fill="auto"/>
                  <w:tcMar>
                    <w:left w:w="28" w:type="dxa"/>
                    <w:right w:w="28" w:type="dxa"/>
                  </w:tcMar>
                  <w:vAlign w:val="center"/>
                </w:tcPr>
                <w:p w14:paraId="15B12411">
                  <w:pPr>
                    <w:keepNext/>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1558</w:t>
                  </w:r>
                </w:p>
              </w:tc>
              <w:tc>
                <w:tcPr>
                  <w:tcW w:w="556" w:type="pct"/>
                  <w:vMerge w:val="restart"/>
                  <w:tcBorders>
                    <w:top w:val="single" w:color="auto" w:sz="6" w:space="0"/>
                    <w:left w:val="single" w:color="auto" w:sz="6" w:space="0"/>
                    <w:right w:val="single" w:color="auto" w:sz="6" w:space="0"/>
                  </w:tcBorders>
                  <w:shd w:val="clear" w:color="auto" w:fill="auto"/>
                  <w:tcMar>
                    <w:left w:w="28" w:type="dxa"/>
                    <w:right w:w="28" w:type="dxa"/>
                  </w:tcMar>
                  <w:vAlign w:val="center"/>
                </w:tcPr>
                <w:p w14:paraId="4E01A4D3">
                  <w:pPr>
                    <w:keepNext/>
                    <w:adjustRightInd w:val="0"/>
                    <w:snapToGrid w:val="0"/>
                    <w:spacing w:line="240" w:lineRule="auto"/>
                    <w:ind w:firstLine="0" w:firstLineChars="0"/>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10</w:t>
                  </w:r>
                </w:p>
              </w:tc>
              <w:tc>
                <w:tcPr>
                  <w:tcW w:w="848" w:type="pct"/>
                  <w:tcBorders>
                    <w:top w:val="single" w:color="auto" w:sz="6" w:space="0"/>
                    <w:left w:val="single" w:color="auto" w:sz="6" w:space="0"/>
                    <w:bottom w:val="single" w:color="auto" w:sz="6" w:space="0"/>
                    <w:right w:val="single" w:color="auto" w:sz="6" w:space="0"/>
                  </w:tcBorders>
                  <w:shd w:val="clear" w:color="auto" w:fill="auto"/>
                  <w:vAlign w:val="center"/>
                </w:tcPr>
                <w:p w14:paraId="06B0ECAA">
                  <w:pPr>
                    <w:keepNext/>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0.9</w:t>
                  </w:r>
                </w:p>
              </w:tc>
              <w:tc>
                <w:tcPr>
                  <w:tcW w:w="569" w:type="pct"/>
                  <w:tcBorders>
                    <w:top w:val="single" w:color="auto" w:sz="6" w:space="0"/>
                    <w:left w:val="single" w:color="auto" w:sz="6" w:space="0"/>
                    <w:bottom w:val="single" w:color="auto" w:sz="6" w:space="0"/>
                    <w:right w:val="single" w:color="auto" w:sz="6" w:space="0"/>
                  </w:tcBorders>
                  <w:shd w:val="clear" w:color="auto" w:fill="auto"/>
                  <w:vAlign w:val="center"/>
                </w:tcPr>
                <w:p w14:paraId="506203A9">
                  <w:pPr>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5.718</w:t>
                  </w:r>
                </w:p>
              </w:tc>
              <w:tc>
                <w:tcPr>
                  <w:tcW w:w="519" w:type="pct"/>
                  <w:tcBorders>
                    <w:top w:val="single" w:color="auto" w:sz="6" w:space="0"/>
                    <w:left w:val="single" w:color="auto" w:sz="6" w:space="0"/>
                    <w:bottom w:val="single" w:color="auto" w:sz="6" w:space="0"/>
                    <w:right w:val="nil"/>
                  </w:tcBorders>
                  <w:shd w:val="clear" w:color="auto" w:fill="auto"/>
                  <w:vAlign w:val="center"/>
                </w:tcPr>
                <w:p w14:paraId="1C5C4AC9">
                  <w:pPr>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50</w:t>
                  </w:r>
                </w:p>
              </w:tc>
            </w:tr>
            <w:tr w14:paraId="615AA09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72" w:type="pct"/>
                  <w:tcBorders>
                    <w:top w:val="single" w:color="auto" w:sz="6" w:space="0"/>
                    <w:left w:val="nil"/>
                    <w:bottom w:val="single" w:color="auto" w:sz="12" w:space="0"/>
                    <w:right w:val="single" w:color="auto" w:sz="6" w:space="0"/>
                  </w:tcBorders>
                  <w:shd w:val="clear" w:color="auto" w:fill="auto"/>
                  <w:tcMar>
                    <w:left w:w="28" w:type="dxa"/>
                    <w:right w:w="28" w:type="dxa"/>
                  </w:tcMar>
                  <w:vAlign w:val="center"/>
                </w:tcPr>
                <w:p w14:paraId="11446A59">
                  <w:pPr>
                    <w:pStyle w:val="148"/>
                    <w:widowControl/>
                    <w:snapToGrid w:val="0"/>
                    <w:spacing w:line="240" w:lineRule="auto"/>
                    <w:ind w:firstLine="0" w:firstLineChars="0"/>
                    <w:rPr>
                      <w:rFonts w:hint="eastAsia" w:cs="Times New Roman"/>
                      <w:color w:val="000000" w:themeColor="text1"/>
                      <w:kern w:val="21"/>
                      <w:sz w:val="21"/>
                      <w:szCs w:val="21"/>
                      <w:lang w:val="en-US" w:eastAsia="zh-CN"/>
                    </w:rPr>
                  </w:pPr>
                  <w:r>
                    <w:rPr>
                      <w:rFonts w:hint="eastAsia" w:cs="Times New Roman"/>
                      <w:color w:val="000000" w:themeColor="text1"/>
                      <w:kern w:val="21"/>
                      <w:sz w:val="21"/>
                      <w:szCs w:val="21"/>
                      <w:lang w:val="en-US" w:eastAsia="zh-CN"/>
                    </w:rPr>
                    <w:t>非甲烷总烃</w:t>
                  </w:r>
                </w:p>
              </w:tc>
              <w:tc>
                <w:tcPr>
                  <w:tcW w:w="639" w:type="pct"/>
                  <w:vMerge w:val="continue"/>
                  <w:tcBorders>
                    <w:left w:val="single" w:color="auto" w:sz="6" w:space="0"/>
                    <w:bottom w:val="single" w:color="auto" w:sz="12" w:space="0"/>
                    <w:right w:val="single" w:color="auto" w:sz="6" w:space="0"/>
                  </w:tcBorders>
                  <w:shd w:val="clear" w:color="auto" w:fill="auto"/>
                  <w:tcMar>
                    <w:left w:w="28" w:type="dxa"/>
                    <w:right w:w="28" w:type="dxa"/>
                  </w:tcMar>
                  <w:vAlign w:val="center"/>
                </w:tcPr>
                <w:p w14:paraId="723563FA">
                  <w:pPr>
                    <w:keepNext/>
                    <w:adjustRightInd w:val="0"/>
                    <w:snapToGrid w:val="0"/>
                    <w:spacing w:line="240" w:lineRule="auto"/>
                    <w:ind w:firstLine="0" w:firstLineChars="0"/>
                    <w:jc w:val="center"/>
                    <w:rPr>
                      <w:rFonts w:hint="eastAsia" w:cs="Times New Roman"/>
                      <w:color w:val="000000" w:themeColor="text1"/>
                      <w:sz w:val="21"/>
                      <w:szCs w:val="21"/>
                      <w:lang w:val="en-US" w:eastAsia="zh-CN" w:bidi="ar"/>
                    </w:rPr>
                  </w:pPr>
                </w:p>
              </w:tc>
              <w:tc>
                <w:tcPr>
                  <w:tcW w:w="646" w:type="pct"/>
                  <w:tcBorders>
                    <w:top w:val="single" w:color="auto" w:sz="6" w:space="0"/>
                    <w:left w:val="single" w:color="auto" w:sz="6" w:space="0"/>
                    <w:bottom w:val="single" w:color="auto" w:sz="12" w:space="0"/>
                    <w:right w:val="single" w:color="auto" w:sz="6" w:space="0"/>
                  </w:tcBorders>
                  <w:shd w:val="clear" w:color="auto" w:fill="auto"/>
                  <w:tcMar>
                    <w:left w:w="28" w:type="dxa"/>
                    <w:right w:w="28" w:type="dxa"/>
                  </w:tcMar>
                  <w:vAlign w:val="center"/>
                </w:tcPr>
                <w:p w14:paraId="78A38E1D">
                  <w:pPr>
                    <w:keepNext w:val="0"/>
                    <w:keepLines w:val="0"/>
                    <w:pageBreakBefore w:val="0"/>
                    <w:suppressLineNumbers w:val="0"/>
                    <w:kinsoku/>
                    <w:wordWrap/>
                    <w:topLinePunct w:val="0"/>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非甲烷总烃</w:t>
                  </w:r>
                </w:p>
              </w:tc>
              <w:tc>
                <w:tcPr>
                  <w:tcW w:w="646" w:type="pct"/>
                  <w:vMerge w:val="continue"/>
                  <w:tcBorders>
                    <w:left w:val="single" w:color="auto" w:sz="6" w:space="0"/>
                    <w:bottom w:val="single" w:color="auto" w:sz="12" w:space="0"/>
                    <w:right w:val="single" w:color="auto" w:sz="6" w:space="0"/>
                  </w:tcBorders>
                  <w:shd w:val="clear" w:color="auto" w:fill="auto"/>
                  <w:tcMar>
                    <w:left w:w="28" w:type="dxa"/>
                    <w:right w:w="28" w:type="dxa"/>
                  </w:tcMar>
                  <w:vAlign w:val="center"/>
                </w:tcPr>
                <w:p w14:paraId="2101F4A9">
                  <w:pPr>
                    <w:keepNext/>
                    <w:adjustRightInd w:val="0"/>
                    <w:snapToGrid w:val="0"/>
                    <w:spacing w:line="240" w:lineRule="auto"/>
                    <w:ind w:firstLine="0" w:firstLineChars="0"/>
                    <w:jc w:val="center"/>
                    <w:rPr>
                      <w:rFonts w:hint="eastAsia" w:cs="Times New Roman"/>
                      <w:color w:val="000000" w:themeColor="text1"/>
                      <w:sz w:val="21"/>
                      <w:szCs w:val="21"/>
                      <w:lang w:val="en-US" w:eastAsia="zh-CN" w:bidi="ar"/>
                    </w:rPr>
                  </w:pPr>
                </w:p>
              </w:tc>
              <w:tc>
                <w:tcPr>
                  <w:tcW w:w="556" w:type="pct"/>
                  <w:vMerge w:val="continue"/>
                  <w:tcBorders>
                    <w:left w:val="single" w:color="auto" w:sz="6" w:space="0"/>
                    <w:bottom w:val="single" w:color="auto" w:sz="12" w:space="0"/>
                    <w:right w:val="single" w:color="auto" w:sz="6" w:space="0"/>
                  </w:tcBorders>
                  <w:shd w:val="clear" w:color="auto" w:fill="auto"/>
                  <w:tcMar>
                    <w:left w:w="28" w:type="dxa"/>
                    <w:right w:w="28" w:type="dxa"/>
                  </w:tcMar>
                  <w:vAlign w:val="center"/>
                </w:tcPr>
                <w:p w14:paraId="1D91F9BC">
                  <w:pPr>
                    <w:keepNext/>
                    <w:adjustRightInd w:val="0"/>
                    <w:snapToGrid w:val="0"/>
                    <w:spacing w:line="240" w:lineRule="auto"/>
                    <w:ind w:firstLine="0" w:firstLineChars="0"/>
                    <w:jc w:val="center"/>
                    <w:rPr>
                      <w:rFonts w:hint="eastAsia" w:cs="Times New Roman"/>
                      <w:color w:val="000000" w:themeColor="text1"/>
                      <w:sz w:val="21"/>
                      <w:szCs w:val="21"/>
                      <w:lang w:val="en-US" w:eastAsia="zh-CN"/>
                    </w:rPr>
                  </w:pPr>
                </w:p>
              </w:tc>
              <w:tc>
                <w:tcPr>
                  <w:tcW w:w="848" w:type="pct"/>
                  <w:tcBorders>
                    <w:top w:val="single" w:color="auto" w:sz="6" w:space="0"/>
                    <w:left w:val="single" w:color="auto" w:sz="6" w:space="0"/>
                    <w:bottom w:val="single" w:color="auto" w:sz="12" w:space="0"/>
                    <w:right w:val="single" w:color="auto" w:sz="6" w:space="0"/>
                  </w:tcBorders>
                  <w:shd w:val="clear" w:color="auto" w:fill="auto"/>
                  <w:vAlign w:val="center"/>
                </w:tcPr>
                <w:p w14:paraId="125E646C">
                  <w:pPr>
                    <w:keepNext/>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2.0</w:t>
                  </w:r>
                </w:p>
              </w:tc>
              <w:tc>
                <w:tcPr>
                  <w:tcW w:w="569" w:type="pct"/>
                  <w:tcBorders>
                    <w:top w:val="single" w:color="auto" w:sz="6" w:space="0"/>
                    <w:left w:val="single" w:color="auto" w:sz="6" w:space="0"/>
                    <w:bottom w:val="single" w:color="auto" w:sz="12" w:space="0"/>
                    <w:right w:val="single" w:color="auto" w:sz="6" w:space="0"/>
                  </w:tcBorders>
                  <w:shd w:val="clear" w:color="auto" w:fill="auto"/>
                  <w:vAlign w:val="center"/>
                </w:tcPr>
                <w:p w14:paraId="0AA2E5D3">
                  <w:pPr>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3.427</w:t>
                  </w:r>
                </w:p>
              </w:tc>
              <w:tc>
                <w:tcPr>
                  <w:tcW w:w="519" w:type="pct"/>
                  <w:tcBorders>
                    <w:top w:val="single" w:color="auto" w:sz="6" w:space="0"/>
                    <w:left w:val="single" w:color="auto" w:sz="6" w:space="0"/>
                    <w:bottom w:val="single" w:color="auto" w:sz="12" w:space="0"/>
                    <w:right w:val="nil"/>
                  </w:tcBorders>
                  <w:shd w:val="clear" w:color="auto" w:fill="auto"/>
                  <w:vAlign w:val="center"/>
                </w:tcPr>
                <w:p w14:paraId="0C95CE48">
                  <w:pPr>
                    <w:adjustRightInd w:val="0"/>
                    <w:snapToGrid w:val="0"/>
                    <w:spacing w:line="240" w:lineRule="auto"/>
                    <w:ind w:firstLine="0" w:firstLineChars="0"/>
                    <w:jc w:val="center"/>
                    <w:rPr>
                      <w:rFonts w:hint="default" w:cs="Times New Roman"/>
                      <w:color w:val="000000" w:themeColor="text1"/>
                      <w:sz w:val="21"/>
                      <w:szCs w:val="21"/>
                      <w:lang w:val="en-US" w:eastAsia="zh-CN" w:bidi="ar"/>
                    </w:rPr>
                  </w:pPr>
                  <w:r>
                    <w:rPr>
                      <w:rFonts w:hint="eastAsia" w:cs="Times New Roman"/>
                      <w:color w:val="000000" w:themeColor="text1"/>
                      <w:sz w:val="21"/>
                      <w:szCs w:val="21"/>
                      <w:lang w:val="en-US" w:eastAsia="zh-CN" w:bidi="ar"/>
                    </w:rPr>
                    <w:t>50</w:t>
                  </w:r>
                </w:p>
              </w:tc>
            </w:tr>
          </w:tbl>
          <w:p w14:paraId="43B1E5FD">
            <w:pPr>
              <w:spacing w:line="240" w:lineRule="auto"/>
              <w:ind w:firstLine="0" w:firstLineChars="0"/>
              <w:rPr>
                <w:rFonts w:hint="default" w:ascii="Times New Roman" w:hAnsi="Times New Roman" w:eastAsia="宋体" w:cs="Times New Roman"/>
                <w:color w:val="000000" w:themeColor="text1"/>
                <w:lang w:eastAsia="zh-CN"/>
              </w:rPr>
            </w:pPr>
          </w:p>
          <w:p w14:paraId="2FC3072D">
            <w:pPr>
              <w:ind w:left="0" w:leftChars="0" w:firstLine="0" w:firstLineChars="0"/>
              <w:jc w:val="center"/>
              <w:rPr>
                <w:rFonts w:hint="default" w:ascii="Times New Roman" w:hAnsi="Times New Roman" w:eastAsia="宋体" w:cs="Times New Roman"/>
                <w:color w:val="000000" w:themeColor="text1"/>
              </w:rPr>
            </w:pPr>
            <w:r>
              <w:rPr>
                <w:color w:val="000000" w:themeColor="text1"/>
              </w:rPr>
              <w:drawing>
                <wp:inline distT="0" distB="0" distL="114300" distR="114300">
                  <wp:extent cx="5160010" cy="3501390"/>
                  <wp:effectExtent l="0" t="0" r="2540" b="3810"/>
                  <wp:docPr id="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1"/>
                          <pic:cNvPicPr>
                            <a:picLocks noChangeAspect="1"/>
                          </pic:cNvPicPr>
                        </pic:nvPicPr>
                        <pic:blipFill>
                          <a:blip r:embed="rId50"/>
                          <a:stretch>
                            <a:fillRect/>
                          </a:stretch>
                        </pic:blipFill>
                        <pic:spPr>
                          <a:xfrm>
                            <a:off x="0" y="0"/>
                            <a:ext cx="5160010" cy="3501390"/>
                          </a:xfrm>
                          <a:prstGeom prst="rect">
                            <a:avLst/>
                          </a:prstGeom>
                          <a:noFill/>
                          <a:ln>
                            <a:noFill/>
                          </a:ln>
                        </pic:spPr>
                      </pic:pic>
                    </a:graphicData>
                  </a:graphic>
                </wp:inline>
              </w:drawing>
            </w:r>
          </w:p>
          <w:p w14:paraId="38A67F10">
            <w:pPr>
              <w:ind w:firstLine="480"/>
              <w:rPr>
                <w:rFonts w:hint="default" w:ascii="Times New Roman" w:hAnsi="Times New Roman" w:eastAsia="宋体" w:cs="Times New Roman"/>
                <w:color w:val="000000" w:themeColor="text1"/>
                <w:szCs w:val="22"/>
              </w:rPr>
            </w:pPr>
            <w:r>
              <w:rPr>
                <w:rFonts w:hint="default" w:ascii="Times New Roman" w:hAnsi="Times New Roman" w:eastAsia="宋体" w:cs="Times New Roman"/>
                <w:color w:val="000000" w:themeColor="text1"/>
              </w:rPr>
              <w:t>根据《</w:t>
            </w:r>
            <w:r>
              <w:rPr>
                <w:rFonts w:hint="default" w:ascii="Times New Roman" w:hAnsi="Times New Roman" w:eastAsia="宋体" w:cs="Times New Roman"/>
                <w:bCs/>
                <w:color w:val="000000" w:themeColor="text1"/>
              </w:rPr>
              <w:t>大气有害物质无组织排放卫生防护距离推导技术导则》（GB/T 39499-2020）</w:t>
            </w:r>
            <w:r>
              <w:rPr>
                <w:rFonts w:hint="default" w:ascii="Times New Roman" w:hAnsi="Times New Roman" w:eastAsia="宋体" w:cs="Times New Roman"/>
                <w:color w:val="000000" w:themeColor="text1"/>
              </w:rPr>
              <w:t>计算结果可知，本项目卫生防护距离为</w:t>
            </w:r>
            <w:r>
              <w:rPr>
                <w:rFonts w:hint="eastAsia" w:cs="Times New Roman"/>
                <w:bCs/>
                <w:color w:val="000000" w:themeColor="text1"/>
                <w:lang w:val="en-US" w:eastAsia="zh-CN"/>
              </w:rPr>
              <w:t>炭黑处理车间、色母粒生产车间</w:t>
            </w:r>
            <w:r>
              <w:rPr>
                <w:rFonts w:hint="default" w:ascii="Times New Roman" w:hAnsi="Times New Roman" w:eastAsia="宋体" w:cs="Times New Roman"/>
                <w:color w:val="000000" w:themeColor="text1"/>
              </w:rPr>
              <w:t>边界外50米范围，而</w:t>
            </w:r>
            <w:r>
              <w:rPr>
                <w:rFonts w:hint="eastAsia" w:ascii="Times New Roman" w:hAnsi="Times New Roman" w:eastAsia="宋体" w:cs="Times New Roman"/>
                <w:color w:val="000000" w:themeColor="text1"/>
                <w:lang w:val="en-US" w:eastAsia="zh-CN"/>
              </w:rPr>
              <w:t>厂界500m范围内无敏感点</w:t>
            </w:r>
            <w:r>
              <w:rPr>
                <w:rFonts w:hint="eastAsia" w:cs="Times New Roman"/>
                <w:color w:val="000000" w:themeColor="text1"/>
                <w:lang w:val="en-US" w:eastAsia="zh-CN"/>
              </w:rPr>
              <w:t>，</w:t>
            </w:r>
            <w:r>
              <w:rPr>
                <w:rFonts w:hint="default" w:ascii="Times New Roman" w:hAnsi="Times New Roman" w:eastAsia="宋体" w:cs="Times New Roman"/>
                <w:color w:val="000000" w:themeColor="text1"/>
              </w:rPr>
              <w:t>符合要求。</w:t>
            </w:r>
            <w:r>
              <w:rPr>
                <w:rFonts w:hint="default" w:ascii="Times New Roman" w:hAnsi="Times New Roman" w:eastAsia="宋体" w:cs="Times New Roman"/>
                <w:color w:val="000000" w:themeColor="text1"/>
                <w:szCs w:val="22"/>
              </w:rPr>
              <w:t xml:space="preserve">   </w:t>
            </w:r>
          </w:p>
          <w:p w14:paraId="78AF4E1C">
            <w:pPr>
              <w:ind w:firstLine="482"/>
              <w:rPr>
                <w:rFonts w:hint="eastAsia"/>
                <w:b/>
                <w:bCs/>
                <w:color w:val="000000" w:themeColor="text1"/>
                <w:lang w:val="en-US" w:eastAsia="zh-CN"/>
              </w:rPr>
            </w:pPr>
            <w:r>
              <w:rPr>
                <w:rFonts w:hint="eastAsia" w:ascii="Times New Roman" w:hAnsi="Times New Roman" w:eastAsia="宋体" w:cs="Times New Roman"/>
                <w:b/>
                <w:bCs/>
                <w:color w:val="000000" w:themeColor="text1"/>
                <w:lang w:val="en-US" w:eastAsia="zh-CN"/>
              </w:rPr>
              <w:t>2.7</w:t>
            </w:r>
            <w:r>
              <w:rPr>
                <w:rFonts w:hint="eastAsia"/>
                <w:b/>
                <w:bCs/>
                <w:color w:val="000000" w:themeColor="text1"/>
                <w:lang w:val="en-US" w:eastAsia="zh-CN"/>
              </w:rPr>
              <w:t>废气量统计</w:t>
            </w:r>
          </w:p>
          <w:p w14:paraId="671DCB69">
            <w:pPr>
              <w:pStyle w:val="12"/>
              <w:keepNext w:val="0"/>
              <w:keepLines w:val="0"/>
              <w:pageBreakBefore w:val="0"/>
              <w:widowControl/>
              <w:kinsoku/>
              <w:wordWrap/>
              <w:overflowPunct/>
              <w:topLinePunct w:val="0"/>
              <w:autoSpaceDE/>
              <w:autoSpaceDN/>
              <w:bidi w:val="0"/>
              <w:adjustRightInd w:val="0"/>
              <w:snapToGrid w:val="0"/>
              <w:textAlignment w:val="auto"/>
              <w:rPr>
                <w:rFonts w:hint="eastAsia" w:ascii="Times New Roman" w:hAnsi="Times New Roman" w:eastAsia="宋体" w:cs="Times New Roman"/>
                <w:color w:val="000000" w:themeColor="text1"/>
                <w:sz w:val="24"/>
                <w:szCs w:val="22"/>
                <w:lang w:val="en-US" w:eastAsia="zh-CN"/>
              </w:rPr>
            </w:pPr>
            <w:r>
              <w:rPr>
                <w:rFonts w:hint="eastAsia" w:ascii="Times New Roman" w:hAnsi="Times New Roman" w:eastAsia="宋体" w:cs="Times New Roman"/>
                <w:color w:val="000000" w:themeColor="text1"/>
                <w:sz w:val="24"/>
                <w:szCs w:val="22"/>
                <w:lang w:val="en-US" w:eastAsia="zh-CN"/>
              </w:rPr>
              <w:t>（1）有组织排放量核算</w:t>
            </w:r>
          </w:p>
          <w:p w14:paraId="63C0E06F">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240" w:lineRule="auto"/>
              <w:ind w:leftChars="0"/>
              <w:jc w:val="center"/>
              <w:textAlignment w:val="auto"/>
              <w:rPr>
                <w:rFonts w:hint="default"/>
                <w:b/>
                <w:bCs/>
                <w:color w:val="000000" w:themeColor="text1"/>
                <w:sz w:val="21"/>
                <w:szCs w:val="21"/>
                <w:lang w:val="en-US" w:eastAsia="zh-CN"/>
              </w:rPr>
            </w:pPr>
            <w:r>
              <w:rPr>
                <w:rFonts w:hint="eastAsia" w:hAnsi="宋体"/>
                <w:b/>
                <w:color w:val="000000" w:themeColor="text1"/>
                <w:sz w:val="21"/>
                <w:szCs w:val="21"/>
              </w:rPr>
              <w:t>表</w:t>
            </w:r>
            <w:r>
              <w:rPr>
                <w:rFonts w:hint="eastAsia" w:hAnsi="宋体"/>
                <w:b/>
                <w:color w:val="000000" w:themeColor="text1"/>
                <w:sz w:val="21"/>
                <w:szCs w:val="21"/>
                <w:lang w:val="en-US" w:eastAsia="zh-CN"/>
              </w:rPr>
              <w:t>4-17</w:t>
            </w:r>
            <w:r>
              <w:rPr>
                <w:rFonts w:hint="eastAsia"/>
                <w:b/>
                <w:bCs/>
                <w:color w:val="000000" w:themeColor="text1"/>
                <w:sz w:val="21"/>
                <w:szCs w:val="21"/>
                <w:lang w:val="en-US" w:eastAsia="zh-CN"/>
              </w:rPr>
              <w:t xml:space="preserve"> 大气污染物有组织排放量核算表</w:t>
            </w:r>
          </w:p>
          <w:tbl>
            <w:tblPr>
              <w:tblStyle w:val="34"/>
              <w:tblW w:w="78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241"/>
              <w:gridCol w:w="1247"/>
              <w:gridCol w:w="1434"/>
              <w:gridCol w:w="1632"/>
              <w:gridCol w:w="1550"/>
            </w:tblGrid>
            <w:tr w14:paraId="318C2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753" w:type="dxa"/>
                  <w:tcBorders>
                    <w:tl2br w:val="nil"/>
                    <w:tr2bl w:val="nil"/>
                  </w:tcBorders>
                  <w:noWrap w:val="0"/>
                  <w:vAlign w:val="center"/>
                </w:tcPr>
                <w:p w14:paraId="65D13293">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序号</w:t>
                  </w:r>
                </w:p>
              </w:tc>
              <w:tc>
                <w:tcPr>
                  <w:tcW w:w="1241" w:type="dxa"/>
                  <w:tcBorders>
                    <w:tl2br w:val="nil"/>
                    <w:tr2bl w:val="nil"/>
                  </w:tcBorders>
                  <w:noWrap w:val="0"/>
                  <w:vAlign w:val="center"/>
                </w:tcPr>
                <w:p w14:paraId="56C763AE">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排放口编号</w:t>
                  </w:r>
                </w:p>
              </w:tc>
              <w:tc>
                <w:tcPr>
                  <w:tcW w:w="1247" w:type="dxa"/>
                  <w:tcBorders>
                    <w:tl2br w:val="nil"/>
                    <w:tr2bl w:val="nil"/>
                  </w:tcBorders>
                  <w:noWrap w:val="0"/>
                  <w:vAlign w:val="center"/>
                </w:tcPr>
                <w:p w14:paraId="7BF50F17">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污染物</w:t>
                  </w:r>
                </w:p>
              </w:tc>
              <w:tc>
                <w:tcPr>
                  <w:tcW w:w="1434" w:type="dxa"/>
                  <w:tcBorders>
                    <w:tl2br w:val="nil"/>
                    <w:tr2bl w:val="nil"/>
                  </w:tcBorders>
                  <w:noWrap w:val="0"/>
                  <w:vAlign w:val="center"/>
                </w:tcPr>
                <w:p w14:paraId="447C26E6">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核算排放浓度/</w:t>
                  </w:r>
                  <w:r>
                    <w:rPr>
                      <w:rFonts w:hint="eastAsia" w:ascii="Times New Roman" w:hAnsi="Times New Roman" w:eastAsia="宋体" w:cs="Times New Roman"/>
                      <w:color w:val="000000" w:themeColor="text1"/>
                      <w:sz w:val="21"/>
                      <w:szCs w:val="21"/>
                      <w:vertAlign w:val="baseline"/>
                      <w:lang w:val="en-US" w:eastAsia="zh-CN"/>
                    </w:rPr>
                    <w:t>（</w:t>
                  </w:r>
                  <w:r>
                    <w:rPr>
                      <w:rFonts w:hint="default" w:ascii="Times New Roman" w:hAnsi="Times New Roman" w:eastAsia="宋体" w:cs="Times New Roman"/>
                      <w:color w:val="000000" w:themeColor="text1"/>
                      <w:sz w:val="21"/>
                      <w:szCs w:val="21"/>
                      <w:vertAlign w:val="baseline"/>
                      <w:lang w:val="en-US" w:eastAsia="zh-CN"/>
                    </w:rPr>
                    <w:t>mg/m</w:t>
                  </w:r>
                  <w:r>
                    <w:rPr>
                      <w:rFonts w:hint="default" w:ascii="Times New Roman" w:hAnsi="Times New Roman" w:eastAsia="宋体" w:cs="Times New Roman"/>
                      <w:color w:val="000000" w:themeColor="text1"/>
                      <w:sz w:val="21"/>
                      <w:szCs w:val="21"/>
                      <w:vertAlign w:val="superscript"/>
                      <w:lang w:val="en-US" w:eastAsia="zh-CN"/>
                    </w:rPr>
                    <w:t>3</w:t>
                  </w:r>
                  <w:r>
                    <w:rPr>
                      <w:rFonts w:hint="default" w:ascii="Times New Roman" w:hAnsi="Times New Roman" w:eastAsia="宋体" w:cs="Times New Roman"/>
                      <w:color w:val="000000" w:themeColor="text1"/>
                      <w:sz w:val="21"/>
                      <w:szCs w:val="21"/>
                      <w:vertAlign w:val="baseline"/>
                      <w:lang w:val="en-US" w:eastAsia="zh-CN"/>
                    </w:rPr>
                    <w:t>）</w:t>
                  </w:r>
                </w:p>
              </w:tc>
              <w:tc>
                <w:tcPr>
                  <w:tcW w:w="1632" w:type="dxa"/>
                  <w:tcBorders>
                    <w:tl2br w:val="nil"/>
                    <w:tr2bl w:val="nil"/>
                  </w:tcBorders>
                  <w:noWrap w:val="0"/>
                  <w:vAlign w:val="center"/>
                </w:tcPr>
                <w:p w14:paraId="687EC7EA">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核算排放速率（kg/h）</w:t>
                  </w:r>
                </w:p>
              </w:tc>
              <w:tc>
                <w:tcPr>
                  <w:tcW w:w="1550" w:type="dxa"/>
                  <w:tcBorders>
                    <w:tl2br w:val="nil"/>
                    <w:tr2bl w:val="nil"/>
                  </w:tcBorders>
                  <w:noWrap w:val="0"/>
                  <w:vAlign w:val="center"/>
                </w:tcPr>
                <w:p w14:paraId="7EEA7B3E">
                  <w:pPr>
                    <w:pStyle w:val="5"/>
                    <w:pageBreakBefore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color w:val="000000" w:themeColor="text1"/>
                      <w:sz w:val="21"/>
                      <w:szCs w:val="21"/>
                      <w:vertAlign w:val="baseline"/>
                      <w:lang w:val="en-US" w:eastAsia="zh-CN"/>
                    </w:rPr>
                    <w:t>核算年排放量（t/a）</w:t>
                  </w:r>
                </w:p>
              </w:tc>
            </w:tr>
            <w:tr w14:paraId="591AA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57" w:type="dxa"/>
                  <w:gridSpan w:val="6"/>
                  <w:tcBorders>
                    <w:tl2br w:val="nil"/>
                    <w:tr2bl w:val="nil"/>
                  </w:tcBorders>
                  <w:noWrap w:val="0"/>
                  <w:vAlign w:val="center"/>
                </w:tcPr>
                <w:p w14:paraId="18E8BD3D">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lang w:val="en-US" w:eastAsia="zh-CN"/>
                    </w:rPr>
                  </w:pPr>
                  <w:r>
                    <w:rPr>
                      <w:rFonts w:hint="default" w:ascii="Times New Roman" w:hAnsi="Times New Roman" w:eastAsia="宋体" w:cs="Times New Roman"/>
                      <w:b w:val="0"/>
                      <w:bCs w:val="0"/>
                      <w:color w:val="000000" w:themeColor="text1"/>
                      <w:sz w:val="21"/>
                      <w:szCs w:val="21"/>
                      <w:lang w:val="en-US" w:eastAsia="zh-CN"/>
                    </w:rPr>
                    <w:t>一般排放口</w:t>
                  </w:r>
                </w:p>
              </w:tc>
            </w:tr>
            <w:tr w14:paraId="0F927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restart"/>
                  <w:tcBorders>
                    <w:tl2br w:val="nil"/>
                    <w:tr2bl w:val="nil"/>
                  </w:tcBorders>
                  <w:noWrap w:val="0"/>
                  <w:vAlign w:val="center"/>
                </w:tcPr>
                <w:p w14:paraId="2C88E270">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1</w:t>
                  </w:r>
                </w:p>
              </w:tc>
              <w:tc>
                <w:tcPr>
                  <w:tcW w:w="1241" w:type="dxa"/>
                  <w:vMerge w:val="restart"/>
                  <w:tcBorders>
                    <w:tl2br w:val="nil"/>
                    <w:tr2bl w:val="nil"/>
                  </w:tcBorders>
                  <w:noWrap w:val="0"/>
                  <w:vAlign w:val="center"/>
                </w:tcPr>
                <w:p w14:paraId="48D13A14">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DA0</w:t>
                  </w:r>
                  <w:r>
                    <w:rPr>
                      <w:rFonts w:hint="eastAsia" w:ascii="Times New Roman" w:hAnsi="Times New Roman" w:eastAsia="宋体" w:cs="Times New Roman"/>
                      <w:b w:val="0"/>
                      <w:bCs w:val="0"/>
                      <w:color w:val="000000" w:themeColor="text1"/>
                      <w:sz w:val="21"/>
                      <w:szCs w:val="21"/>
                      <w:vertAlign w:val="baseline"/>
                      <w:lang w:val="en-US" w:eastAsia="zh-CN"/>
                    </w:rPr>
                    <w:t>01</w:t>
                  </w:r>
                </w:p>
              </w:tc>
              <w:tc>
                <w:tcPr>
                  <w:tcW w:w="1247" w:type="dxa"/>
                  <w:tcBorders>
                    <w:tl2br w:val="nil"/>
                    <w:tr2bl w:val="nil"/>
                  </w:tcBorders>
                  <w:noWrap w:val="0"/>
                  <w:vAlign w:val="center"/>
                </w:tcPr>
                <w:p w14:paraId="242E7105">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颗粒物</w:t>
                  </w:r>
                </w:p>
              </w:tc>
              <w:tc>
                <w:tcPr>
                  <w:tcW w:w="1434" w:type="dxa"/>
                  <w:tcBorders>
                    <w:tl2br w:val="nil"/>
                    <w:tr2bl w:val="nil"/>
                  </w:tcBorders>
                  <w:noWrap w:val="0"/>
                  <w:vAlign w:val="center"/>
                </w:tcPr>
                <w:p w14:paraId="4C35824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color w:val="000000" w:themeColor="text1"/>
                      <w:sz w:val="21"/>
                      <w:szCs w:val="21"/>
                      <w:lang w:val="en-US" w:eastAsia="zh-CN"/>
                    </w:rPr>
                    <w:t>2.25</w:t>
                  </w:r>
                </w:p>
              </w:tc>
              <w:tc>
                <w:tcPr>
                  <w:tcW w:w="1632" w:type="dxa"/>
                  <w:tcBorders>
                    <w:tl2br w:val="nil"/>
                    <w:tr2bl w:val="nil"/>
                  </w:tcBorders>
                  <w:noWrap w:val="0"/>
                  <w:vAlign w:val="center"/>
                </w:tcPr>
                <w:p w14:paraId="1336DC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rPr>
                    <w:t>0.04</w:t>
                  </w:r>
                  <w:r>
                    <w:rPr>
                      <w:rFonts w:hint="eastAsia" w:cs="Times New Roman"/>
                      <w:color w:val="000000" w:themeColor="text1"/>
                      <w:sz w:val="21"/>
                      <w:szCs w:val="21"/>
                      <w:lang w:val="en-US" w:eastAsia="zh-CN"/>
                    </w:rPr>
                    <w:t>5</w:t>
                  </w:r>
                </w:p>
              </w:tc>
              <w:tc>
                <w:tcPr>
                  <w:tcW w:w="1550" w:type="dxa"/>
                  <w:tcBorders>
                    <w:tl2br w:val="nil"/>
                    <w:tr2bl w:val="nil"/>
                  </w:tcBorders>
                  <w:noWrap w:val="0"/>
                  <w:vAlign w:val="center"/>
                </w:tcPr>
                <w:p w14:paraId="7BEF25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107</w:t>
                  </w:r>
                </w:p>
              </w:tc>
            </w:tr>
            <w:tr w14:paraId="279FD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continue"/>
                  <w:tcBorders>
                    <w:tl2br w:val="nil"/>
                    <w:tr2bl w:val="nil"/>
                  </w:tcBorders>
                  <w:noWrap w:val="0"/>
                  <w:vAlign w:val="center"/>
                </w:tcPr>
                <w:p w14:paraId="343EEF66">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1" w:type="dxa"/>
                  <w:vMerge w:val="continue"/>
                  <w:tcBorders>
                    <w:tl2br w:val="nil"/>
                    <w:tr2bl w:val="nil"/>
                  </w:tcBorders>
                  <w:noWrap w:val="0"/>
                  <w:vAlign w:val="center"/>
                </w:tcPr>
                <w:p w14:paraId="15FD9FF3">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7" w:type="dxa"/>
                  <w:tcBorders>
                    <w:tl2br w:val="nil"/>
                    <w:tr2bl w:val="nil"/>
                  </w:tcBorders>
                  <w:noWrap w:val="0"/>
                  <w:vAlign w:val="center"/>
                </w:tcPr>
                <w:p w14:paraId="290C3F44">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SO</w:t>
                  </w:r>
                  <w:r>
                    <w:rPr>
                      <w:rFonts w:hint="eastAsia" w:ascii="Times New Roman" w:hAnsi="Times New Roman" w:eastAsia="宋体" w:cs="Times New Roman"/>
                      <w:b w:val="0"/>
                      <w:bCs w:val="0"/>
                      <w:color w:val="000000" w:themeColor="text1"/>
                      <w:sz w:val="21"/>
                      <w:szCs w:val="21"/>
                      <w:vertAlign w:val="subscript"/>
                      <w:lang w:val="en-US" w:eastAsia="zh-CN"/>
                    </w:rPr>
                    <w:t>2</w:t>
                  </w:r>
                </w:p>
              </w:tc>
              <w:tc>
                <w:tcPr>
                  <w:tcW w:w="1434" w:type="dxa"/>
                  <w:tcBorders>
                    <w:tl2br w:val="nil"/>
                    <w:tr2bl w:val="nil"/>
                  </w:tcBorders>
                  <w:noWrap w:val="0"/>
                  <w:vAlign w:val="center"/>
                </w:tcPr>
                <w:p w14:paraId="0B0B237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color w:val="000000" w:themeColor="text1"/>
                      <w:spacing w:val="-1"/>
                      <w:sz w:val="21"/>
                      <w:szCs w:val="21"/>
                      <w:lang w:val="en-US" w:eastAsia="zh-CN"/>
                    </w:rPr>
                    <w:t>0.35</w:t>
                  </w:r>
                </w:p>
              </w:tc>
              <w:tc>
                <w:tcPr>
                  <w:tcW w:w="1632" w:type="dxa"/>
                  <w:tcBorders>
                    <w:tl2br w:val="nil"/>
                    <w:tr2bl w:val="nil"/>
                  </w:tcBorders>
                  <w:noWrap w:val="0"/>
                  <w:vAlign w:val="center"/>
                </w:tcPr>
                <w:p w14:paraId="79EB22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0.007</w:t>
                  </w:r>
                </w:p>
              </w:tc>
              <w:tc>
                <w:tcPr>
                  <w:tcW w:w="1550" w:type="dxa"/>
                  <w:tcBorders>
                    <w:tl2br w:val="nil"/>
                    <w:tr2bl w:val="nil"/>
                  </w:tcBorders>
                  <w:noWrap w:val="0"/>
                  <w:vAlign w:val="center"/>
                </w:tcPr>
                <w:p w14:paraId="0D5BC38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u w:val="no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r>
            <w:tr w14:paraId="38569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continue"/>
                  <w:tcBorders>
                    <w:tl2br w:val="nil"/>
                    <w:tr2bl w:val="nil"/>
                  </w:tcBorders>
                  <w:noWrap w:val="0"/>
                  <w:vAlign w:val="center"/>
                </w:tcPr>
                <w:p w14:paraId="360D8971">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1" w:type="dxa"/>
                  <w:vMerge w:val="continue"/>
                  <w:tcBorders>
                    <w:tl2br w:val="nil"/>
                    <w:tr2bl w:val="nil"/>
                  </w:tcBorders>
                  <w:noWrap w:val="0"/>
                  <w:vAlign w:val="center"/>
                </w:tcPr>
                <w:p w14:paraId="2F5A125B">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7" w:type="dxa"/>
                  <w:tcBorders>
                    <w:tl2br w:val="nil"/>
                    <w:tr2bl w:val="nil"/>
                  </w:tcBorders>
                  <w:noWrap w:val="0"/>
                  <w:vAlign w:val="center"/>
                </w:tcPr>
                <w:p w14:paraId="67D0108B">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NOx</w:t>
                  </w:r>
                </w:p>
              </w:tc>
              <w:tc>
                <w:tcPr>
                  <w:tcW w:w="1434" w:type="dxa"/>
                  <w:tcBorders>
                    <w:tl2br w:val="nil"/>
                    <w:tr2bl w:val="nil"/>
                  </w:tcBorders>
                  <w:noWrap w:val="0"/>
                  <w:vAlign w:val="center"/>
                </w:tcPr>
                <w:p w14:paraId="5214206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color w:val="000000" w:themeColor="text1"/>
                      <w:spacing w:val="-1"/>
                      <w:sz w:val="21"/>
                      <w:szCs w:val="21"/>
                      <w:lang w:val="en-US" w:eastAsia="zh-CN"/>
                    </w:rPr>
                    <w:t>1.55</w:t>
                  </w:r>
                </w:p>
              </w:tc>
              <w:tc>
                <w:tcPr>
                  <w:tcW w:w="1632" w:type="dxa"/>
                  <w:tcBorders>
                    <w:tl2br w:val="nil"/>
                    <w:tr2bl w:val="nil"/>
                  </w:tcBorders>
                  <w:noWrap w:val="0"/>
                  <w:vAlign w:val="center"/>
                </w:tcPr>
                <w:p w14:paraId="2336B5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0.031</w:t>
                  </w:r>
                </w:p>
              </w:tc>
              <w:tc>
                <w:tcPr>
                  <w:tcW w:w="1550" w:type="dxa"/>
                  <w:tcBorders>
                    <w:tl2br w:val="nil"/>
                    <w:tr2bl w:val="nil"/>
                  </w:tcBorders>
                  <w:noWrap w:val="0"/>
                  <w:vAlign w:val="center"/>
                </w:tcPr>
                <w:p w14:paraId="38E926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u w:val="no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r>
            <w:tr w14:paraId="4E70E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restart"/>
                  <w:tcBorders>
                    <w:tl2br w:val="nil"/>
                    <w:tr2bl w:val="nil"/>
                  </w:tcBorders>
                  <w:noWrap w:val="0"/>
                  <w:vAlign w:val="center"/>
                </w:tcPr>
                <w:p w14:paraId="09D2AF3E">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2</w:t>
                  </w:r>
                </w:p>
              </w:tc>
              <w:tc>
                <w:tcPr>
                  <w:tcW w:w="1241" w:type="dxa"/>
                  <w:vMerge w:val="restart"/>
                  <w:tcBorders>
                    <w:tl2br w:val="nil"/>
                    <w:tr2bl w:val="nil"/>
                  </w:tcBorders>
                  <w:noWrap w:val="0"/>
                  <w:vAlign w:val="center"/>
                </w:tcPr>
                <w:p w14:paraId="20DFB121">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DA0</w:t>
                  </w:r>
                  <w:r>
                    <w:rPr>
                      <w:rFonts w:hint="eastAsia" w:ascii="Times New Roman" w:hAnsi="Times New Roman" w:eastAsia="宋体" w:cs="Times New Roman"/>
                      <w:b w:val="0"/>
                      <w:bCs w:val="0"/>
                      <w:color w:val="000000" w:themeColor="text1"/>
                      <w:sz w:val="21"/>
                      <w:szCs w:val="21"/>
                      <w:vertAlign w:val="baseline"/>
                      <w:lang w:val="en-US" w:eastAsia="zh-CN"/>
                    </w:rPr>
                    <w:t>02</w:t>
                  </w:r>
                </w:p>
              </w:tc>
              <w:tc>
                <w:tcPr>
                  <w:tcW w:w="1247" w:type="dxa"/>
                  <w:tcBorders>
                    <w:tl2br w:val="nil"/>
                    <w:tr2bl w:val="nil"/>
                  </w:tcBorders>
                  <w:noWrap w:val="0"/>
                  <w:vAlign w:val="center"/>
                </w:tcPr>
                <w:p w14:paraId="5384BC6A">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颗粒物</w:t>
                  </w:r>
                </w:p>
              </w:tc>
              <w:tc>
                <w:tcPr>
                  <w:tcW w:w="1434" w:type="dxa"/>
                  <w:tcBorders>
                    <w:tl2br w:val="nil"/>
                    <w:tr2bl w:val="nil"/>
                  </w:tcBorders>
                  <w:noWrap w:val="0"/>
                  <w:vAlign w:val="center"/>
                </w:tcPr>
                <w:p w14:paraId="11F5A3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color w:val="000000" w:themeColor="text1"/>
                      <w:sz w:val="21"/>
                      <w:szCs w:val="21"/>
                      <w:lang w:val="en-US" w:eastAsia="zh-CN"/>
                    </w:rPr>
                    <w:t>2.2</w:t>
                  </w:r>
                </w:p>
              </w:tc>
              <w:tc>
                <w:tcPr>
                  <w:tcW w:w="1632" w:type="dxa"/>
                  <w:tcBorders>
                    <w:tl2br w:val="nil"/>
                    <w:tr2bl w:val="nil"/>
                  </w:tcBorders>
                  <w:noWrap w:val="0"/>
                  <w:vAlign w:val="center"/>
                </w:tcPr>
                <w:p w14:paraId="2856D7D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u w:val="none"/>
                      <w:lang w:val="en-US" w:eastAsia="zh-CN"/>
                    </w:rPr>
                  </w:pPr>
                  <w:r>
                    <w:rPr>
                      <w:rFonts w:hint="eastAsia" w:ascii="Times New Roman" w:hAnsi="Times New Roman" w:eastAsia="宋体" w:cs="Times New Roman"/>
                      <w:color w:val="000000" w:themeColor="text1"/>
                      <w:sz w:val="21"/>
                      <w:szCs w:val="21"/>
                      <w:lang w:val="en-US" w:eastAsia="zh-CN"/>
                    </w:rPr>
                    <w:t>0.0</w:t>
                  </w:r>
                  <w:r>
                    <w:rPr>
                      <w:rFonts w:hint="eastAsia" w:cs="Times New Roman"/>
                      <w:color w:val="000000" w:themeColor="text1"/>
                      <w:sz w:val="21"/>
                      <w:szCs w:val="21"/>
                      <w:lang w:val="en-US" w:eastAsia="zh-CN"/>
                    </w:rPr>
                    <w:t>66</w:t>
                  </w:r>
                </w:p>
              </w:tc>
              <w:tc>
                <w:tcPr>
                  <w:tcW w:w="1550" w:type="dxa"/>
                  <w:tcBorders>
                    <w:tl2br w:val="nil"/>
                    <w:tr2bl w:val="nil"/>
                  </w:tcBorders>
                  <w:noWrap w:val="0"/>
                  <w:vAlign w:val="center"/>
                </w:tcPr>
                <w:p w14:paraId="5D3CE6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u w:val="none"/>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159</w:t>
                  </w:r>
                </w:p>
              </w:tc>
            </w:tr>
            <w:tr w14:paraId="6BA9B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continue"/>
                  <w:tcBorders>
                    <w:tl2br w:val="nil"/>
                    <w:tr2bl w:val="nil"/>
                  </w:tcBorders>
                  <w:noWrap w:val="0"/>
                  <w:vAlign w:val="center"/>
                </w:tcPr>
                <w:p w14:paraId="25322EBB">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1" w:type="dxa"/>
                  <w:vMerge w:val="continue"/>
                  <w:tcBorders>
                    <w:tl2br w:val="nil"/>
                    <w:tr2bl w:val="nil"/>
                  </w:tcBorders>
                  <w:noWrap w:val="0"/>
                  <w:vAlign w:val="center"/>
                </w:tcPr>
                <w:p w14:paraId="4D1A7799">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7" w:type="dxa"/>
                  <w:tcBorders>
                    <w:tl2br w:val="nil"/>
                    <w:tr2bl w:val="nil"/>
                  </w:tcBorders>
                  <w:noWrap w:val="0"/>
                  <w:vAlign w:val="center"/>
                </w:tcPr>
                <w:p w14:paraId="496CCFDA">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1434" w:type="dxa"/>
                  <w:tcBorders>
                    <w:tl2br w:val="nil"/>
                    <w:tr2bl w:val="nil"/>
                  </w:tcBorders>
                  <w:noWrap w:val="0"/>
                  <w:vAlign w:val="center"/>
                </w:tcPr>
                <w:p w14:paraId="69A12F0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cs="Times New Roman"/>
                      <w:color w:val="000000" w:themeColor="text1"/>
                      <w:sz w:val="21"/>
                      <w:szCs w:val="21"/>
                      <w:lang w:val="en-US" w:eastAsia="zh-CN"/>
                    </w:rPr>
                    <w:t>14.63</w:t>
                  </w:r>
                </w:p>
              </w:tc>
              <w:tc>
                <w:tcPr>
                  <w:tcW w:w="1632" w:type="dxa"/>
                  <w:tcBorders>
                    <w:tl2br w:val="nil"/>
                    <w:tr2bl w:val="nil"/>
                  </w:tcBorders>
                  <w:noWrap w:val="0"/>
                  <w:vAlign w:val="center"/>
                </w:tcPr>
                <w:p w14:paraId="4DAAF4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0.439</w:t>
                  </w:r>
                </w:p>
              </w:tc>
              <w:tc>
                <w:tcPr>
                  <w:tcW w:w="1550" w:type="dxa"/>
                  <w:tcBorders>
                    <w:tl2br w:val="nil"/>
                    <w:tr2bl w:val="nil"/>
                  </w:tcBorders>
                  <w:noWrap w:val="0"/>
                  <w:vAlign w:val="center"/>
                </w:tcPr>
                <w:p w14:paraId="11AB55C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Cs/>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1.053</w:t>
                  </w:r>
                </w:p>
              </w:tc>
            </w:tr>
            <w:tr w14:paraId="06AD2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53" w:type="dxa"/>
                  <w:vMerge w:val="continue"/>
                  <w:tcBorders>
                    <w:tl2br w:val="nil"/>
                    <w:tr2bl w:val="nil"/>
                  </w:tcBorders>
                  <w:noWrap w:val="0"/>
                  <w:vAlign w:val="center"/>
                </w:tcPr>
                <w:p w14:paraId="3689BD6F">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1" w:type="dxa"/>
                  <w:vMerge w:val="continue"/>
                  <w:tcBorders>
                    <w:tl2br w:val="nil"/>
                    <w:tr2bl w:val="nil"/>
                  </w:tcBorders>
                  <w:noWrap w:val="0"/>
                  <w:vAlign w:val="center"/>
                </w:tcPr>
                <w:p w14:paraId="4B9B2870">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1247" w:type="dxa"/>
                  <w:tcBorders>
                    <w:tl2br w:val="nil"/>
                    <w:tr2bl w:val="nil"/>
                  </w:tcBorders>
                  <w:noWrap w:val="0"/>
                  <w:vAlign w:val="center"/>
                </w:tcPr>
                <w:p w14:paraId="70AECF55">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臭气浓度</w:t>
                  </w:r>
                </w:p>
              </w:tc>
              <w:tc>
                <w:tcPr>
                  <w:tcW w:w="1434" w:type="dxa"/>
                  <w:tcBorders>
                    <w:tl2br w:val="nil"/>
                    <w:tr2bl w:val="nil"/>
                  </w:tcBorders>
                  <w:noWrap w:val="0"/>
                  <w:vAlign w:val="center"/>
                </w:tcPr>
                <w:p w14:paraId="44FD1C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1632" w:type="dxa"/>
                  <w:tcBorders>
                    <w:tl2br w:val="nil"/>
                    <w:tr2bl w:val="nil"/>
                  </w:tcBorders>
                  <w:noWrap w:val="0"/>
                  <w:vAlign w:val="center"/>
                </w:tcPr>
                <w:p w14:paraId="5BB767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w:t>
                  </w:r>
                </w:p>
              </w:tc>
              <w:tc>
                <w:tcPr>
                  <w:tcW w:w="1550" w:type="dxa"/>
                  <w:tcBorders>
                    <w:tl2br w:val="nil"/>
                    <w:tr2bl w:val="nil"/>
                  </w:tcBorders>
                  <w:noWrap w:val="0"/>
                  <w:vAlign w:val="center"/>
                </w:tcPr>
                <w:p w14:paraId="4B0B4E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少量</w:t>
                  </w:r>
                </w:p>
              </w:tc>
            </w:tr>
            <w:tr w14:paraId="0D4AFC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94" w:type="dxa"/>
                  <w:gridSpan w:val="2"/>
                  <w:vMerge w:val="restart"/>
                  <w:tcBorders>
                    <w:tl2br w:val="nil"/>
                    <w:tr2bl w:val="nil"/>
                  </w:tcBorders>
                  <w:noWrap w:val="0"/>
                  <w:vAlign w:val="center"/>
                </w:tcPr>
                <w:p w14:paraId="7C681E5E">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一般排放口合计</w:t>
                  </w:r>
                </w:p>
              </w:tc>
              <w:tc>
                <w:tcPr>
                  <w:tcW w:w="4313" w:type="dxa"/>
                  <w:gridSpan w:val="3"/>
                  <w:tcBorders>
                    <w:tl2br w:val="nil"/>
                    <w:tr2bl w:val="nil"/>
                  </w:tcBorders>
                  <w:noWrap w:val="0"/>
                  <w:vAlign w:val="center"/>
                </w:tcPr>
                <w:p w14:paraId="08A86772">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颗粒物</w:t>
                  </w:r>
                </w:p>
              </w:tc>
              <w:tc>
                <w:tcPr>
                  <w:tcW w:w="1550" w:type="dxa"/>
                  <w:tcBorders>
                    <w:tl2br w:val="nil"/>
                    <w:tr2bl w:val="nil"/>
                  </w:tcBorders>
                  <w:noWrap w:val="0"/>
                  <w:vAlign w:val="center"/>
                </w:tcPr>
                <w:p w14:paraId="7CEDC068">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w:t>
                  </w:r>
                  <w:r>
                    <w:rPr>
                      <w:rFonts w:hint="eastAsia" w:cs="Times New Roman"/>
                      <w:b w:val="0"/>
                      <w:bCs w:val="0"/>
                      <w:color w:val="000000" w:themeColor="text1"/>
                      <w:sz w:val="21"/>
                      <w:szCs w:val="21"/>
                      <w:vertAlign w:val="baseline"/>
                      <w:lang w:val="en-US" w:eastAsia="zh-CN"/>
                    </w:rPr>
                    <w:t>266</w:t>
                  </w:r>
                </w:p>
              </w:tc>
            </w:tr>
            <w:tr w14:paraId="51387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94" w:type="dxa"/>
                  <w:gridSpan w:val="2"/>
                  <w:vMerge w:val="continue"/>
                  <w:tcBorders>
                    <w:tl2br w:val="nil"/>
                    <w:tr2bl w:val="nil"/>
                  </w:tcBorders>
                  <w:noWrap w:val="0"/>
                  <w:vAlign w:val="center"/>
                </w:tcPr>
                <w:p w14:paraId="530DE8F3">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27BC833E">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SO</w:t>
                  </w:r>
                  <w:r>
                    <w:rPr>
                      <w:rFonts w:hint="eastAsia" w:ascii="Times New Roman" w:hAnsi="Times New Roman" w:eastAsia="宋体" w:cs="Times New Roman"/>
                      <w:b w:val="0"/>
                      <w:bCs w:val="0"/>
                      <w:color w:val="000000" w:themeColor="text1"/>
                      <w:sz w:val="21"/>
                      <w:szCs w:val="21"/>
                      <w:vertAlign w:val="subscript"/>
                      <w:lang w:val="en-US" w:eastAsia="zh-CN"/>
                    </w:rPr>
                    <w:t>2</w:t>
                  </w:r>
                </w:p>
              </w:tc>
              <w:tc>
                <w:tcPr>
                  <w:tcW w:w="1550" w:type="dxa"/>
                  <w:tcBorders>
                    <w:tl2br w:val="nil"/>
                    <w:tr2bl w:val="nil"/>
                  </w:tcBorders>
                  <w:noWrap w:val="0"/>
                  <w:vAlign w:val="center"/>
                </w:tcPr>
                <w:p w14:paraId="4BAA8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r>
            <w:tr w14:paraId="4EF57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94" w:type="dxa"/>
                  <w:gridSpan w:val="2"/>
                  <w:vMerge w:val="continue"/>
                  <w:tcBorders>
                    <w:tl2br w:val="nil"/>
                    <w:tr2bl w:val="nil"/>
                  </w:tcBorders>
                  <w:noWrap w:val="0"/>
                  <w:vAlign w:val="center"/>
                </w:tcPr>
                <w:p w14:paraId="1C87AA09">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779AE6E9">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NOx</w:t>
                  </w:r>
                </w:p>
              </w:tc>
              <w:tc>
                <w:tcPr>
                  <w:tcW w:w="1550" w:type="dxa"/>
                  <w:tcBorders>
                    <w:tl2br w:val="nil"/>
                    <w:tr2bl w:val="nil"/>
                  </w:tcBorders>
                  <w:noWrap w:val="0"/>
                  <w:vAlign w:val="center"/>
                </w:tcPr>
                <w:p w14:paraId="1FC4DA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r>
            <w:tr w14:paraId="104F5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994" w:type="dxa"/>
                  <w:gridSpan w:val="2"/>
                  <w:vMerge w:val="continue"/>
                  <w:tcBorders>
                    <w:tl2br w:val="nil"/>
                    <w:tr2bl w:val="nil"/>
                  </w:tcBorders>
                  <w:noWrap w:val="0"/>
                  <w:vAlign w:val="center"/>
                </w:tcPr>
                <w:p w14:paraId="29025B02">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35455730">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1550" w:type="dxa"/>
                  <w:tcBorders>
                    <w:tl2br w:val="nil"/>
                    <w:tr2bl w:val="nil"/>
                  </w:tcBorders>
                  <w:noWrap w:val="0"/>
                  <w:vAlign w:val="center"/>
                </w:tcPr>
                <w:p w14:paraId="5857F2AF">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1.053</w:t>
                  </w:r>
                </w:p>
              </w:tc>
            </w:tr>
            <w:tr w14:paraId="749FB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857" w:type="dxa"/>
                  <w:gridSpan w:val="6"/>
                  <w:tcBorders>
                    <w:tl2br w:val="nil"/>
                    <w:tr2bl w:val="nil"/>
                  </w:tcBorders>
                  <w:noWrap w:val="0"/>
                  <w:vAlign w:val="center"/>
                </w:tcPr>
                <w:p w14:paraId="15DAA75D">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有组织排放总计</w:t>
                  </w:r>
                </w:p>
              </w:tc>
            </w:tr>
            <w:tr w14:paraId="00379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994" w:type="dxa"/>
                  <w:gridSpan w:val="2"/>
                  <w:vMerge w:val="restart"/>
                  <w:tcBorders>
                    <w:tl2br w:val="nil"/>
                    <w:tr2bl w:val="nil"/>
                  </w:tcBorders>
                  <w:noWrap w:val="0"/>
                  <w:vAlign w:val="center"/>
                </w:tcPr>
                <w:p w14:paraId="79D35F44">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有组织排放总计</w:t>
                  </w:r>
                </w:p>
              </w:tc>
              <w:tc>
                <w:tcPr>
                  <w:tcW w:w="4313" w:type="dxa"/>
                  <w:gridSpan w:val="3"/>
                  <w:tcBorders>
                    <w:tl2br w:val="nil"/>
                    <w:tr2bl w:val="nil"/>
                  </w:tcBorders>
                  <w:noWrap w:val="0"/>
                  <w:vAlign w:val="center"/>
                </w:tcPr>
                <w:p w14:paraId="4F489137">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颗粒物</w:t>
                  </w:r>
                </w:p>
              </w:tc>
              <w:tc>
                <w:tcPr>
                  <w:tcW w:w="1550" w:type="dxa"/>
                  <w:tcBorders>
                    <w:tl2br w:val="nil"/>
                    <w:tr2bl w:val="nil"/>
                  </w:tcBorders>
                  <w:noWrap w:val="0"/>
                  <w:vAlign w:val="center"/>
                </w:tcPr>
                <w:p w14:paraId="11FC2DE0">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w:t>
                  </w:r>
                  <w:r>
                    <w:rPr>
                      <w:rFonts w:hint="eastAsia" w:cs="Times New Roman"/>
                      <w:b w:val="0"/>
                      <w:bCs w:val="0"/>
                      <w:color w:val="000000" w:themeColor="text1"/>
                      <w:sz w:val="21"/>
                      <w:szCs w:val="21"/>
                      <w:vertAlign w:val="baseline"/>
                      <w:lang w:val="en-US" w:eastAsia="zh-CN"/>
                    </w:rPr>
                    <w:t>266</w:t>
                  </w:r>
                </w:p>
              </w:tc>
            </w:tr>
            <w:tr w14:paraId="3DE05F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94" w:type="dxa"/>
                  <w:gridSpan w:val="2"/>
                  <w:vMerge w:val="continue"/>
                  <w:tcBorders>
                    <w:tl2br w:val="nil"/>
                    <w:tr2bl w:val="nil"/>
                  </w:tcBorders>
                  <w:noWrap w:val="0"/>
                  <w:vAlign w:val="center"/>
                </w:tcPr>
                <w:p w14:paraId="55128E62">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3CA283D8">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SO</w:t>
                  </w:r>
                  <w:r>
                    <w:rPr>
                      <w:rFonts w:hint="eastAsia" w:ascii="Times New Roman" w:hAnsi="Times New Roman" w:eastAsia="宋体" w:cs="Times New Roman"/>
                      <w:b w:val="0"/>
                      <w:bCs w:val="0"/>
                      <w:color w:val="000000" w:themeColor="text1"/>
                      <w:sz w:val="21"/>
                      <w:szCs w:val="21"/>
                      <w:vertAlign w:val="subscript"/>
                      <w:lang w:val="en-US" w:eastAsia="zh-CN"/>
                    </w:rPr>
                    <w:t>2</w:t>
                  </w:r>
                </w:p>
              </w:tc>
              <w:tc>
                <w:tcPr>
                  <w:tcW w:w="1550" w:type="dxa"/>
                  <w:tcBorders>
                    <w:tl2br w:val="nil"/>
                    <w:tr2bl w:val="nil"/>
                  </w:tcBorders>
                  <w:noWrap w:val="0"/>
                  <w:vAlign w:val="center"/>
                </w:tcPr>
                <w:p w14:paraId="5C1EB7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r>
            <w:tr w14:paraId="402420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94" w:type="dxa"/>
                  <w:gridSpan w:val="2"/>
                  <w:vMerge w:val="continue"/>
                  <w:tcBorders>
                    <w:tl2br w:val="nil"/>
                    <w:tr2bl w:val="nil"/>
                  </w:tcBorders>
                  <w:noWrap w:val="0"/>
                  <w:vAlign w:val="center"/>
                </w:tcPr>
                <w:p w14:paraId="662B9BE5">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5F856B10">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NOx</w:t>
                  </w:r>
                </w:p>
              </w:tc>
              <w:tc>
                <w:tcPr>
                  <w:tcW w:w="1550" w:type="dxa"/>
                  <w:tcBorders>
                    <w:tl2br w:val="nil"/>
                    <w:tr2bl w:val="nil"/>
                  </w:tcBorders>
                  <w:noWrap w:val="0"/>
                  <w:vAlign w:val="center"/>
                </w:tcPr>
                <w:p w14:paraId="3BF6C7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r>
            <w:tr w14:paraId="23313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94" w:type="dxa"/>
                  <w:gridSpan w:val="2"/>
                  <w:vMerge w:val="continue"/>
                  <w:tcBorders>
                    <w:tl2br w:val="nil"/>
                    <w:tr2bl w:val="nil"/>
                  </w:tcBorders>
                  <w:noWrap w:val="0"/>
                  <w:vAlign w:val="center"/>
                </w:tcPr>
                <w:p w14:paraId="405CEAC7">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4060C4F2">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1550" w:type="dxa"/>
                  <w:tcBorders>
                    <w:tl2br w:val="nil"/>
                    <w:tr2bl w:val="nil"/>
                  </w:tcBorders>
                  <w:noWrap w:val="0"/>
                  <w:vAlign w:val="center"/>
                </w:tcPr>
                <w:p w14:paraId="50D589FD">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1.053</w:t>
                  </w:r>
                </w:p>
              </w:tc>
            </w:tr>
            <w:tr w14:paraId="37789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994" w:type="dxa"/>
                  <w:gridSpan w:val="2"/>
                  <w:vMerge w:val="continue"/>
                  <w:tcBorders>
                    <w:tl2br w:val="nil"/>
                    <w:tr2bl w:val="nil"/>
                  </w:tcBorders>
                  <w:noWrap w:val="0"/>
                  <w:vAlign w:val="center"/>
                </w:tcPr>
                <w:p w14:paraId="6931E1EC">
                  <w:pPr>
                    <w:pStyle w:val="5"/>
                    <w:pageBreakBefore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4313" w:type="dxa"/>
                  <w:gridSpan w:val="3"/>
                  <w:tcBorders>
                    <w:tl2br w:val="nil"/>
                    <w:tr2bl w:val="nil"/>
                  </w:tcBorders>
                  <w:noWrap w:val="0"/>
                  <w:vAlign w:val="center"/>
                </w:tcPr>
                <w:p w14:paraId="47F2193D">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臭气浓度</w:t>
                  </w:r>
                </w:p>
              </w:tc>
              <w:tc>
                <w:tcPr>
                  <w:tcW w:w="1550" w:type="dxa"/>
                  <w:tcBorders>
                    <w:tl2br w:val="nil"/>
                    <w:tr2bl w:val="nil"/>
                  </w:tcBorders>
                  <w:noWrap w:val="0"/>
                  <w:vAlign w:val="center"/>
                </w:tcPr>
                <w:p w14:paraId="7C458837">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少量</w:t>
                  </w:r>
                </w:p>
              </w:tc>
            </w:tr>
          </w:tbl>
          <w:p w14:paraId="799A9ABE">
            <w:pPr>
              <w:pStyle w:val="12"/>
              <w:keepNext w:val="0"/>
              <w:keepLines w:val="0"/>
              <w:pageBreakBefore w:val="0"/>
              <w:widowControl/>
              <w:numPr>
                <w:ilvl w:val="0"/>
                <w:numId w:val="9"/>
              </w:numPr>
              <w:kinsoku/>
              <w:wordWrap/>
              <w:overflowPunct/>
              <w:topLinePunct w:val="0"/>
              <w:autoSpaceDE/>
              <w:autoSpaceDN/>
              <w:bidi w:val="0"/>
              <w:adjustRightInd w:val="0"/>
              <w:snapToGrid w:val="0"/>
              <w:textAlignment w:val="auto"/>
              <w:rPr>
                <w:rFonts w:hint="eastAsia" w:ascii="Times New Roman" w:hAnsi="Times New Roman" w:eastAsia="宋体" w:cs="Times New Roman"/>
                <w:color w:val="000000" w:themeColor="text1"/>
                <w:sz w:val="24"/>
                <w:szCs w:val="22"/>
                <w:lang w:val="en-US" w:eastAsia="zh-CN"/>
              </w:rPr>
            </w:pPr>
            <w:r>
              <w:rPr>
                <w:rFonts w:hint="eastAsia" w:ascii="Times New Roman" w:hAnsi="Times New Roman" w:eastAsia="宋体" w:cs="Times New Roman"/>
                <w:color w:val="000000" w:themeColor="text1"/>
                <w:sz w:val="24"/>
                <w:szCs w:val="22"/>
                <w:lang w:val="en-US" w:eastAsia="zh-CN"/>
              </w:rPr>
              <w:t>无组织排放量核算</w:t>
            </w:r>
          </w:p>
          <w:p w14:paraId="19C46CDE">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240" w:lineRule="auto"/>
              <w:ind w:leftChars="0"/>
              <w:jc w:val="center"/>
              <w:textAlignment w:val="auto"/>
              <w:rPr>
                <w:rFonts w:hint="default" w:ascii="Times New Roman" w:hAnsi="宋体" w:eastAsia="宋体" w:cs="Times New Roman"/>
                <w:b/>
                <w:color w:val="000000" w:themeColor="text1"/>
                <w:sz w:val="21"/>
                <w:szCs w:val="21"/>
                <w:lang w:val="en-US" w:eastAsia="zh-CN"/>
              </w:rPr>
            </w:pPr>
            <w:r>
              <w:rPr>
                <w:rFonts w:hint="eastAsia" w:ascii="Times New Roman" w:hAnsi="宋体" w:eastAsia="宋体" w:cs="Times New Roman"/>
                <w:b/>
                <w:color w:val="000000" w:themeColor="text1"/>
                <w:sz w:val="21"/>
                <w:szCs w:val="21"/>
                <w:lang w:val="en-US" w:eastAsia="zh-CN"/>
              </w:rPr>
              <w:t>表4-1</w:t>
            </w:r>
            <w:r>
              <w:rPr>
                <w:rFonts w:hint="eastAsia" w:hAnsi="宋体" w:cs="Times New Roman"/>
                <w:b/>
                <w:color w:val="000000" w:themeColor="text1"/>
                <w:sz w:val="21"/>
                <w:szCs w:val="21"/>
                <w:lang w:val="en-US" w:eastAsia="zh-CN"/>
              </w:rPr>
              <w:t>8</w:t>
            </w:r>
            <w:r>
              <w:rPr>
                <w:rFonts w:hint="eastAsia" w:ascii="Times New Roman" w:hAnsi="宋体" w:eastAsia="宋体" w:cs="Times New Roman"/>
                <w:b/>
                <w:color w:val="000000" w:themeColor="text1"/>
                <w:sz w:val="21"/>
                <w:szCs w:val="21"/>
                <w:lang w:val="en-US" w:eastAsia="zh-CN"/>
              </w:rPr>
              <w:t xml:space="preserve"> 大气无组织排放量核算表</w:t>
            </w:r>
          </w:p>
          <w:tbl>
            <w:tblPr>
              <w:tblStyle w:val="34"/>
              <w:tblW w:w="80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0"/>
              <w:gridCol w:w="821"/>
              <w:gridCol w:w="705"/>
              <w:gridCol w:w="1306"/>
              <w:gridCol w:w="683"/>
              <w:gridCol w:w="2490"/>
              <w:gridCol w:w="877"/>
              <w:gridCol w:w="704"/>
            </w:tblGrid>
            <w:tr w14:paraId="17F3B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restart"/>
                  <w:tcBorders>
                    <w:tl2br w:val="nil"/>
                    <w:tr2bl w:val="nil"/>
                  </w:tcBorders>
                  <w:noWrap w:val="0"/>
                  <w:vAlign w:val="center"/>
                </w:tcPr>
                <w:p w14:paraId="0A1BC576">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序号</w:t>
                  </w:r>
                </w:p>
              </w:tc>
              <w:tc>
                <w:tcPr>
                  <w:tcW w:w="821" w:type="dxa"/>
                  <w:vMerge w:val="restart"/>
                  <w:tcBorders>
                    <w:tl2br w:val="nil"/>
                    <w:tr2bl w:val="nil"/>
                  </w:tcBorders>
                  <w:noWrap w:val="0"/>
                  <w:vAlign w:val="center"/>
                </w:tcPr>
                <w:p w14:paraId="40E23A6E">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排放口编号</w:t>
                  </w:r>
                </w:p>
              </w:tc>
              <w:tc>
                <w:tcPr>
                  <w:tcW w:w="705" w:type="dxa"/>
                  <w:vMerge w:val="restart"/>
                  <w:tcBorders>
                    <w:tl2br w:val="nil"/>
                    <w:tr2bl w:val="nil"/>
                  </w:tcBorders>
                  <w:noWrap w:val="0"/>
                  <w:vAlign w:val="center"/>
                </w:tcPr>
                <w:p w14:paraId="3B1E2F04">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产污环节</w:t>
                  </w:r>
                </w:p>
              </w:tc>
              <w:tc>
                <w:tcPr>
                  <w:tcW w:w="1306" w:type="dxa"/>
                  <w:vMerge w:val="restart"/>
                  <w:tcBorders>
                    <w:tl2br w:val="nil"/>
                    <w:tr2bl w:val="nil"/>
                  </w:tcBorders>
                  <w:noWrap w:val="0"/>
                  <w:vAlign w:val="center"/>
                </w:tcPr>
                <w:p w14:paraId="7ECF8560">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污染物</w:t>
                  </w:r>
                </w:p>
              </w:tc>
              <w:tc>
                <w:tcPr>
                  <w:tcW w:w="683" w:type="dxa"/>
                  <w:vMerge w:val="restart"/>
                  <w:tcBorders>
                    <w:tl2br w:val="nil"/>
                    <w:tr2bl w:val="nil"/>
                  </w:tcBorders>
                  <w:noWrap w:val="0"/>
                  <w:vAlign w:val="center"/>
                </w:tcPr>
                <w:p w14:paraId="55E6B19D">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主要污染防治措施</w:t>
                  </w:r>
                </w:p>
              </w:tc>
              <w:tc>
                <w:tcPr>
                  <w:tcW w:w="3367" w:type="dxa"/>
                  <w:gridSpan w:val="2"/>
                  <w:tcBorders>
                    <w:tl2br w:val="nil"/>
                    <w:tr2bl w:val="nil"/>
                  </w:tcBorders>
                  <w:noWrap w:val="0"/>
                  <w:vAlign w:val="center"/>
                </w:tcPr>
                <w:p w14:paraId="43FB5BDB">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国家或地方污染物排放标准</w:t>
                  </w:r>
                </w:p>
              </w:tc>
              <w:tc>
                <w:tcPr>
                  <w:tcW w:w="704" w:type="dxa"/>
                  <w:vMerge w:val="restart"/>
                  <w:tcBorders>
                    <w:tl2br w:val="nil"/>
                    <w:tr2bl w:val="nil"/>
                  </w:tcBorders>
                  <w:noWrap w:val="0"/>
                  <w:vAlign w:val="center"/>
                </w:tcPr>
                <w:p w14:paraId="6C7959EF">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年排放量/（t/a）</w:t>
                  </w:r>
                </w:p>
              </w:tc>
            </w:tr>
            <w:tr w14:paraId="7F48A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vMerge w:val="continue"/>
                  <w:tcBorders>
                    <w:tl2br w:val="nil"/>
                    <w:tr2bl w:val="nil"/>
                  </w:tcBorders>
                  <w:noWrap w:val="0"/>
                  <w:vAlign w:val="center"/>
                </w:tcPr>
                <w:p w14:paraId="44E2BC1D">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821" w:type="dxa"/>
                  <w:vMerge w:val="continue"/>
                  <w:tcBorders>
                    <w:tl2br w:val="nil"/>
                    <w:tr2bl w:val="nil"/>
                  </w:tcBorders>
                  <w:noWrap w:val="0"/>
                  <w:vAlign w:val="center"/>
                </w:tcPr>
                <w:p w14:paraId="5A70B050">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705" w:type="dxa"/>
                  <w:vMerge w:val="continue"/>
                  <w:tcBorders>
                    <w:tl2br w:val="nil"/>
                    <w:tr2bl w:val="nil"/>
                  </w:tcBorders>
                  <w:noWrap w:val="0"/>
                  <w:vAlign w:val="center"/>
                </w:tcPr>
                <w:p w14:paraId="79AE49E8">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1306" w:type="dxa"/>
                  <w:vMerge w:val="continue"/>
                  <w:tcBorders>
                    <w:tl2br w:val="nil"/>
                    <w:tr2bl w:val="nil"/>
                  </w:tcBorders>
                  <w:noWrap w:val="0"/>
                  <w:vAlign w:val="center"/>
                </w:tcPr>
                <w:p w14:paraId="0D64BD23">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683" w:type="dxa"/>
                  <w:vMerge w:val="continue"/>
                  <w:tcBorders>
                    <w:tl2br w:val="nil"/>
                    <w:tr2bl w:val="nil"/>
                  </w:tcBorders>
                  <w:noWrap w:val="0"/>
                  <w:vAlign w:val="center"/>
                </w:tcPr>
                <w:p w14:paraId="7A2EFDC7">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eastAsia" w:ascii="Times New Roman" w:hAnsi="Times New Roman" w:eastAsia="宋体" w:cs="Times New Roman"/>
                      <w:color w:val="000000" w:themeColor="text1"/>
                      <w:sz w:val="21"/>
                      <w:szCs w:val="21"/>
                      <w:vertAlign w:val="baseline"/>
                      <w:lang w:val="en-US" w:eastAsia="zh-CN"/>
                    </w:rPr>
                  </w:pPr>
                </w:p>
              </w:tc>
              <w:tc>
                <w:tcPr>
                  <w:tcW w:w="2490" w:type="dxa"/>
                  <w:tcBorders>
                    <w:tl2br w:val="nil"/>
                    <w:tr2bl w:val="nil"/>
                  </w:tcBorders>
                  <w:noWrap w:val="0"/>
                  <w:vAlign w:val="center"/>
                </w:tcPr>
                <w:p w14:paraId="246A616F">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标准名称</w:t>
                  </w:r>
                </w:p>
              </w:tc>
              <w:tc>
                <w:tcPr>
                  <w:tcW w:w="877" w:type="dxa"/>
                  <w:tcBorders>
                    <w:tl2br w:val="nil"/>
                    <w:tr2bl w:val="nil"/>
                  </w:tcBorders>
                  <w:noWrap w:val="0"/>
                  <w:vAlign w:val="center"/>
                </w:tcPr>
                <w:p w14:paraId="22B15D66">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vertAlign w:val="baseline"/>
                      <w:lang w:val="en-US" w:eastAsia="zh-CN"/>
                    </w:rPr>
                    <w:t>浓度限值/（mg/m</w:t>
                  </w:r>
                  <w:r>
                    <w:rPr>
                      <w:rFonts w:hint="eastAsia" w:ascii="Times New Roman" w:hAnsi="Times New Roman" w:eastAsia="宋体" w:cs="Times New Roman"/>
                      <w:color w:val="000000" w:themeColor="text1"/>
                      <w:sz w:val="21"/>
                      <w:szCs w:val="21"/>
                      <w:vertAlign w:val="superscript"/>
                      <w:lang w:val="en-US" w:eastAsia="zh-CN"/>
                    </w:rPr>
                    <w:t>3</w:t>
                  </w:r>
                  <w:r>
                    <w:rPr>
                      <w:rFonts w:hint="eastAsia" w:ascii="Times New Roman" w:hAnsi="Times New Roman" w:eastAsia="宋体" w:cs="Times New Roman"/>
                      <w:color w:val="000000" w:themeColor="text1"/>
                      <w:sz w:val="21"/>
                      <w:szCs w:val="21"/>
                      <w:vertAlign w:val="baseline"/>
                      <w:lang w:val="en-US" w:eastAsia="zh-CN"/>
                    </w:rPr>
                    <w:t>）</w:t>
                  </w:r>
                </w:p>
              </w:tc>
              <w:tc>
                <w:tcPr>
                  <w:tcW w:w="704" w:type="dxa"/>
                  <w:vMerge w:val="continue"/>
                  <w:tcBorders>
                    <w:tl2br w:val="nil"/>
                    <w:tr2bl w:val="nil"/>
                  </w:tcBorders>
                  <w:noWrap w:val="0"/>
                  <w:vAlign w:val="center"/>
                </w:tcPr>
                <w:p w14:paraId="6F145973">
                  <w:pPr>
                    <w:pStyle w:val="5"/>
                    <w:keepNext/>
                    <w:keepLines/>
                    <w:pageBreakBefore w:val="0"/>
                    <w:widowControl w:val="0"/>
                    <w:numPr>
                      <w:ilvl w:val="0"/>
                      <w:numId w:val="0"/>
                    </w:numPr>
                    <w:kinsoku/>
                    <w:wordWrap/>
                    <w:overflowPunct/>
                    <w:topLinePunct w:val="0"/>
                    <w:autoSpaceDE/>
                    <w:autoSpaceDN/>
                    <w:bidi w:val="0"/>
                    <w:spacing w:before="0"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vertAlign w:val="baseline"/>
                      <w:lang w:val="en-US" w:eastAsia="zh-CN"/>
                    </w:rPr>
                  </w:pPr>
                </w:p>
              </w:tc>
            </w:tr>
            <w:tr w14:paraId="611FDF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tcBorders>
                    <w:tl2br w:val="nil"/>
                    <w:tr2bl w:val="nil"/>
                  </w:tcBorders>
                  <w:noWrap w:val="0"/>
                  <w:vAlign w:val="center"/>
                </w:tcPr>
                <w:p w14:paraId="1DA74769">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w:t>
                  </w:r>
                </w:p>
              </w:tc>
              <w:tc>
                <w:tcPr>
                  <w:tcW w:w="821" w:type="dxa"/>
                  <w:tcBorders>
                    <w:tl2br w:val="nil"/>
                    <w:tr2bl w:val="nil"/>
                  </w:tcBorders>
                  <w:noWrap w:val="0"/>
                  <w:vAlign w:val="center"/>
                </w:tcPr>
                <w:p w14:paraId="0E045841">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炭黑处理车间</w:t>
                  </w:r>
                </w:p>
              </w:tc>
              <w:tc>
                <w:tcPr>
                  <w:tcW w:w="705" w:type="dxa"/>
                  <w:tcBorders>
                    <w:tl2br w:val="nil"/>
                    <w:tr2bl w:val="nil"/>
                  </w:tcBorders>
                  <w:noWrap w:val="0"/>
                  <w:vAlign w:val="center"/>
                </w:tcPr>
                <w:p w14:paraId="224C690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造粒、烘干</w:t>
                  </w:r>
                </w:p>
              </w:tc>
              <w:tc>
                <w:tcPr>
                  <w:tcW w:w="1306" w:type="dxa"/>
                  <w:tcBorders>
                    <w:tl2br w:val="nil"/>
                    <w:tr2bl w:val="nil"/>
                  </w:tcBorders>
                  <w:noWrap w:val="0"/>
                  <w:vAlign w:val="center"/>
                </w:tcPr>
                <w:p w14:paraId="735AF1E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683" w:type="dxa"/>
                  <w:vMerge w:val="restart"/>
                  <w:tcBorders>
                    <w:tl2br w:val="nil"/>
                    <w:tr2bl w:val="nil"/>
                  </w:tcBorders>
                  <w:noWrap w:val="0"/>
                  <w:vAlign w:val="center"/>
                </w:tcPr>
                <w:p w14:paraId="4B9456D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加强管理</w:t>
                  </w:r>
                </w:p>
              </w:tc>
              <w:tc>
                <w:tcPr>
                  <w:tcW w:w="2490" w:type="dxa"/>
                  <w:vMerge w:val="restart"/>
                  <w:tcBorders>
                    <w:tl2br w:val="nil"/>
                    <w:tr2bl w:val="nil"/>
                  </w:tcBorders>
                  <w:noWrap w:val="0"/>
                  <w:vAlign w:val="center"/>
                </w:tcPr>
                <w:p w14:paraId="706EFA7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生产装置不得有明显无组织排放</w:t>
                  </w:r>
                </w:p>
              </w:tc>
              <w:tc>
                <w:tcPr>
                  <w:tcW w:w="877" w:type="dxa"/>
                  <w:tcBorders>
                    <w:tl2br w:val="nil"/>
                    <w:tr2bl w:val="nil"/>
                  </w:tcBorders>
                  <w:noWrap w:val="0"/>
                  <w:vAlign w:val="center"/>
                </w:tcPr>
                <w:p w14:paraId="25E81792">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w:t>
                  </w:r>
                </w:p>
              </w:tc>
              <w:tc>
                <w:tcPr>
                  <w:tcW w:w="704" w:type="dxa"/>
                  <w:tcBorders>
                    <w:tl2br w:val="nil"/>
                    <w:tr2bl w:val="nil"/>
                  </w:tcBorders>
                  <w:noWrap w:val="0"/>
                  <w:vAlign w:val="center"/>
                </w:tcPr>
                <w:p w14:paraId="4E9E2E5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rPr>
                    <w:t>0.</w:t>
                  </w:r>
                  <w:r>
                    <w:rPr>
                      <w:rFonts w:hint="eastAsia" w:cs="Times New Roman"/>
                      <w:color w:val="000000" w:themeColor="text1"/>
                      <w:sz w:val="21"/>
                      <w:szCs w:val="21"/>
                      <w:lang w:val="en-US" w:eastAsia="zh-CN"/>
                    </w:rPr>
                    <w:t>097</w:t>
                  </w:r>
                </w:p>
              </w:tc>
            </w:tr>
            <w:tr w14:paraId="69918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0" w:type="dxa"/>
                  <w:tcBorders>
                    <w:tl2br w:val="nil"/>
                    <w:tr2bl w:val="nil"/>
                  </w:tcBorders>
                  <w:noWrap w:val="0"/>
                  <w:vAlign w:val="center"/>
                </w:tcPr>
                <w:p w14:paraId="19057862">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2</w:t>
                  </w:r>
                </w:p>
              </w:tc>
              <w:tc>
                <w:tcPr>
                  <w:tcW w:w="821" w:type="dxa"/>
                  <w:vMerge w:val="restart"/>
                  <w:tcBorders>
                    <w:tl2br w:val="nil"/>
                    <w:tr2bl w:val="nil"/>
                  </w:tcBorders>
                  <w:noWrap w:val="0"/>
                  <w:vAlign w:val="center"/>
                </w:tcPr>
                <w:p w14:paraId="7CC18172">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色母粒生产车间</w:t>
                  </w:r>
                </w:p>
              </w:tc>
              <w:tc>
                <w:tcPr>
                  <w:tcW w:w="705" w:type="dxa"/>
                  <w:tcBorders>
                    <w:tl2br w:val="nil"/>
                    <w:tr2bl w:val="nil"/>
                  </w:tcBorders>
                  <w:noWrap w:val="0"/>
                  <w:vAlign w:val="center"/>
                </w:tcPr>
                <w:p w14:paraId="1ABE3A3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混合</w:t>
                  </w:r>
                </w:p>
              </w:tc>
              <w:tc>
                <w:tcPr>
                  <w:tcW w:w="1306" w:type="dxa"/>
                  <w:tcBorders>
                    <w:tl2br w:val="nil"/>
                    <w:tr2bl w:val="nil"/>
                  </w:tcBorders>
                  <w:noWrap w:val="0"/>
                  <w:vAlign w:val="center"/>
                </w:tcPr>
                <w:p w14:paraId="1ABCA385">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683" w:type="dxa"/>
                  <w:vMerge w:val="continue"/>
                  <w:tcBorders>
                    <w:tl2br w:val="nil"/>
                    <w:tr2bl w:val="nil"/>
                  </w:tcBorders>
                  <w:noWrap w:val="0"/>
                  <w:vAlign w:val="center"/>
                </w:tcPr>
                <w:p w14:paraId="4E2F5D44">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2490" w:type="dxa"/>
                  <w:vMerge w:val="continue"/>
                  <w:tcBorders>
                    <w:tl2br w:val="nil"/>
                    <w:tr2bl w:val="nil"/>
                  </w:tcBorders>
                  <w:noWrap w:val="0"/>
                  <w:vAlign w:val="center"/>
                </w:tcPr>
                <w:p w14:paraId="1DBF3AA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p>
              </w:tc>
              <w:tc>
                <w:tcPr>
                  <w:tcW w:w="877" w:type="dxa"/>
                  <w:tcBorders>
                    <w:tl2br w:val="nil"/>
                    <w:tr2bl w:val="nil"/>
                  </w:tcBorders>
                  <w:noWrap w:val="0"/>
                  <w:vAlign w:val="center"/>
                </w:tcPr>
                <w:p w14:paraId="171563A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w:t>
                  </w:r>
                </w:p>
              </w:tc>
              <w:tc>
                <w:tcPr>
                  <w:tcW w:w="704" w:type="dxa"/>
                  <w:tcBorders>
                    <w:tl2br w:val="nil"/>
                    <w:tr2bl w:val="nil"/>
                  </w:tcBorders>
                  <w:noWrap w:val="0"/>
                  <w:vAlign w:val="center"/>
                </w:tcPr>
                <w:p w14:paraId="6A1F96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rPr>
                    <w:t>0.6</w:t>
                  </w:r>
                </w:p>
              </w:tc>
            </w:tr>
            <w:tr w14:paraId="61E63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30" w:type="dxa"/>
                  <w:tcBorders>
                    <w:tl2br w:val="nil"/>
                    <w:tr2bl w:val="nil"/>
                  </w:tcBorders>
                  <w:noWrap w:val="0"/>
                  <w:vAlign w:val="center"/>
                </w:tcPr>
                <w:p w14:paraId="72B71015">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w:t>
                  </w:r>
                </w:p>
              </w:tc>
              <w:tc>
                <w:tcPr>
                  <w:tcW w:w="821" w:type="dxa"/>
                  <w:vMerge w:val="continue"/>
                  <w:tcBorders>
                    <w:tl2br w:val="nil"/>
                    <w:tr2bl w:val="nil"/>
                  </w:tcBorders>
                  <w:noWrap w:val="0"/>
                  <w:vAlign w:val="center"/>
                </w:tcPr>
                <w:p w14:paraId="47ED56C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05" w:type="dxa"/>
                  <w:tcBorders>
                    <w:tl2br w:val="nil"/>
                    <w:tr2bl w:val="nil"/>
                  </w:tcBorders>
                  <w:noWrap w:val="0"/>
                  <w:vAlign w:val="center"/>
                </w:tcPr>
                <w:p w14:paraId="2FEB4F4B">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挤出</w:t>
                  </w:r>
                </w:p>
              </w:tc>
              <w:tc>
                <w:tcPr>
                  <w:tcW w:w="1306" w:type="dxa"/>
                  <w:tcBorders>
                    <w:tl2br w:val="nil"/>
                    <w:tr2bl w:val="nil"/>
                  </w:tcBorders>
                  <w:noWrap w:val="0"/>
                  <w:vAlign w:val="center"/>
                </w:tcPr>
                <w:p w14:paraId="77F79BC7">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683" w:type="dxa"/>
                  <w:vMerge w:val="continue"/>
                  <w:tcBorders>
                    <w:tl2br w:val="nil"/>
                    <w:tr2bl w:val="nil"/>
                  </w:tcBorders>
                  <w:noWrap w:val="0"/>
                  <w:vAlign w:val="center"/>
                </w:tcPr>
                <w:p w14:paraId="76CF83F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2490" w:type="dxa"/>
                  <w:tcBorders>
                    <w:tl2br w:val="nil"/>
                    <w:tr2bl w:val="nil"/>
                  </w:tcBorders>
                  <w:noWrap w:val="0"/>
                  <w:vAlign w:val="center"/>
                </w:tcPr>
                <w:p w14:paraId="3F4BF2ED">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rPr>
                    <w:t>《挥发性有机物排放标准 第4部分：塑料制造业》（DB36/1101.</w:t>
                  </w:r>
                  <w:r>
                    <w:rPr>
                      <w:rFonts w:hint="eastAsia" w:ascii="Times New Roman" w:hAnsi="Times New Roman" w:eastAsia="宋体" w:cs="Times New Roman"/>
                      <w:b w:val="0"/>
                      <w:bCs w:val="0"/>
                      <w:color w:val="000000" w:themeColor="text1"/>
                      <w:sz w:val="21"/>
                      <w:szCs w:val="21"/>
                      <w:lang w:val="en-US" w:eastAsia="zh-CN"/>
                    </w:rPr>
                    <w:t>4</w:t>
                  </w:r>
                  <w:r>
                    <w:rPr>
                      <w:rFonts w:hint="default" w:ascii="Times New Roman" w:hAnsi="Times New Roman" w:eastAsia="宋体" w:cs="Times New Roman"/>
                      <w:b w:val="0"/>
                      <w:bCs w:val="0"/>
                      <w:color w:val="000000" w:themeColor="text1"/>
                      <w:sz w:val="21"/>
                      <w:szCs w:val="21"/>
                    </w:rPr>
                    <w:t>-2019）</w:t>
                  </w:r>
                </w:p>
              </w:tc>
              <w:tc>
                <w:tcPr>
                  <w:tcW w:w="877" w:type="dxa"/>
                  <w:tcBorders>
                    <w:tl2br w:val="nil"/>
                    <w:tr2bl w:val="nil"/>
                  </w:tcBorders>
                  <w:noWrap w:val="0"/>
                  <w:vAlign w:val="center"/>
                </w:tcPr>
                <w:p w14:paraId="5DE1E8D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1.5</w:t>
                  </w:r>
                </w:p>
              </w:tc>
              <w:tc>
                <w:tcPr>
                  <w:tcW w:w="704" w:type="dxa"/>
                  <w:tcBorders>
                    <w:tl2br w:val="nil"/>
                    <w:tr2bl w:val="nil"/>
                  </w:tcBorders>
                  <w:noWrap w:val="0"/>
                  <w:vAlign w:val="center"/>
                </w:tcPr>
                <w:p w14:paraId="568202CA">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0.405</w:t>
                  </w:r>
                </w:p>
              </w:tc>
            </w:tr>
            <w:tr w14:paraId="71B3E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30" w:type="dxa"/>
                  <w:tcBorders>
                    <w:tl2br w:val="nil"/>
                    <w:tr2bl w:val="nil"/>
                  </w:tcBorders>
                  <w:noWrap w:val="0"/>
                  <w:vAlign w:val="center"/>
                </w:tcPr>
                <w:p w14:paraId="2707C561">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4</w:t>
                  </w:r>
                </w:p>
              </w:tc>
              <w:tc>
                <w:tcPr>
                  <w:tcW w:w="821" w:type="dxa"/>
                  <w:vMerge w:val="continue"/>
                  <w:tcBorders>
                    <w:tl2br w:val="nil"/>
                    <w:tr2bl w:val="nil"/>
                  </w:tcBorders>
                  <w:noWrap w:val="0"/>
                  <w:vAlign w:val="center"/>
                </w:tcPr>
                <w:p w14:paraId="56135FCC">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05" w:type="dxa"/>
                  <w:tcBorders>
                    <w:tl2br w:val="nil"/>
                    <w:tr2bl w:val="nil"/>
                  </w:tcBorders>
                  <w:noWrap w:val="0"/>
                  <w:vAlign w:val="center"/>
                </w:tcPr>
                <w:p w14:paraId="5879631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挤出</w:t>
                  </w:r>
                </w:p>
              </w:tc>
              <w:tc>
                <w:tcPr>
                  <w:tcW w:w="1306" w:type="dxa"/>
                  <w:tcBorders>
                    <w:tl2br w:val="nil"/>
                    <w:tr2bl w:val="nil"/>
                  </w:tcBorders>
                  <w:noWrap w:val="0"/>
                  <w:vAlign w:val="center"/>
                </w:tcPr>
                <w:p w14:paraId="770D3301">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683" w:type="dxa"/>
                  <w:vMerge w:val="continue"/>
                  <w:tcBorders>
                    <w:tl2br w:val="nil"/>
                    <w:tr2bl w:val="nil"/>
                  </w:tcBorders>
                  <w:noWrap w:val="0"/>
                  <w:vAlign w:val="center"/>
                </w:tcPr>
                <w:p w14:paraId="3C94CB2A">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2490" w:type="dxa"/>
                  <w:tcBorders>
                    <w:tl2br w:val="nil"/>
                    <w:tr2bl w:val="nil"/>
                  </w:tcBorders>
                  <w:noWrap w:val="0"/>
                  <w:vAlign w:val="center"/>
                </w:tcPr>
                <w:p w14:paraId="0612FCBB">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生产装置不得有明显无组织排放</w:t>
                  </w:r>
                </w:p>
              </w:tc>
              <w:tc>
                <w:tcPr>
                  <w:tcW w:w="877" w:type="dxa"/>
                  <w:tcBorders>
                    <w:tl2br w:val="nil"/>
                    <w:tr2bl w:val="nil"/>
                  </w:tcBorders>
                  <w:noWrap w:val="0"/>
                  <w:vAlign w:val="center"/>
                </w:tcPr>
                <w:p w14:paraId="2DDDBE83">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w:t>
                  </w:r>
                </w:p>
              </w:tc>
              <w:tc>
                <w:tcPr>
                  <w:tcW w:w="704" w:type="dxa"/>
                  <w:tcBorders>
                    <w:tl2br w:val="nil"/>
                    <w:tr2bl w:val="nil"/>
                  </w:tcBorders>
                  <w:noWrap w:val="0"/>
                  <w:vAlign w:val="center"/>
                </w:tcPr>
                <w:p w14:paraId="58FA18D7">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0.023</w:t>
                  </w:r>
                </w:p>
              </w:tc>
            </w:tr>
            <w:tr w14:paraId="24D494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30" w:type="dxa"/>
                  <w:tcBorders>
                    <w:tl2br w:val="nil"/>
                    <w:tr2bl w:val="nil"/>
                  </w:tcBorders>
                  <w:noWrap w:val="0"/>
                  <w:vAlign w:val="center"/>
                </w:tcPr>
                <w:p w14:paraId="74A4581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5</w:t>
                  </w:r>
                </w:p>
              </w:tc>
              <w:tc>
                <w:tcPr>
                  <w:tcW w:w="821" w:type="dxa"/>
                  <w:vMerge w:val="continue"/>
                  <w:tcBorders>
                    <w:tl2br w:val="nil"/>
                    <w:tr2bl w:val="nil"/>
                  </w:tcBorders>
                  <w:noWrap w:val="0"/>
                  <w:vAlign w:val="center"/>
                </w:tcPr>
                <w:p w14:paraId="783939EB">
                  <w:pPr>
                    <w:pStyle w:val="5"/>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705" w:type="dxa"/>
                  <w:tcBorders>
                    <w:tl2br w:val="nil"/>
                    <w:tr2bl w:val="nil"/>
                  </w:tcBorders>
                  <w:noWrap w:val="0"/>
                  <w:vAlign w:val="center"/>
                </w:tcPr>
                <w:p w14:paraId="72A57AF0">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挤出</w:t>
                  </w:r>
                </w:p>
              </w:tc>
              <w:tc>
                <w:tcPr>
                  <w:tcW w:w="1306" w:type="dxa"/>
                  <w:tcBorders>
                    <w:tl2br w:val="nil"/>
                    <w:tr2bl w:val="nil"/>
                  </w:tcBorders>
                  <w:noWrap w:val="0"/>
                  <w:vAlign w:val="center"/>
                </w:tcPr>
                <w:p w14:paraId="2B232E9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臭气浓度</w:t>
                  </w:r>
                </w:p>
              </w:tc>
              <w:tc>
                <w:tcPr>
                  <w:tcW w:w="683" w:type="dxa"/>
                  <w:vMerge w:val="continue"/>
                  <w:tcBorders>
                    <w:tl2br w:val="nil"/>
                    <w:tr2bl w:val="nil"/>
                  </w:tcBorders>
                  <w:noWrap w:val="0"/>
                  <w:vAlign w:val="center"/>
                </w:tcPr>
                <w:p w14:paraId="31C30673">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2490" w:type="dxa"/>
                  <w:tcBorders>
                    <w:tl2br w:val="nil"/>
                    <w:tr2bl w:val="nil"/>
                  </w:tcBorders>
                  <w:noWrap w:val="0"/>
                  <w:vAlign w:val="center"/>
                </w:tcPr>
                <w:p w14:paraId="4ABF45E0">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《恶臭污染物排</w:t>
                  </w:r>
                </w:p>
                <w:p w14:paraId="4537AF1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default" w:ascii="Times New Roman" w:hAnsi="Times New Roman" w:eastAsia="宋体" w:cs="Times New Roman"/>
                      <w:b w:val="0"/>
                      <w:bCs w:val="0"/>
                      <w:color w:val="000000" w:themeColor="text1"/>
                      <w:sz w:val="21"/>
                      <w:szCs w:val="21"/>
                      <w:vertAlign w:val="baseline"/>
                      <w:lang w:val="en-US" w:eastAsia="zh-CN"/>
                    </w:rPr>
                    <w:t>放标准》（GB14554-93）</w:t>
                  </w:r>
                </w:p>
              </w:tc>
              <w:tc>
                <w:tcPr>
                  <w:tcW w:w="877" w:type="dxa"/>
                  <w:tcBorders>
                    <w:tl2br w:val="nil"/>
                    <w:tr2bl w:val="nil"/>
                  </w:tcBorders>
                  <w:noWrap w:val="0"/>
                  <w:vAlign w:val="center"/>
                </w:tcPr>
                <w:p w14:paraId="7EEA4B23">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20（无量纲）</w:t>
                  </w:r>
                </w:p>
              </w:tc>
              <w:tc>
                <w:tcPr>
                  <w:tcW w:w="704" w:type="dxa"/>
                  <w:tcBorders>
                    <w:tl2br w:val="nil"/>
                    <w:tr2bl w:val="nil"/>
                  </w:tcBorders>
                  <w:noWrap w:val="0"/>
                  <w:vAlign w:val="center"/>
                </w:tcPr>
                <w:p w14:paraId="5A84FF26">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少量</w:t>
                  </w:r>
                </w:p>
              </w:tc>
            </w:tr>
            <w:tr w14:paraId="39E7B8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6" w:type="dxa"/>
                  <w:gridSpan w:val="8"/>
                  <w:tcBorders>
                    <w:tl2br w:val="nil"/>
                    <w:tr2bl w:val="nil"/>
                  </w:tcBorders>
                  <w:noWrap w:val="0"/>
                  <w:vAlign w:val="center"/>
                </w:tcPr>
                <w:p w14:paraId="5E392A40">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无组织排放总计</w:t>
                  </w:r>
                </w:p>
              </w:tc>
            </w:tr>
            <w:tr w14:paraId="7A45D0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2" w:type="dxa"/>
                  <w:gridSpan w:val="4"/>
                  <w:vMerge w:val="restart"/>
                  <w:tcBorders>
                    <w:tl2br w:val="nil"/>
                    <w:tr2bl w:val="nil"/>
                  </w:tcBorders>
                  <w:noWrap w:val="0"/>
                  <w:vAlign w:val="center"/>
                </w:tcPr>
                <w:p w14:paraId="03EBD42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无组织排放总计</w:t>
                  </w:r>
                </w:p>
              </w:tc>
              <w:tc>
                <w:tcPr>
                  <w:tcW w:w="3173" w:type="dxa"/>
                  <w:gridSpan w:val="2"/>
                  <w:tcBorders>
                    <w:tl2br w:val="nil"/>
                    <w:tr2bl w:val="nil"/>
                  </w:tcBorders>
                  <w:noWrap w:val="0"/>
                  <w:vAlign w:val="center"/>
                </w:tcPr>
                <w:p w14:paraId="5C34EF20">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1581" w:type="dxa"/>
                  <w:gridSpan w:val="2"/>
                  <w:tcBorders>
                    <w:tl2br w:val="nil"/>
                    <w:tr2bl w:val="nil"/>
                  </w:tcBorders>
                  <w:noWrap w:val="0"/>
                  <w:vAlign w:val="center"/>
                </w:tcPr>
                <w:p w14:paraId="64438462">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0.720</w:t>
                  </w:r>
                </w:p>
              </w:tc>
            </w:tr>
            <w:tr w14:paraId="33B1A7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2" w:type="dxa"/>
                  <w:gridSpan w:val="4"/>
                  <w:vMerge w:val="continue"/>
                  <w:tcBorders>
                    <w:tl2br w:val="nil"/>
                    <w:tr2bl w:val="nil"/>
                  </w:tcBorders>
                  <w:noWrap w:val="0"/>
                  <w:vAlign w:val="center"/>
                </w:tcPr>
                <w:p w14:paraId="55797EA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3173" w:type="dxa"/>
                  <w:gridSpan w:val="2"/>
                  <w:tcBorders>
                    <w:tl2br w:val="nil"/>
                    <w:tr2bl w:val="nil"/>
                  </w:tcBorders>
                  <w:noWrap w:val="0"/>
                  <w:vAlign w:val="center"/>
                </w:tcPr>
                <w:p w14:paraId="3F7E6D7B">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1581" w:type="dxa"/>
                  <w:gridSpan w:val="2"/>
                  <w:tcBorders>
                    <w:tl2br w:val="nil"/>
                    <w:tr2bl w:val="nil"/>
                  </w:tcBorders>
                  <w:noWrap w:val="0"/>
                  <w:vAlign w:val="center"/>
                </w:tcPr>
                <w:p w14:paraId="5EC1EABE">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0.405</w:t>
                  </w:r>
                </w:p>
              </w:tc>
            </w:tr>
            <w:tr w14:paraId="23422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62" w:type="dxa"/>
                  <w:gridSpan w:val="4"/>
                  <w:vMerge w:val="continue"/>
                  <w:tcBorders>
                    <w:tl2br w:val="nil"/>
                    <w:tr2bl w:val="nil"/>
                  </w:tcBorders>
                  <w:noWrap w:val="0"/>
                  <w:vAlign w:val="center"/>
                </w:tcPr>
                <w:p w14:paraId="38515793">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p>
              </w:tc>
              <w:tc>
                <w:tcPr>
                  <w:tcW w:w="3173" w:type="dxa"/>
                  <w:gridSpan w:val="2"/>
                  <w:tcBorders>
                    <w:tl2br w:val="nil"/>
                    <w:tr2bl w:val="nil"/>
                  </w:tcBorders>
                  <w:noWrap w:val="0"/>
                  <w:vAlign w:val="center"/>
                </w:tcPr>
                <w:p w14:paraId="168E0796">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臭气浓度</w:t>
                  </w:r>
                </w:p>
              </w:tc>
              <w:tc>
                <w:tcPr>
                  <w:tcW w:w="1581" w:type="dxa"/>
                  <w:gridSpan w:val="2"/>
                  <w:tcBorders>
                    <w:tl2br w:val="nil"/>
                    <w:tr2bl w:val="nil"/>
                  </w:tcBorders>
                  <w:noWrap w:val="0"/>
                  <w:vAlign w:val="center"/>
                </w:tcPr>
                <w:p w14:paraId="073E580D">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少量</w:t>
                  </w:r>
                </w:p>
              </w:tc>
            </w:tr>
          </w:tbl>
          <w:p w14:paraId="61F43999">
            <w:pPr>
              <w:pStyle w:val="12"/>
              <w:keepNext w:val="0"/>
              <w:keepLines w:val="0"/>
              <w:pageBreakBefore w:val="0"/>
              <w:widowControl/>
              <w:numPr>
                <w:ilvl w:val="0"/>
                <w:numId w:val="9"/>
              </w:numPr>
              <w:kinsoku/>
              <w:wordWrap/>
              <w:overflowPunct/>
              <w:topLinePunct w:val="0"/>
              <w:autoSpaceDE/>
              <w:autoSpaceDN/>
              <w:bidi w:val="0"/>
              <w:adjustRightInd w:val="0"/>
              <w:snapToGrid w:val="0"/>
              <w:ind w:left="0" w:leftChars="0" w:firstLine="480" w:firstLineChars="200"/>
              <w:textAlignment w:val="auto"/>
              <w:rPr>
                <w:rFonts w:hint="eastAsia" w:ascii="Times New Roman" w:hAnsi="Times New Roman" w:eastAsia="宋体" w:cs="Times New Roman"/>
                <w:color w:val="000000" w:themeColor="text1"/>
                <w:sz w:val="24"/>
                <w:szCs w:val="22"/>
                <w:lang w:val="en-US" w:eastAsia="zh-CN"/>
              </w:rPr>
            </w:pPr>
            <w:r>
              <w:rPr>
                <w:rFonts w:hint="eastAsia" w:ascii="Times New Roman" w:hAnsi="Times New Roman" w:eastAsia="宋体" w:cs="Times New Roman"/>
                <w:color w:val="000000" w:themeColor="text1"/>
                <w:sz w:val="24"/>
                <w:szCs w:val="22"/>
                <w:lang w:val="en-US" w:eastAsia="zh-CN"/>
              </w:rPr>
              <w:t xml:space="preserve">项目大气污染物年排放量核算   </w:t>
            </w:r>
          </w:p>
          <w:p w14:paraId="7C474379">
            <w:pPr>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240" w:lineRule="auto"/>
              <w:ind w:leftChars="0"/>
              <w:jc w:val="center"/>
              <w:textAlignment w:val="auto"/>
              <w:rPr>
                <w:rFonts w:hint="eastAsia" w:ascii="Times New Roman" w:hAnsi="Times New Roman" w:eastAsia="宋体" w:cs="Times New Roman"/>
                <w:b/>
                <w:bCs/>
                <w:color w:val="000000" w:themeColor="text1"/>
                <w:sz w:val="21"/>
                <w:szCs w:val="21"/>
                <w:lang w:val="en-US" w:eastAsia="zh-CN"/>
              </w:rPr>
            </w:pPr>
            <w:r>
              <w:rPr>
                <w:rFonts w:hint="eastAsia" w:hAnsi="宋体"/>
                <w:b/>
                <w:color w:val="000000" w:themeColor="text1"/>
                <w:sz w:val="21"/>
                <w:szCs w:val="21"/>
              </w:rPr>
              <w:t>表</w:t>
            </w:r>
            <w:r>
              <w:rPr>
                <w:rFonts w:hint="eastAsia" w:hAnsi="宋体"/>
                <w:b/>
                <w:color w:val="000000" w:themeColor="text1"/>
                <w:sz w:val="21"/>
                <w:szCs w:val="21"/>
                <w:lang w:val="en-US" w:eastAsia="zh-CN"/>
              </w:rPr>
              <w:t xml:space="preserve">4-19  </w:t>
            </w:r>
            <w:r>
              <w:rPr>
                <w:rFonts w:hint="eastAsia" w:ascii="Times New Roman" w:hAnsi="Times New Roman" w:eastAsia="宋体" w:cs="Times New Roman"/>
                <w:b/>
                <w:bCs/>
                <w:color w:val="000000" w:themeColor="text1"/>
                <w:sz w:val="21"/>
                <w:szCs w:val="21"/>
                <w:lang w:val="en-US" w:eastAsia="zh-CN"/>
              </w:rPr>
              <w:t xml:space="preserve"> 大气污染物年排放量核算表</w:t>
            </w:r>
          </w:p>
          <w:tbl>
            <w:tblPr>
              <w:tblStyle w:val="34"/>
              <w:tblW w:w="78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4123"/>
              <w:gridCol w:w="2620"/>
            </w:tblGrid>
            <w:tr w14:paraId="7F6A26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op w:val="single" w:color="auto" w:sz="12" w:space="0"/>
                  </w:tcBorders>
                  <w:noWrap w:val="0"/>
                  <w:vAlign w:val="center"/>
                </w:tcPr>
                <w:p w14:paraId="4109847A">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eastAsia" w:ascii="Times New Roman" w:hAnsi="Times New Roman" w:eastAsia="宋体" w:cs="Times New Roman"/>
                      <w:b/>
                      <w:bCs/>
                      <w:color w:val="000000" w:themeColor="text1"/>
                      <w:sz w:val="21"/>
                      <w:szCs w:val="21"/>
                      <w:vertAlign w:val="baseline"/>
                      <w:lang w:val="en-US" w:eastAsia="zh-CN"/>
                    </w:rPr>
                    <w:t>序号</w:t>
                  </w:r>
                </w:p>
              </w:tc>
              <w:tc>
                <w:tcPr>
                  <w:tcW w:w="4123" w:type="dxa"/>
                  <w:tcBorders>
                    <w:top w:val="single" w:color="auto" w:sz="12" w:space="0"/>
                  </w:tcBorders>
                  <w:noWrap w:val="0"/>
                  <w:vAlign w:val="center"/>
                </w:tcPr>
                <w:p w14:paraId="6EAD99FE">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eastAsia" w:ascii="Times New Roman" w:hAnsi="Times New Roman" w:eastAsia="宋体" w:cs="Times New Roman"/>
                      <w:b/>
                      <w:bCs/>
                      <w:color w:val="000000" w:themeColor="text1"/>
                      <w:sz w:val="21"/>
                      <w:szCs w:val="21"/>
                      <w:vertAlign w:val="baseline"/>
                      <w:lang w:val="en-US" w:eastAsia="zh-CN"/>
                    </w:rPr>
                    <w:t>污染物</w:t>
                  </w:r>
                </w:p>
              </w:tc>
              <w:tc>
                <w:tcPr>
                  <w:tcW w:w="2620" w:type="dxa"/>
                  <w:tcBorders>
                    <w:top w:val="single" w:color="auto" w:sz="12" w:space="0"/>
                  </w:tcBorders>
                  <w:noWrap w:val="0"/>
                  <w:vAlign w:val="center"/>
                </w:tcPr>
                <w:p w14:paraId="78D98231">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bCs/>
                      <w:color w:val="000000" w:themeColor="text1"/>
                      <w:sz w:val="21"/>
                      <w:szCs w:val="21"/>
                      <w:vertAlign w:val="baseline"/>
                      <w:lang w:val="en-US" w:eastAsia="zh-CN"/>
                    </w:rPr>
                  </w:pPr>
                  <w:r>
                    <w:rPr>
                      <w:rFonts w:hint="eastAsia" w:ascii="Times New Roman" w:hAnsi="Times New Roman" w:eastAsia="宋体" w:cs="Times New Roman"/>
                      <w:b/>
                      <w:bCs/>
                      <w:color w:val="000000" w:themeColor="text1"/>
                      <w:sz w:val="21"/>
                      <w:szCs w:val="21"/>
                      <w:vertAlign w:val="baseline"/>
                      <w:lang w:val="en-US" w:eastAsia="zh-CN"/>
                    </w:rPr>
                    <w:t>年排放量（t/a）</w:t>
                  </w:r>
                </w:p>
              </w:tc>
            </w:tr>
            <w:tr w14:paraId="3FF6E5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noWrap w:val="0"/>
                  <w:vAlign w:val="center"/>
                </w:tcPr>
                <w:p w14:paraId="52D5E0FF">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1</w:t>
                  </w:r>
                </w:p>
              </w:tc>
              <w:tc>
                <w:tcPr>
                  <w:tcW w:w="4123" w:type="dxa"/>
                  <w:noWrap w:val="0"/>
                  <w:vAlign w:val="center"/>
                </w:tcPr>
                <w:p w14:paraId="6429AB1C">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颗粒物</w:t>
                  </w:r>
                </w:p>
              </w:tc>
              <w:tc>
                <w:tcPr>
                  <w:tcW w:w="2620" w:type="dxa"/>
                  <w:noWrap w:val="0"/>
                  <w:vAlign w:val="center"/>
                </w:tcPr>
                <w:p w14:paraId="0BB56D96">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0.986</w:t>
                  </w:r>
                </w:p>
              </w:tc>
            </w:tr>
            <w:tr w14:paraId="191DCC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noWrap w:val="0"/>
                  <w:vAlign w:val="center"/>
                </w:tcPr>
                <w:p w14:paraId="69F775DE">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2</w:t>
                  </w:r>
                </w:p>
              </w:tc>
              <w:tc>
                <w:tcPr>
                  <w:tcW w:w="4123" w:type="dxa"/>
                  <w:noWrap w:val="0"/>
                  <w:vAlign w:val="center"/>
                </w:tcPr>
                <w:p w14:paraId="3CF1A6E7">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SO</w:t>
                  </w:r>
                  <w:r>
                    <w:rPr>
                      <w:rFonts w:hint="eastAsia" w:ascii="Times New Roman" w:hAnsi="Times New Roman" w:eastAsia="宋体" w:cs="Times New Roman"/>
                      <w:b w:val="0"/>
                      <w:bCs w:val="0"/>
                      <w:color w:val="000000" w:themeColor="text1"/>
                      <w:sz w:val="21"/>
                      <w:szCs w:val="21"/>
                      <w:vertAlign w:val="subscript"/>
                      <w:lang w:val="en-US" w:eastAsia="zh-CN"/>
                    </w:rPr>
                    <w:t>2</w:t>
                  </w:r>
                </w:p>
              </w:tc>
              <w:tc>
                <w:tcPr>
                  <w:tcW w:w="2620" w:type="dxa"/>
                  <w:noWrap w:val="0"/>
                  <w:vAlign w:val="center"/>
                </w:tcPr>
                <w:p w14:paraId="01E8A3C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0.016</w:t>
                  </w:r>
                </w:p>
              </w:tc>
            </w:tr>
            <w:tr w14:paraId="73D236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noWrap w:val="0"/>
                  <w:vAlign w:val="center"/>
                </w:tcPr>
                <w:p w14:paraId="082F82F8">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3</w:t>
                  </w:r>
                </w:p>
              </w:tc>
              <w:tc>
                <w:tcPr>
                  <w:tcW w:w="4123" w:type="dxa"/>
                  <w:noWrap w:val="0"/>
                  <w:vAlign w:val="center"/>
                </w:tcPr>
                <w:p w14:paraId="4D2D096F">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NOx</w:t>
                  </w:r>
                </w:p>
              </w:tc>
              <w:tc>
                <w:tcPr>
                  <w:tcW w:w="2620" w:type="dxa"/>
                  <w:noWrap w:val="0"/>
                  <w:vAlign w:val="center"/>
                </w:tcPr>
                <w:p w14:paraId="68A4A9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color w:val="000000" w:themeColor="text1"/>
                      <w:spacing w:val="-1"/>
                      <w:sz w:val="21"/>
                      <w:szCs w:val="21"/>
                      <w:lang w:val="en-US" w:eastAsia="zh-CN"/>
                    </w:rPr>
                    <w:t>0.075</w:t>
                  </w:r>
                </w:p>
              </w:tc>
            </w:tr>
            <w:tr w14:paraId="5B6C3D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bottom w:val="single" w:color="auto" w:sz="12" w:space="0"/>
                  </w:tcBorders>
                  <w:noWrap w:val="0"/>
                  <w:vAlign w:val="center"/>
                </w:tcPr>
                <w:p w14:paraId="1C523C6A">
                  <w:pPr>
                    <w:pStyle w:val="5"/>
                    <w:keepNext/>
                    <w:keepLines/>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4</w:t>
                  </w:r>
                </w:p>
              </w:tc>
              <w:tc>
                <w:tcPr>
                  <w:tcW w:w="4123" w:type="dxa"/>
                  <w:tcBorders>
                    <w:bottom w:val="single" w:color="auto" w:sz="12" w:space="0"/>
                  </w:tcBorders>
                  <w:noWrap w:val="0"/>
                  <w:vAlign w:val="center"/>
                </w:tcPr>
                <w:p w14:paraId="747EFA16">
                  <w:pPr>
                    <w:pStyle w:val="5"/>
                    <w:pageBreakBefore w:val="0"/>
                    <w:numPr>
                      <w:ilvl w:val="0"/>
                      <w:numId w:val="0"/>
                    </w:numPr>
                    <w:kinsoku/>
                    <w:wordWrap/>
                    <w:overflowPunct/>
                    <w:topLinePunct w:val="0"/>
                    <w:autoSpaceDE/>
                    <w:autoSpaceDN/>
                    <w:bidi w:val="0"/>
                    <w:adjustRightInd w:val="0"/>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000000" w:themeColor="text1"/>
                      <w:sz w:val="21"/>
                      <w:szCs w:val="21"/>
                      <w:vertAlign w:val="baseline"/>
                      <w:lang w:val="en-US" w:eastAsia="zh-CN"/>
                    </w:rPr>
                  </w:pPr>
                  <w:r>
                    <w:rPr>
                      <w:rFonts w:hint="eastAsia" w:ascii="Times New Roman" w:hAnsi="Times New Roman" w:eastAsia="宋体" w:cs="Times New Roman"/>
                      <w:b w:val="0"/>
                      <w:bCs w:val="0"/>
                      <w:color w:val="000000" w:themeColor="text1"/>
                      <w:sz w:val="21"/>
                      <w:szCs w:val="21"/>
                      <w:vertAlign w:val="baseline"/>
                      <w:lang w:val="en-US" w:eastAsia="zh-CN"/>
                    </w:rPr>
                    <w:t>非甲烷总烃</w:t>
                  </w:r>
                </w:p>
              </w:tc>
              <w:tc>
                <w:tcPr>
                  <w:tcW w:w="2620" w:type="dxa"/>
                  <w:tcBorders>
                    <w:bottom w:val="single" w:color="auto" w:sz="12" w:space="0"/>
                  </w:tcBorders>
                  <w:noWrap w:val="0"/>
                  <w:vAlign w:val="center"/>
                </w:tcPr>
                <w:p w14:paraId="0CAF6AA5">
                  <w:pPr>
                    <w:pStyle w:val="128"/>
                    <w:keepNext w:val="0"/>
                    <w:keepLines w:val="0"/>
                    <w:pageBreakBefore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themeColor="text1"/>
                      <w:sz w:val="21"/>
                      <w:szCs w:val="21"/>
                      <w:vertAlign w:val="baseline"/>
                      <w:lang w:val="en-US" w:eastAsia="zh-CN"/>
                    </w:rPr>
                  </w:pPr>
                  <w:r>
                    <w:rPr>
                      <w:rFonts w:hint="eastAsia" w:cs="Times New Roman"/>
                      <w:b w:val="0"/>
                      <w:bCs w:val="0"/>
                      <w:color w:val="000000" w:themeColor="text1"/>
                      <w:sz w:val="21"/>
                      <w:szCs w:val="21"/>
                      <w:vertAlign w:val="baseline"/>
                      <w:lang w:val="en-US" w:eastAsia="zh-CN"/>
                    </w:rPr>
                    <w:t>1.458</w:t>
                  </w:r>
                </w:p>
              </w:tc>
            </w:tr>
          </w:tbl>
          <w:p w14:paraId="64721793">
            <w:pPr>
              <w:adjustRightInd w:val="0"/>
              <w:snapToGrid w:val="0"/>
              <w:ind w:firstLine="482"/>
              <w:jc w:val="left"/>
              <w:rPr>
                <w:rFonts w:hint="default" w:ascii="Times New Roman" w:hAnsi="Times New Roman" w:eastAsia="宋体" w:cs="Times New Roman"/>
                <w:b/>
                <w:bCs/>
                <w:color w:val="000000" w:themeColor="text1"/>
                <w:lang w:val="en-US" w:eastAsia="zh-CN"/>
              </w:rPr>
            </w:pPr>
            <w:r>
              <w:rPr>
                <w:rFonts w:hint="eastAsia" w:cs="Times New Roman"/>
                <w:b/>
                <w:bCs/>
                <w:color w:val="000000" w:themeColor="text1"/>
                <w:lang w:val="en-US" w:eastAsia="zh-CN"/>
              </w:rPr>
              <w:t>2.8恶臭影响分析</w:t>
            </w:r>
          </w:p>
          <w:p w14:paraId="578E8BC0">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本项目在生产过程会有物料散发出臭气。根据恶臭强度等级划分，此臭气强度为2~3级，属于能够确定气味性质的较弱气体，确认阈值浓度，易闻到有明显气味。</w:t>
            </w:r>
          </w:p>
          <w:p w14:paraId="39C0DA9D">
            <w:pPr>
              <w:pStyle w:val="179"/>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1</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恶臭强度等级</w:t>
            </w:r>
          </w:p>
          <w:p w14:paraId="5666086F">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恶臭是大气、水、废弃物等物质中的异味通过空气介质，作用于人的嗅觉而被感知的一种嗅觉污染。恶臭物质的种类很多，其中对人身体健康危害较大的主要有：硫醇类、氨、硫化氢、甲基硫、三甲胺、酚类和脂肪酸类等。</w:t>
            </w:r>
          </w:p>
          <w:p w14:paraId="68683489">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用嗅觉感觉出来的臭气强度，有多种表示方法，其中最常用的也是最基本的是用“阈值”来表示。所谓嗅觉阈值就是人所能嗅觉到某种物质的最小刺激量。恶臭强度是以臭 味的嗅觉阈值为基准划分等级的，恶臭强度划分为6级，详见表</w:t>
            </w:r>
            <w:r>
              <w:rPr>
                <w:rFonts w:hint="eastAsia" w:ascii="Times New Roman" w:hAnsi="Times New Roman" w:cs="Times New Roman"/>
                <w:color w:val="000000" w:themeColor="text1"/>
                <w:lang w:val="en-US" w:eastAsia="zh-CN"/>
              </w:rPr>
              <w:t>4-20</w:t>
            </w:r>
            <w:r>
              <w:rPr>
                <w:rFonts w:hint="default" w:ascii="Times New Roman" w:hAnsi="Times New Roman" w:eastAsia="宋体" w:cs="Times New Roman"/>
                <w:color w:val="000000" w:themeColor="text1"/>
              </w:rPr>
              <w:t>。</w:t>
            </w:r>
          </w:p>
          <w:p w14:paraId="4488C839">
            <w:pPr>
              <w:spacing w:line="240" w:lineRule="auto"/>
              <w:jc w:val="center"/>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w:t>
            </w:r>
            <w:r>
              <w:rPr>
                <w:rFonts w:hint="eastAsia" w:ascii="Times New Roman" w:hAnsi="Times New Roman" w:cs="Times New Roman"/>
                <w:b/>
                <w:bCs/>
                <w:color w:val="000000" w:themeColor="text1"/>
                <w:sz w:val="21"/>
                <w:szCs w:val="21"/>
                <w:lang w:val="en-US" w:eastAsia="zh-CN"/>
              </w:rPr>
              <w:t>4-20</w:t>
            </w:r>
            <w:r>
              <w:rPr>
                <w:rFonts w:hint="eastAsia" w:ascii="Times New Roman" w:hAnsi="Times New Roman" w:eastAsia="宋体" w:cs="Times New Roman"/>
                <w:b/>
                <w:bCs/>
                <w:color w:val="000000" w:themeColor="text1"/>
                <w:sz w:val="21"/>
                <w:szCs w:val="21"/>
                <w:lang w:val="en-US" w:eastAsia="zh-CN"/>
              </w:rPr>
              <w:t xml:space="preserve">   恶臭强度分类情况一览表</w:t>
            </w:r>
          </w:p>
          <w:tbl>
            <w:tblPr>
              <w:tblStyle w:val="131"/>
              <w:tblW w:w="92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389"/>
              <w:gridCol w:w="6850"/>
            </w:tblGrid>
            <w:tr w14:paraId="03C3F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409A76D4">
                  <w:pPr>
                    <w:spacing w:line="240" w:lineRule="auto"/>
                    <w:jc w:val="center"/>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强度分类</w:t>
                  </w:r>
                </w:p>
              </w:tc>
              <w:tc>
                <w:tcPr>
                  <w:tcW w:w="6850" w:type="dxa"/>
                  <w:tcBorders>
                    <w:tl2br w:val="nil"/>
                    <w:tr2bl w:val="nil"/>
                  </w:tcBorders>
                  <w:noWrap w:val="0"/>
                  <w:vAlign w:val="center"/>
                </w:tcPr>
                <w:p w14:paraId="4B0F1E52">
                  <w:pPr>
                    <w:spacing w:line="240" w:lineRule="auto"/>
                    <w:jc w:val="center"/>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臭气感觉程度</w:t>
                  </w:r>
                </w:p>
              </w:tc>
            </w:tr>
            <w:tr w14:paraId="313AEA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0644D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0</w:t>
                  </w:r>
                </w:p>
              </w:tc>
              <w:tc>
                <w:tcPr>
                  <w:tcW w:w="6850" w:type="dxa"/>
                  <w:tcBorders>
                    <w:tl2br w:val="nil"/>
                    <w:tr2bl w:val="nil"/>
                  </w:tcBorders>
                  <w:noWrap w:val="0"/>
                  <w:vAlign w:val="center"/>
                </w:tcPr>
                <w:p w14:paraId="52415B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未闻到任何气味，无反映</w:t>
                  </w:r>
                </w:p>
              </w:tc>
            </w:tr>
            <w:tr w14:paraId="01E70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6576DD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1</w:t>
                  </w:r>
                </w:p>
              </w:tc>
              <w:tc>
                <w:tcPr>
                  <w:tcW w:w="6850" w:type="dxa"/>
                  <w:tcBorders>
                    <w:tl2br w:val="nil"/>
                    <w:tr2bl w:val="nil"/>
                  </w:tcBorders>
                  <w:noWrap w:val="0"/>
                  <w:vAlign w:val="center"/>
                </w:tcPr>
                <w:p w14:paraId="54F945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勉强感觉到气味，检知阈值浓度</w:t>
                  </w:r>
                </w:p>
              </w:tc>
            </w:tr>
            <w:tr w14:paraId="2C4EBB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4C397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2</w:t>
                  </w:r>
                </w:p>
              </w:tc>
              <w:tc>
                <w:tcPr>
                  <w:tcW w:w="6850" w:type="dxa"/>
                  <w:tcBorders>
                    <w:tl2br w:val="nil"/>
                    <w:tr2bl w:val="nil"/>
                  </w:tcBorders>
                  <w:noWrap w:val="0"/>
                  <w:vAlign w:val="center"/>
                </w:tcPr>
                <w:p w14:paraId="1659DC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能够确定气味性质的较弱气体，确认阈值浓度</w:t>
                  </w:r>
                </w:p>
              </w:tc>
            </w:tr>
            <w:tr w14:paraId="11BF3B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2DBCA3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3</w:t>
                  </w:r>
                </w:p>
              </w:tc>
              <w:tc>
                <w:tcPr>
                  <w:tcW w:w="6850" w:type="dxa"/>
                  <w:tcBorders>
                    <w:tl2br w:val="nil"/>
                    <w:tr2bl w:val="nil"/>
                  </w:tcBorders>
                  <w:noWrap w:val="0"/>
                  <w:vAlign w:val="center"/>
                </w:tcPr>
                <w:p w14:paraId="323EB8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易闻到有明显气味</w:t>
                  </w:r>
                </w:p>
              </w:tc>
            </w:tr>
            <w:tr w14:paraId="54A0AD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59E2F9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4</w:t>
                  </w:r>
                </w:p>
              </w:tc>
              <w:tc>
                <w:tcPr>
                  <w:tcW w:w="6850" w:type="dxa"/>
                  <w:tcBorders>
                    <w:tl2br w:val="nil"/>
                    <w:tr2bl w:val="nil"/>
                  </w:tcBorders>
                  <w:noWrap w:val="0"/>
                  <w:vAlign w:val="center"/>
                </w:tcPr>
                <w:p w14:paraId="33AFB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有很强的气味，很反感，想离开</w:t>
                  </w:r>
                </w:p>
              </w:tc>
            </w:tr>
            <w:tr w14:paraId="1B4EB4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389" w:type="dxa"/>
                  <w:tcBorders>
                    <w:tl2br w:val="nil"/>
                    <w:tr2bl w:val="nil"/>
                  </w:tcBorders>
                  <w:noWrap w:val="0"/>
                  <w:vAlign w:val="center"/>
                </w:tcPr>
                <w:p w14:paraId="729999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5</w:t>
                  </w:r>
                </w:p>
              </w:tc>
              <w:tc>
                <w:tcPr>
                  <w:tcW w:w="6850" w:type="dxa"/>
                  <w:tcBorders>
                    <w:tl2br w:val="nil"/>
                    <w:tr2bl w:val="nil"/>
                  </w:tcBorders>
                  <w:noWrap w:val="0"/>
                  <w:vAlign w:val="center"/>
                </w:tcPr>
                <w:p w14:paraId="73F3E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kern w:val="0"/>
                      <w:sz w:val="21"/>
                      <w:szCs w:val="21"/>
                      <w:lang w:val="en-US" w:eastAsia="zh-CN"/>
                    </w:rPr>
                  </w:pPr>
                  <w:r>
                    <w:rPr>
                      <w:rFonts w:hint="eastAsia" w:ascii="Times New Roman" w:hAnsi="Times New Roman" w:eastAsia="宋体" w:cs="Times New Roman"/>
                      <w:color w:val="000000" w:themeColor="text1"/>
                      <w:kern w:val="0"/>
                      <w:sz w:val="21"/>
                      <w:szCs w:val="21"/>
                      <w:lang w:val="en-US" w:eastAsia="zh-CN"/>
                    </w:rPr>
                    <w:t>有极强的气味，无法忍受，立即离开</w:t>
                  </w:r>
                </w:p>
              </w:tc>
            </w:tr>
          </w:tbl>
          <w:p w14:paraId="68EDD00E">
            <w:pPr>
              <w:pStyle w:val="179"/>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eastAsia="zh-CN"/>
              </w:rPr>
              <w:t>（</w:t>
            </w:r>
            <w:r>
              <w:rPr>
                <w:rFonts w:hint="eastAsia" w:ascii="Times New Roman" w:hAnsi="Times New Roman" w:eastAsia="宋体" w:cs="Times New Roman"/>
                <w:color w:val="000000" w:themeColor="text1"/>
                <w:lang w:val="en-US" w:eastAsia="zh-CN"/>
              </w:rPr>
              <w:t>2</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恶臭污染的特点</w:t>
            </w:r>
          </w:p>
          <w:p w14:paraId="1D3127A6">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①恶臭是感觉性公害，判断恶臭对人们的影响，主要是以给人们带来不舒服感觉的影响为中心进行的，是一种心理上的反应，故主观因素很强。然而，人们的嗅觉鉴别能力要比其他感觉能力强，因此受影响者的主观感觉是评价恶臭污染程度的主要依据。</w:t>
            </w:r>
          </w:p>
          <w:p w14:paraId="265040DF">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②恶臭通常是由多种成份气体形成的，各种成份气体的阈值或最小检知浓度不相同，在浓度较低时，一般不易察觉，但是如果恶臭一旦达到阈值以后，大多会立即发生 强烈的恶臭反应。</w:t>
            </w:r>
          </w:p>
          <w:p w14:paraId="61F60E5D">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③人们对恶臭的厌恶感与恶臭气体成份的性质、强度及浓度有关，并且包含着周边环境、气象条件和个人条件</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身体条件和精神状况等</w:t>
            </w:r>
            <w:r>
              <w:rPr>
                <w:rFonts w:hint="eastAsia" w:ascii="Times New Roman" w:hAnsi="Times New Roman" w:eastAsia="宋体" w:cs="Times New Roman"/>
                <w:color w:val="000000" w:themeColor="text1"/>
                <w:lang w:eastAsia="zh-CN"/>
              </w:rPr>
              <w:t>）</w:t>
            </w:r>
            <w:r>
              <w:rPr>
                <w:rFonts w:hint="default" w:ascii="Times New Roman" w:hAnsi="Times New Roman" w:eastAsia="宋体" w:cs="Times New Roman"/>
                <w:color w:val="000000" w:themeColor="text1"/>
              </w:rPr>
              <w:t>等因素在内。恶臭成份大部分被去除后，在人的嗅觉中并不会感到相应程度的降低或减轻。因此，对于防治恶臭污染而言，受影响者并不是要求减轻或降低恶臭气味，而是要求必须没有恶臭气味。</w:t>
            </w:r>
          </w:p>
          <w:p w14:paraId="31ACF167">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④受到恶臭污染影响的人一般立即离开，到清洁空气环境内，积极换气就可以解除受到是污染影响。</w:t>
            </w:r>
          </w:p>
          <w:p w14:paraId="062DC232">
            <w:pPr>
              <w:pStyle w:val="179"/>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为进一步减缓臭气物质对外环境的影响，项目应对生产区加强管理，</w:t>
            </w:r>
            <w:r>
              <w:rPr>
                <w:rFonts w:hint="eastAsia" w:ascii="Times New Roman" w:hAnsi="Times New Roman" w:cs="Times New Roman"/>
                <w:color w:val="000000" w:themeColor="text1"/>
                <w:lang w:val="en-US" w:eastAsia="zh-CN"/>
              </w:rPr>
              <w:t>维护废气处理设备，</w:t>
            </w:r>
            <w:r>
              <w:rPr>
                <w:rFonts w:hint="default" w:ascii="Times New Roman" w:hAnsi="Times New Roman" w:eastAsia="宋体" w:cs="Times New Roman"/>
                <w:color w:val="000000" w:themeColor="text1"/>
              </w:rPr>
              <w:t>做好无组织臭气防范措施，同时加强绿化，设置绿化隔离带，绿化树木选择能抗污力强，净化空气好的植物，利用绿色植物吸收和隔离恶臭物质，减轻臭气的影响，对周边环境影响不大。</w:t>
            </w:r>
          </w:p>
          <w:p w14:paraId="4CBD68D8">
            <w:pPr>
              <w:adjustRightInd w:val="0"/>
              <w:snapToGrid w:val="0"/>
              <w:ind w:firstLine="482"/>
              <w:jc w:val="left"/>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3、运营期噪声</w:t>
            </w:r>
          </w:p>
          <w:p w14:paraId="196DD9BD">
            <w:pPr>
              <w:autoSpaceDE w:val="0"/>
              <w:autoSpaceDN w:val="0"/>
              <w:adjustRightInd w:val="0"/>
              <w:snapToGrid w:val="0"/>
              <w:ind w:firstLine="480"/>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（1）噪声源强</w:t>
            </w:r>
          </w:p>
          <w:p w14:paraId="0F6BEBFE">
            <w:pPr>
              <w:autoSpaceDE w:val="0"/>
              <w:autoSpaceDN w:val="0"/>
              <w:adjustRightInd w:val="0"/>
              <w:snapToGrid w:val="0"/>
              <w:ind w:firstLine="480"/>
              <w:jc w:val="left"/>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本项目营运期噪声源主要是</w:t>
            </w:r>
            <w:r>
              <w:rPr>
                <w:rFonts w:hint="eastAsia" w:cs="Times New Roman"/>
                <w:color w:val="000000" w:themeColor="text1"/>
                <w:kern w:val="0"/>
                <w:lang w:val="en-US" w:eastAsia="zh-CN"/>
              </w:rPr>
              <w:t>烘干机、热风炉、脱水机、挤出机、造粒机、切粒机、搅拌机、废气处理风机</w:t>
            </w:r>
            <w:r>
              <w:rPr>
                <w:rFonts w:hint="default" w:ascii="Times New Roman" w:hAnsi="Times New Roman" w:eastAsia="宋体" w:cs="Times New Roman"/>
                <w:color w:val="000000" w:themeColor="text1"/>
              </w:rPr>
              <w:t>等设备运行产生的噪声，噪声值约。其噪</w:t>
            </w:r>
            <w:r>
              <w:rPr>
                <w:rFonts w:hint="eastAsia" w:cs="Times New Roman"/>
                <w:color w:val="000000" w:themeColor="text1"/>
                <w:lang w:val="en-US" w:eastAsia="zh-CN"/>
              </w:rPr>
              <w:t>85</w:t>
            </w:r>
            <w:r>
              <w:rPr>
                <w:rFonts w:hint="default" w:ascii="Times New Roman" w:hAnsi="Times New Roman" w:eastAsia="宋体" w:cs="Times New Roman"/>
                <w:color w:val="000000" w:themeColor="text1"/>
              </w:rPr>
              <w:t>~</w:t>
            </w:r>
            <w:r>
              <w:rPr>
                <w:rFonts w:hint="eastAsia" w:cs="Times New Roman"/>
                <w:color w:val="000000" w:themeColor="text1"/>
                <w:lang w:val="en-US" w:eastAsia="zh-CN"/>
              </w:rPr>
              <w:t>95</w:t>
            </w:r>
            <w:r>
              <w:rPr>
                <w:rFonts w:hint="default" w:ascii="Times New Roman" w:hAnsi="Times New Roman" w:eastAsia="宋体" w:cs="Times New Roman"/>
                <w:color w:val="000000" w:themeColor="text1"/>
              </w:rPr>
              <w:t>dB（A）声源强见下表：</w:t>
            </w:r>
          </w:p>
          <w:p w14:paraId="342DF890">
            <w:pPr>
              <w:keepNext w:val="0"/>
              <w:keepLines w:val="0"/>
              <w:pageBreakBefore w:val="0"/>
              <w:widowControl w:val="0"/>
              <w:tabs>
                <w:tab w:val="left" w:pos="0"/>
              </w:tabs>
              <w:kinsoku/>
              <w:wordWrap/>
              <w:overflowPunct/>
              <w:topLinePunct w:val="0"/>
              <w:autoSpaceDE/>
              <w:autoSpaceDN/>
              <w:bidi w:val="0"/>
              <w:adjustRightInd w:val="0"/>
              <w:snapToGrid w:val="0"/>
              <w:spacing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21</w:t>
            </w:r>
            <w:r>
              <w:rPr>
                <w:rFonts w:hint="default" w:ascii="Times New Roman" w:hAnsi="Times New Roman" w:eastAsia="宋体" w:cs="Times New Roman"/>
                <w:b/>
                <w:color w:val="000000" w:themeColor="text1"/>
                <w:kern w:val="0"/>
                <w:sz w:val="21"/>
                <w:szCs w:val="21"/>
                <w:lang w:val="en-US" w:eastAsia="zh-CN"/>
              </w:rPr>
              <w:t xml:space="preserve"> </w:t>
            </w:r>
            <w:r>
              <w:rPr>
                <w:rFonts w:hint="default" w:ascii="Times New Roman" w:hAnsi="Times New Roman" w:eastAsia="宋体" w:cs="Times New Roman"/>
                <w:b/>
                <w:bCs/>
                <w:color w:val="000000" w:themeColor="text1"/>
                <w:sz w:val="21"/>
                <w:szCs w:val="21"/>
              </w:rPr>
              <w:t xml:space="preserve"> 主要产噪设备及源强表（室</w:t>
            </w:r>
            <w:r>
              <w:rPr>
                <w:rFonts w:hint="eastAsia" w:ascii="Times New Roman" w:hAnsi="Times New Roman" w:eastAsia="宋体" w:cs="Times New Roman"/>
                <w:b/>
                <w:bCs/>
                <w:color w:val="000000" w:themeColor="text1"/>
                <w:sz w:val="21"/>
                <w:szCs w:val="21"/>
                <w:lang w:val="en-US" w:eastAsia="zh-CN"/>
              </w:rPr>
              <w:t>内</w:t>
            </w:r>
            <w:r>
              <w:rPr>
                <w:rFonts w:hint="default" w:ascii="Times New Roman" w:hAnsi="Times New Roman" w:eastAsia="宋体" w:cs="Times New Roman"/>
                <w:b/>
                <w:bCs/>
                <w:color w:val="000000" w:themeColor="text1"/>
                <w:sz w:val="21"/>
                <w:szCs w:val="21"/>
              </w:rPr>
              <w:t>声源）   单位：dB（A）</w:t>
            </w:r>
          </w:p>
          <w:tbl>
            <w:tblPr>
              <w:tblStyle w:val="131"/>
              <w:tblW w:w="8113"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32"/>
              <w:gridCol w:w="555"/>
              <w:gridCol w:w="522"/>
              <w:gridCol w:w="633"/>
              <w:gridCol w:w="743"/>
              <w:gridCol w:w="791"/>
              <w:gridCol w:w="392"/>
              <w:gridCol w:w="387"/>
              <w:gridCol w:w="390"/>
              <w:gridCol w:w="546"/>
              <w:gridCol w:w="653"/>
              <w:gridCol w:w="493"/>
              <w:gridCol w:w="665"/>
              <w:gridCol w:w="594"/>
              <w:gridCol w:w="517"/>
            </w:tblGrid>
            <w:tr w14:paraId="3C5004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5" w:hRule="atLeast"/>
                <w:jc w:val="center"/>
              </w:trPr>
              <w:tc>
                <w:tcPr>
                  <w:tcW w:w="142" w:type="pct"/>
                  <w:vMerge w:val="restart"/>
                  <w:tcBorders>
                    <w:tl2br w:val="nil"/>
                    <w:tr2bl w:val="nil"/>
                  </w:tcBorders>
                  <w:vAlign w:val="center"/>
                </w:tcPr>
                <w:p w14:paraId="05B8937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342" w:type="pct"/>
                  <w:vMerge w:val="restart"/>
                  <w:tcBorders>
                    <w:tl2br w:val="nil"/>
                    <w:tr2bl w:val="nil"/>
                  </w:tcBorders>
                  <w:vAlign w:val="center"/>
                </w:tcPr>
                <w:p w14:paraId="6D589CFA">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建筑物名称</w:t>
                  </w:r>
                </w:p>
              </w:tc>
              <w:tc>
                <w:tcPr>
                  <w:tcW w:w="321" w:type="pct"/>
                  <w:vMerge w:val="restart"/>
                  <w:tcBorders>
                    <w:tl2br w:val="nil"/>
                    <w:tr2bl w:val="nil"/>
                  </w:tcBorders>
                  <w:vAlign w:val="center"/>
                </w:tcPr>
                <w:p w14:paraId="5F1CDEDE">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声源名称</w:t>
                  </w:r>
                </w:p>
              </w:tc>
              <w:tc>
                <w:tcPr>
                  <w:tcW w:w="390" w:type="pct"/>
                  <w:vMerge w:val="restart"/>
                  <w:tcBorders>
                    <w:tl2br w:val="nil"/>
                    <w:tr2bl w:val="nil"/>
                  </w:tcBorders>
                  <w:vAlign w:val="center"/>
                </w:tcPr>
                <w:p w14:paraId="6A70B119">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型号</w:t>
                  </w:r>
                </w:p>
              </w:tc>
              <w:tc>
                <w:tcPr>
                  <w:tcW w:w="457" w:type="pct"/>
                  <w:tcBorders>
                    <w:tl2br w:val="nil"/>
                    <w:tr2bl w:val="nil"/>
                  </w:tcBorders>
                  <w:vAlign w:val="center"/>
                </w:tcPr>
                <w:p w14:paraId="5E0940A2">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声</w:t>
                  </w:r>
                  <w:r>
                    <w:rPr>
                      <w:rFonts w:hint="eastAsia" w:ascii="Times New Roman" w:hAnsi="Times New Roman" w:eastAsia="宋体" w:cs="Times New Roman"/>
                      <w:b/>
                      <w:bCs/>
                      <w:color w:val="000000" w:themeColor="text1"/>
                      <w:sz w:val="21"/>
                      <w:szCs w:val="21"/>
                      <w:lang w:eastAsia="zh-CN"/>
                    </w:rPr>
                    <w:t>源</w:t>
                  </w:r>
                  <w:r>
                    <w:rPr>
                      <w:rFonts w:hint="eastAsia" w:ascii="Times New Roman" w:hAnsi="Times New Roman" w:eastAsia="宋体" w:cs="Times New Roman"/>
                      <w:b/>
                      <w:bCs/>
                      <w:color w:val="000000" w:themeColor="text1"/>
                      <w:sz w:val="21"/>
                      <w:szCs w:val="21"/>
                      <w:lang w:val="en-US" w:eastAsia="zh-CN"/>
                    </w:rPr>
                    <w:t>源</w:t>
                  </w:r>
                  <w:r>
                    <w:rPr>
                      <w:rFonts w:hint="default" w:ascii="Times New Roman" w:hAnsi="Times New Roman" w:eastAsia="宋体" w:cs="Times New Roman"/>
                      <w:b/>
                      <w:bCs/>
                      <w:color w:val="000000" w:themeColor="text1"/>
                      <w:sz w:val="21"/>
                      <w:szCs w:val="21"/>
                      <w:lang w:eastAsia="zh-CN"/>
                    </w:rPr>
                    <w:t>强</w:t>
                  </w:r>
                </w:p>
              </w:tc>
              <w:tc>
                <w:tcPr>
                  <w:tcW w:w="487" w:type="pct"/>
                  <w:vMerge w:val="restart"/>
                  <w:tcBorders>
                    <w:tl2br w:val="nil"/>
                    <w:tr2bl w:val="nil"/>
                  </w:tcBorders>
                  <w:vAlign w:val="center"/>
                </w:tcPr>
                <w:p w14:paraId="779E8AB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声源控制措施</w:t>
                  </w:r>
                </w:p>
              </w:tc>
              <w:tc>
                <w:tcPr>
                  <w:tcW w:w="720" w:type="pct"/>
                  <w:gridSpan w:val="3"/>
                  <w:tcBorders>
                    <w:tl2br w:val="nil"/>
                    <w:tr2bl w:val="nil"/>
                  </w:tcBorders>
                  <w:vAlign w:val="center"/>
                </w:tcPr>
                <w:p w14:paraId="1585C919">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空间相对位置/m</w:t>
                  </w:r>
                </w:p>
              </w:tc>
              <w:tc>
                <w:tcPr>
                  <w:tcW w:w="336" w:type="pct"/>
                  <w:vMerge w:val="restart"/>
                  <w:tcBorders>
                    <w:tl2br w:val="nil"/>
                    <w:tr2bl w:val="nil"/>
                  </w:tcBorders>
                  <w:vAlign w:val="center"/>
                </w:tcPr>
                <w:p w14:paraId="23244A8E">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距室内边界距离/m</w:t>
                  </w:r>
                </w:p>
              </w:tc>
              <w:tc>
                <w:tcPr>
                  <w:tcW w:w="402" w:type="pct"/>
                  <w:vMerge w:val="restart"/>
                  <w:tcBorders>
                    <w:tl2br w:val="nil"/>
                    <w:tr2bl w:val="nil"/>
                  </w:tcBorders>
                  <w:vAlign w:val="center"/>
                </w:tcPr>
                <w:p w14:paraId="443BB476">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pacing w:val="-5"/>
                      <w:sz w:val="21"/>
                      <w:szCs w:val="21"/>
                    </w:rPr>
                    <w:t>室内边界</w:t>
                  </w:r>
                  <w:r>
                    <w:rPr>
                      <w:rFonts w:hint="default" w:ascii="Times New Roman" w:hAnsi="Times New Roman" w:eastAsia="宋体" w:cs="Times New Roman"/>
                      <w:b/>
                      <w:bCs/>
                      <w:color w:val="000000" w:themeColor="text1"/>
                      <w:sz w:val="21"/>
                      <w:szCs w:val="21"/>
                    </w:rPr>
                    <w:t>声级/dB</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ascii="Times New Roman" w:hAnsi="Times New Roman" w:eastAsia="宋体" w:cs="Times New Roman"/>
                      <w:b/>
                      <w:bCs/>
                      <w:color w:val="000000" w:themeColor="text1"/>
                      <w:sz w:val="21"/>
                      <w:szCs w:val="21"/>
                      <w:lang w:eastAsia="zh-CN"/>
                    </w:rPr>
                    <w:t>）</w:t>
                  </w:r>
                </w:p>
              </w:tc>
              <w:tc>
                <w:tcPr>
                  <w:tcW w:w="303" w:type="pct"/>
                  <w:vMerge w:val="restart"/>
                  <w:tcBorders>
                    <w:tl2br w:val="nil"/>
                    <w:tr2bl w:val="nil"/>
                  </w:tcBorders>
                  <w:vAlign w:val="center"/>
                </w:tcPr>
                <w:p w14:paraId="5C76725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运行时段</w:t>
                  </w:r>
                </w:p>
              </w:tc>
              <w:tc>
                <w:tcPr>
                  <w:tcW w:w="409" w:type="pct"/>
                  <w:vMerge w:val="restart"/>
                  <w:tcBorders>
                    <w:tl2br w:val="nil"/>
                    <w:tr2bl w:val="nil"/>
                  </w:tcBorders>
                  <w:vAlign w:val="center"/>
                </w:tcPr>
                <w:p w14:paraId="679A65A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建筑物插入损失 / dB</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ascii="Times New Roman" w:hAnsi="Times New Roman" w:eastAsia="宋体" w:cs="Times New Roman"/>
                      <w:b/>
                      <w:bCs/>
                      <w:color w:val="000000" w:themeColor="text1"/>
                      <w:sz w:val="21"/>
                      <w:szCs w:val="21"/>
                      <w:lang w:eastAsia="zh-CN"/>
                    </w:rPr>
                    <w:t>）</w:t>
                  </w:r>
                </w:p>
              </w:tc>
              <w:tc>
                <w:tcPr>
                  <w:tcW w:w="684" w:type="pct"/>
                  <w:gridSpan w:val="2"/>
                  <w:tcBorders>
                    <w:tl2br w:val="nil"/>
                    <w:tr2bl w:val="nil"/>
                  </w:tcBorders>
                  <w:vAlign w:val="center"/>
                </w:tcPr>
                <w:p w14:paraId="0536F29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建筑物外噪声</w:t>
                  </w:r>
                </w:p>
              </w:tc>
            </w:tr>
            <w:tr w14:paraId="6A1D5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9" w:hRule="atLeast"/>
                <w:jc w:val="center"/>
              </w:trPr>
              <w:tc>
                <w:tcPr>
                  <w:tcW w:w="142" w:type="pct"/>
                  <w:vMerge w:val="continue"/>
                  <w:tcBorders>
                    <w:tl2br w:val="nil"/>
                    <w:tr2bl w:val="nil"/>
                  </w:tcBorders>
                  <w:vAlign w:val="center"/>
                </w:tcPr>
                <w:p w14:paraId="0EF582C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342" w:type="pct"/>
                  <w:vMerge w:val="continue"/>
                  <w:tcBorders>
                    <w:tl2br w:val="nil"/>
                    <w:tr2bl w:val="nil"/>
                  </w:tcBorders>
                  <w:vAlign w:val="center"/>
                </w:tcPr>
                <w:p w14:paraId="64DEDA4E">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321" w:type="pct"/>
                  <w:vMerge w:val="continue"/>
                  <w:tcBorders>
                    <w:tl2br w:val="nil"/>
                    <w:tr2bl w:val="nil"/>
                  </w:tcBorders>
                  <w:vAlign w:val="center"/>
                </w:tcPr>
                <w:p w14:paraId="0168869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390" w:type="pct"/>
                  <w:vMerge w:val="continue"/>
                  <w:tcBorders>
                    <w:tl2br w:val="nil"/>
                    <w:tr2bl w:val="nil"/>
                  </w:tcBorders>
                  <w:vAlign w:val="center"/>
                </w:tcPr>
                <w:p w14:paraId="4B3198DA">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457" w:type="pct"/>
                  <w:tcBorders>
                    <w:tl2br w:val="nil"/>
                    <w:tr2bl w:val="nil"/>
                  </w:tcBorders>
                  <w:vAlign w:val="center"/>
                </w:tcPr>
                <w:p w14:paraId="6AC7779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声功率级</w:t>
                  </w:r>
                </w:p>
                <w:p w14:paraId="1649134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/dB</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ascii="Times New Roman" w:hAnsi="Times New Roman" w:eastAsia="宋体" w:cs="Times New Roman"/>
                      <w:b/>
                      <w:bCs/>
                      <w:color w:val="000000" w:themeColor="text1"/>
                      <w:sz w:val="21"/>
                      <w:szCs w:val="21"/>
                      <w:lang w:eastAsia="zh-CN"/>
                    </w:rPr>
                    <w:t>)</w:t>
                  </w:r>
                </w:p>
              </w:tc>
              <w:tc>
                <w:tcPr>
                  <w:tcW w:w="487" w:type="pct"/>
                  <w:vMerge w:val="continue"/>
                  <w:tcBorders>
                    <w:tl2br w:val="nil"/>
                    <w:tr2bl w:val="nil"/>
                  </w:tcBorders>
                  <w:vAlign w:val="center"/>
                </w:tcPr>
                <w:p w14:paraId="28715B7B">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241" w:type="pct"/>
                  <w:tcBorders>
                    <w:tl2br w:val="nil"/>
                    <w:tr2bl w:val="nil"/>
                  </w:tcBorders>
                  <w:vAlign w:val="center"/>
                </w:tcPr>
                <w:p w14:paraId="17549F8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X</w:t>
                  </w:r>
                </w:p>
              </w:tc>
              <w:tc>
                <w:tcPr>
                  <w:tcW w:w="238" w:type="pct"/>
                  <w:tcBorders>
                    <w:tl2br w:val="nil"/>
                    <w:tr2bl w:val="nil"/>
                  </w:tcBorders>
                  <w:vAlign w:val="center"/>
                </w:tcPr>
                <w:p w14:paraId="0D98AF4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Y</w:t>
                  </w:r>
                </w:p>
              </w:tc>
              <w:tc>
                <w:tcPr>
                  <w:tcW w:w="240" w:type="pct"/>
                  <w:tcBorders>
                    <w:tl2br w:val="nil"/>
                    <w:tr2bl w:val="nil"/>
                  </w:tcBorders>
                  <w:vAlign w:val="center"/>
                </w:tcPr>
                <w:p w14:paraId="78B0837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Z</w:t>
                  </w:r>
                </w:p>
              </w:tc>
              <w:tc>
                <w:tcPr>
                  <w:tcW w:w="336" w:type="pct"/>
                  <w:vMerge w:val="continue"/>
                  <w:tcBorders>
                    <w:tl2br w:val="nil"/>
                    <w:tr2bl w:val="nil"/>
                  </w:tcBorders>
                  <w:vAlign w:val="center"/>
                </w:tcPr>
                <w:p w14:paraId="5E23BA12">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402" w:type="pct"/>
                  <w:vMerge w:val="continue"/>
                  <w:tcBorders>
                    <w:tl2br w:val="nil"/>
                    <w:tr2bl w:val="nil"/>
                  </w:tcBorders>
                  <w:vAlign w:val="center"/>
                </w:tcPr>
                <w:p w14:paraId="74785D5F">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303" w:type="pct"/>
                  <w:vMerge w:val="continue"/>
                  <w:tcBorders>
                    <w:tl2br w:val="nil"/>
                    <w:tr2bl w:val="nil"/>
                  </w:tcBorders>
                  <w:vAlign w:val="center"/>
                </w:tcPr>
                <w:p w14:paraId="3DC34267">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409" w:type="pct"/>
                  <w:vMerge w:val="continue"/>
                  <w:tcBorders>
                    <w:tl2br w:val="nil"/>
                    <w:tr2bl w:val="nil"/>
                  </w:tcBorders>
                  <w:vAlign w:val="center"/>
                </w:tcPr>
                <w:p w14:paraId="0E80A3B1">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p>
              </w:tc>
              <w:tc>
                <w:tcPr>
                  <w:tcW w:w="366" w:type="pct"/>
                  <w:tcBorders>
                    <w:tl2br w:val="nil"/>
                    <w:tr2bl w:val="nil"/>
                  </w:tcBorders>
                  <w:vAlign w:val="center"/>
                </w:tcPr>
                <w:p w14:paraId="22A3919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声压级</w:t>
                  </w:r>
                </w:p>
                <w:p w14:paraId="19ADF8EF">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/dB</w:t>
                  </w:r>
                  <w:r>
                    <w:rPr>
                      <w:rFonts w:hint="eastAsia" w:ascii="Times New Roman" w:hAnsi="Times New Roman"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ascii="Times New Roman" w:hAnsi="Times New Roman" w:eastAsia="宋体" w:cs="Times New Roman"/>
                      <w:b/>
                      <w:bCs/>
                      <w:color w:val="000000" w:themeColor="text1"/>
                      <w:sz w:val="21"/>
                      <w:szCs w:val="21"/>
                      <w:lang w:eastAsia="zh-CN"/>
                    </w:rPr>
                    <w:t>)</w:t>
                  </w:r>
                </w:p>
              </w:tc>
              <w:tc>
                <w:tcPr>
                  <w:tcW w:w="318" w:type="pct"/>
                  <w:tcBorders>
                    <w:tl2br w:val="nil"/>
                    <w:tr2bl w:val="nil"/>
                  </w:tcBorders>
                  <w:vAlign w:val="center"/>
                </w:tcPr>
                <w:p w14:paraId="229D3B9A">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建筑物外距离</w:t>
                  </w:r>
                  <w:r>
                    <w:rPr>
                      <w:rFonts w:hint="default" w:ascii="Times New Roman" w:hAnsi="Times New Roman" w:eastAsia="宋体" w:cs="Times New Roman"/>
                      <w:b/>
                      <w:bCs/>
                      <w:color w:val="000000" w:themeColor="text1"/>
                      <w:sz w:val="21"/>
                      <w:szCs w:val="21"/>
                      <w:lang w:val="en-US" w:eastAsia="zh-CN"/>
                    </w:rPr>
                    <w:t>/m</w:t>
                  </w:r>
                </w:p>
              </w:tc>
            </w:tr>
            <w:tr w14:paraId="0E09CB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42" w:type="pct"/>
                  <w:tcBorders>
                    <w:tl2br w:val="nil"/>
                    <w:tr2bl w:val="nil"/>
                  </w:tcBorders>
                  <w:vAlign w:val="center"/>
                </w:tcPr>
                <w:p w14:paraId="2EF3063C">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342" w:type="pct"/>
                  <w:vMerge w:val="restart"/>
                  <w:tcBorders>
                    <w:tl2br w:val="nil"/>
                    <w:tr2bl w:val="nil"/>
                  </w:tcBorders>
                  <w:vAlign w:val="center"/>
                </w:tcPr>
                <w:p w14:paraId="72875874">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炭黑处理</w:t>
                  </w:r>
                  <w:r>
                    <w:rPr>
                      <w:rFonts w:hint="default" w:ascii="Times New Roman" w:hAnsi="Times New Roman" w:eastAsia="宋体" w:cs="Times New Roman"/>
                      <w:color w:val="000000" w:themeColor="text1"/>
                      <w:sz w:val="21"/>
                      <w:szCs w:val="21"/>
                      <w:lang w:val="en-US" w:eastAsia="zh-CN"/>
                    </w:rPr>
                    <w:t>车间</w:t>
                  </w:r>
                </w:p>
              </w:tc>
              <w:tc>
                <w:tcPr>
                  <w:tcW w:w="321" w:type="pct"/>
                  <w:tcBorders>
                    <w:tl2br w:val="nil"/>
                    <w:tr2bl w:val="nil"/>
                  </w:tcBorders>
                  <w:vAlign w:val="center"/>
                </w:tcPr>
                <w:p w14:paraId="143EEC70">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造粒机</w:t>
                  </w:r>
                </w:p>
              </w:tc>
              <w:tc>
                <w:tcPr>
                  <w:tcW w:w="390" w:type="pct"/>
                  <w:tcBorders>
                    <w:tl2br w:val="nil"/>
                    <w:tr2bl w:val="nil"/>
                  </w:tcBorders>
                  <w:vAlign w:val="center"/>
                </w:tcPr>
                <w:p w14:paraId="167F4FE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4460DCA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85</w:t>
                  </w:r>
                </w:p>
              </w:tc>
              <w:tc>
                <w:tcPr>
                  <w:tcW w:w="487" w:type="pct"/>
                  <w:tcBorders>
                    <w:tl2br w:val="nil"/>
                    <w:tr2bl w:val="nil"/>
                  </w:tcBorders>
                  <w:vAlign w:val="center"/>
                </w:tcPr>
                <w:p w14:paraId="5644E88B">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7EBD3A5E">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-12</w:t>
                  </w:r>
                </w:p>
              </w:tc>
              <w:tc>
                <w:tcPr>
                  <w:tcW w:w="238" w:type="pct"/>
                  <w:tcBorders>
                    <w:tl2br w:val="nil"/>
                    <w:tr2bl w:val="nil"/>
                  </w:tcBorders>
                  <w:vAlign w:val="center"/>
                </w:tcPr>
                <w:p w14:paraId="326F45A9">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w:t>
                  </w:r>
                </w:p>
              </w:tc>
              <w:tc>
                <w:tcPr>
                  <w:tcW w:w="240" w:type="pct"/>
                  <w:tcBorders>
                    <w:tl2br w:val="nil"/>
                    <w:tr2bl w:val="nil"/>
                  </w:tcBorders>
                  <w:vAlign w:val="center"/>
                </w:tcPr>
                <w:p w14:paraId="5792B78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336" w:type="pct"/>
                  <w:tcBorders>
                    <w:tl2br w:val="nil"/>
                    <w:tr2bl w:val="nil"/>
                  </w:tcBorders>
                  <w:vAlign w:val="center"/>
                </w:tcPr>
                <w:p w14:paraId="009D58F5">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3B96CB25">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80</w:t>
                  </w:r>
                </w:p>
              </w:tc>
              <w:tc>
                <w:tcPr>
                  <w:tcW w:w="303" w:type="pct"/>
                  <w:tcBorders>
                    <w:tl2br w:val="nil"/>
                    <w:tr2bl w:val="nil"/>
                  </w:tcBorders>
                  <w:vAlign w:val="center"/>
                </w:tcPr>
                <w:p w14:paraId="2745CFD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42D2F43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19738D9B">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55</w:t>
                  </w:r>
                </w:p>
              </w:tc>
              <w:tc>
                <w:tcPr>
                  <w:tcW w:w="318" w:type="pct"/>
                  <w:tcBorders>
                    <w:tl2br w:val="nil"/>
                    <w:tr2bl w:val="nil"/>
                  </w:tcBorders>
                  <w:vAlign w:val="center"/>
                </w:tcPr>
                <w:p w14:paraId="1C1698E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6BE7BF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42" w:type="pct"/>
                  <w:tcBorders>
                    <w:tl2br w:val="nil"/>
                    <w:tr2bl w:val="nil"/>
                  </w:tcBorders>
                  <w:vAlign w:val="center"/>
                </w:tcPr>
                <w:p w14:paraId="42E84E66">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342" w:type="pct"/>
                  <w:vMerge w:val="continue"/>
                  <w:tcBorders>
                    <w:tl2br w:val="nil"/>
                    <w:tr2bl w:val="nil"/>
                  </w:tcBorders>
                  <w:vAlign w:val="center"/>
                </w:tcPr>
                <w:p w14:paraId="47711EEF">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5F74B994">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烘干机</w:t>
                  </w:r>
                </w:p>
              </w:tc>
              <w:tc>
                <w:tcPr>
                  <w:tcW w:w="390" w:type="pct"/>
                  <w:tcBorders>
                    <w:tl2br w:val="nil"/>
                    <w:tr2bl w:val="nil"/>
                  </w:tcBorders>
                  <w:vAlign w:val="center"/>
                </w:tcPr>
                <w:p w14:paraId="4EADAF65">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0DFA3BE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90</w:t>
                  </w:r>
                </w:p>
              </w:tc>
              <w:tc>
                <w:tcPr>
                  <w:tcW w:w="487" w:type="pct"/>
                  <w:tcBorders>
                    <w:tl2br w:val="nil"/>
                    <w:tr2bl w:val="nil"/>
                  </w:tcBorders>
                  <w:vAlign w:val="center"/>
                </w:tcPr>
                <w:p w14:paraId="70029F1A">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239FC24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-14</w:t>
                  </w:r>
                </w:p>
              </w:tc>
              <w:tc>
                <w:tcPr>
                  <w:tcW w:w="238" w:type="pct"/>
                  <w:tcBorders>
                    <w:tl2br w:val="nil"/>
                    <w:tr2bl w:val="nil"/>
                  </w:tcBorders>
                  <w:vAlign w:val="center"/>
                </w:tcPr>
                <w:p w14:paraId="2CA3C89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w:t>
                  </w:r>
                </w:p>
              </w:tc>
              <w:tc>
                <w:tcPr>
                  <w:tcW w:w="240" w:type="pct"/>
                  <w:tcBorders>
                    <w:tl2br w:val="nil"/>
                    <w:tr2bl w:val="nil"/>
                  </w:tcBorders>
                  <w:vAlign w:val="center"/>
                </w:tcPr>
                <w:p w14:paraId="6B739E22">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336" w:type="pct"/>
                  <w:tcBorders>
                    <w:tl2br w:val="nil"/>
                    <w:tr2bl w:val="nil"/>
                  </w:tcBorders>
                  <w:vAlign w:val="center"/>
                </w:tcPr>
                <w:p w14:paraId="166A88DB">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1E136906">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85</w:t>
                  </w:r>
                </w:p>
              </w:tc>
              <w:tc>
                <w:tcPr>
                  <w:tcW w:w="303" w:type="pct"/>
                  <w:tcBorders>
                    <w:tl2br w:val="nil"/>
                    <w:tr2bl w:val="nil"/>
                  </w:tcBorders>
                  <w:vAlign w:val="center"/>
                </w:tcPr>
                <w:p w14:paraId="3B460F78">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20B3A0D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138FA799">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318" w:type="pct"/>
                  <w:tcBorders>
                    <w:tl2br w:val="nil"/>
                    <w:tr2bl w:val="nil"/>
                  </w:tcBorders>
                  <w:vAlign w:val="center"/>
                </w:tcPr>
                <w:p w14:paraId="16652F24">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0E5A9B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42" w:type="pct"/>
                  <w:tcBorders>
                    <w:tl2br w:val="nil"/>
                    <w:tr2bl w:val="nil"/>
                  </w:tcBorders>
                  <w:vAlign w:val="center"/>
                </w:tcPr>
                <w:p w14:paraId="58BB5592">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p>
              </w:tc>
              <w:tc>
                <w:tcPr>
                  <w:tcW w:w="342" w:type="pct"/>
                  <w:vMerge w:val="continue"/>
                  <w:tcBorders>
                    <w:tl2br w:val="nil"/>
                    <w:tr2bl w:val="nil"/>
                  </w:tcBorders>
                  <w:vAlign w:val="center"/>
                </w:tcPr>
                <w:p w14:paraId="03B7E8CE">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6ED4215C">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热风炉</w:t>
                  </w:r>
                </w:p>
              </w:tc>
              <w:tc>
                <w:tcPr>
                  <w:tcW w:w="390" w:type="pct"/>
                  <w:tcBorders>
                    <w:tl2br w:val="nil"/>
                    <w:tr2bl w:val="nil"/>
                  </w:tcBorders>
                  <w:vAlign w:val="center"/>
                </w:tcPr>
                <w:p w14:paraId="53268D20">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102B4EF4">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95</w:t>
                  </w:r>
                </w:p>
              </w:tc>
              <w:tc>
                <w:tcPr>
                  <w:tcW w:w="487" w:type="pct"/>
                  <w:tcBorders>
                    <w:tl2br w:val="nil"/>
                    <w:tr2bl w:val="nil"/>
                  </w:tcBorders>
                  <w:vAlign w:val="center"/>
                </w:tcPr>
                <w:p w14:paraId="652EEE9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5E95D9D1">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c>
                <w:tcPr>
                  <w:tcW w:w="238" w:type="pct"/>
                  <w:tcBorders>
                    <w:tl2br w:val="nil"/>
                    <w:tr2bl w:val="nil"/>
                  </w:tcBorders>
                  <w:vAlign w:val="center"/>
                </w:tcPr>
                <w:p w14:paraId="458B39E4">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12</w:t>
                  </w:r>
                </w:p>
              </w:tc>
              <w:tc>
                <w:tcPr>
                  <w:tcW w:w="240" w:type="pct"/>
                  <w:tcBorders>
                    <w:tl2br w:val="nil"/>
                    <w:tr2bl w:val="nil"/>
                  </w:tcBorders>
                  <w:vAlign w:val="center"/>
                </w:tcPr>
                <w:p w14:paraId="0FAF437C">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336" w:type="pct"/>
                  <w:tcBorders>
                    <w:tl2br w:val="nil"/>
                    <w:tr2bl w:val="nil"/>
                  </w:tcBorders>
                  <w:vAlign w:val="center"/>
                </w:tcPr>
                <w:p w14:paraId="7EFD7B6B">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55DF779A">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w:t>
                  </w:r>
                </w:p>
              </w:tc>
              <w:tc>
                <w:tcPr>
                  <w:tcW w:w="303" w:type="pct"/>
                  <w:tcBorders>
                    <w:tl2br w:val="nil"/>
                    <w:tr2bl w:val="nil"/>
                  </w:tcBorders>
                  <w:vAlign w:val="center"/>
                </w:tcPr>
                <w:p w14:paraId="5B37CCBA">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79C2CF1D">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426CAD6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65</w:t>
                  </w:r>
                </w:p>
              </w:tc>
              <w:tc>
                <w:tcPr>
                  <w:tcW w:w="318" w:type="pct"/>
                  <w:tcBorders>
                    <w:tl2br w:val="nil"/>
                    <w:tr2bl w:val="nil"/>
                  </w:tcBorders>
                  <w:vAlign w:val="center"/>
                </w:tcPr>
                <w:p w14:paraId="5EF7A972">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33D2CD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42" w:type="pct"/>
                  <w:tcBorders>
                    <w:tl2br w:val="nil"/>
                    <w:tr2bl w:val="nil"/>
                  </w:tcBorders>
                  <w:vAlign w:val="center"/>
                </w:tcPr>
                <w:p w14:paraId="51E2A766">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w:t>
                  </w:r>
                </w:p>
              </w:tc>
              <w:tc>
                <w:tcPr>
                  <w:tcW w:w="342" w:type="pct"/>
                  <w:vMerge w:val="restart"/>
                  <w:tcBorders>
                    <w:tl2br w:val="nil"/>
                    <w:tr2bl w:val="nil"/>
                  </w:tcBorders>
                  <w:vAlign w:val="center"/>
                </w:tcPr>
                <w:p w14:paraId="3A18562B">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色母粒生产车间</w:t>
                  </w:r>
                </w:p>
              </w:tc>
              <w:tc>
                <w:tcPr>
                  <w:tcW w:w="321" w:type="pct"/>
                  <w:tcBorders>
                    <w:tl2br w:val="nil"/>
                    <w:tr2bl w:val="nil"/>
                  </w:tcBorders>
                  <w:vAlign w:val="center"/>
                </w:tcPr>
                <w:p w14:paraId="7E31B451">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搅拌机</w:t>
                  </w:r>
                </w:p>
              </w:tc>
              <w:tc>
                <w:tcPr>
                  <w:tcW w:w="390" w:type="pct"/>
                  <w:tcBorders>
                    <w:tl2br w:val="nil"/>
                    <w:tr2bl w:val="nil"/>
                  </w:tcBorders>
                  <w:vAlign w:val="center"/>
                </w:tcPr>
                <w:p w14:paraId="2AF4930E">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2721B96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w:t>
                  </w:r>
                </w:p>
              </w:tc>
              <w:tc>
                <w:tcPr>
                  <w:tcW w:w="487" w:type="pct"/>
                  <w:tcBorders>
                    <w:tl2br w:val="nil"/>
                    <w:tr2bl w:val="nil"/>
                  </w:tcBorders>
                  <w:vAlign w:val="center"/>
                </w:tcPr>
                <w:p w14:paraId="51EFC4E0">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2C171BAD">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-11</w:t>
                  </w:r>
                </w:p>
              </w:tc>
              <w:tc>
                <w:tcPr>
                  <w:tcW w:w="238" w:type="pct"/>
                  <w:tcBorders>
                    <w:tl2br w:val="nil"/>
                    <w:tr2bl w:val="nil"/>
                  </w:tcBorders>
                  <w:vAlign w:val="center"/>
                </w:tcPr>
                <w:p w14:paraId="7C740C76">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w:t>
                  </w:r>
                </w:p>
              </w:tc>
              <w:tc>
                <w:tcPr>
                  <w:tcW w:w="390" w:type="dxa"/>
                  <w:tcBorders>
                    <w:tl2br w:val="nil"/>
                    <w:tr2bl w:val="nil"/>
                  </w:tcBorders>
                  <w:vAlign w:val="center"/>
                </w:tcPr>
                <w:p w14:paraId="2F2C8DE8">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546" w:type="dxa"/>
                  <w:tcBorders>
                    <w:tl2br w:val="nil"/>
                    <w:tr2bl w:val="nil"/>
                  </w:tcBorders>
                  <w:vAlign w:val="center"/>
                </w:tcPr>
                <w:p w14:paraId="197FAD13">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6CB5F048">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85</w:t>
                  </w:r>
                </w:p>
              </w:tc>
              <w:tc>
                <w:tcPr>
                  <w:tcW w:w="303" w:type="pct"/>
                  <w:tcBorders>
                    <w:tl2br w:val="nil"/>
                    <w:tr2bl w:val="nil"/>
                  </w:tcBorders>
                  <w:vAlign w:val="center"/>
                </w:tcPr>
                <w:p w14:paraId="26BA6F1B">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73794F4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7916366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318" w:type="pct"/>
                  <w:tcBorders>
                    <w:tl2br w:val="nil"/>
                    <w:tr2bl w:val="nil"/>
                  </w:tcBorders>
                  <w:vAlign w:val="center"/>
                </w:tcPr>
                <w:p w14:paraId="2CCEF787">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1CCD6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42" w:type="pct"/>
                  <w:tcBorders>
                    <w:tl2br w:val="nil"/>
                    <w:tr2bl w:val="nil"/>
                  </w:tcBorders>
                  <w:vAlign w:val="center"/>
                </w:tcPr>
                <w:p w14:paraId="62C43160">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w:t>
                  </w:r>
                </w:p>
              </w:tc>
              <w:tc>
                <w:tcPr>
                  <w:tcW w:w="342" w:type="pct"/>
                  <w:vMerge w:val="continue"/>
                  <w:tcBorders>
                    <w:tl2br w:val="nil"/>
                    <w:tr2bl w:val="nil"/>
                  </w:tcBorders>
                  <w:vAlign w:val="center"/>
                </w:tcPr>
                <w:p w14:paraId="11EF2872">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7B28807E">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挤出机</w:t>
                  </w:r>
                </w:p>
              </w:tc>
              <w:tc>
                <w:tcPr>
                  <w:tcW w:w="390" w:type="pct"/>
                  <w:tcBorders>
                    <w:tl2br w:val="nil"/>
                    <w:tr2bl w:val="nil"/>
                  </w:tcBorders>
                  <w:vAlign w:val="center"/>
                </w:tcPr>
                <w:p w14:paraId="13ED9DC0">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1D93510D">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80</w:t>
                  </w:r>
                </w:p>
              </w:tc>
              <w:tc>
                <w:tcPr>
                  <w:tcW w:w="487" w:type="pct"/>
                  <w:tcBorders>
                    <w:tl2br w:val="nil"/>
                    <w:tr2bl w:val="nil"/>
                  </w:tcBorders>
                  <w:vAlign w:val="center"/>
                </w:tcPr>
                <w:p w14:paraId="33B46F56">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3B2E542E">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-13</w:t>
                  </w:r>
                </w:p>
              </w:tc>
              <w:tc>
                <w:tcPr>
                  <w:tcW w:w="238" w:type="pct"/>
                  <w:tcBorders>
                    <w:tl2br w:val="nil"/>
                    <w:tr2bl w:val="nil"/>
                  </w:tcBorders>
                  <w:vAlign w:val="center"/>
                </w:tcPr>
                <w:p w14:paraId="1443DFBC">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p>
              </w:tc>
              <w:tc>
                <w:tcPr>
                  <w:tcW w:w="390" w:type="dxa"/>
                  <w:tcBorders>
                    <w:tl2br w:val="nil"/>
                    <w:tr2bl w:val="nil"/>
                  </w:tcBorders>
                  <w:vAlign w:val="center"/>
                </w:tcPr>
                <w:p w14:paraId="7CB2AF3C">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546" w:type="dxa"/>
                  <w:tcBorders>
                    <w:tl2br w:val="nil"/>
                    <w:tr2bl w:val="nil"/>
                  </w:tcBorders>
                  <w:vAlign w:val="center"/>
                </w:tcPr>
                <w:p w14:paraId="61F068E1">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4D65D99A">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75</w:t>
                  </w:r>
                </w:p>
              </w:tc>
              <w:tc>
                <w:tcPr>
                  <w:tcW w:w="303" w:type="pct"/>
                  <w:tcBorders>
                    <w:tl2br w:val="nil"/>
                    <w:tr2bl w:val="nil"/>
                  </w:tcBorders>
                  <w:vAlign w:val="center"/>
                </w:tcPr>
                <w:p w14:paraId="17C711FE">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4E74DA43">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053D96B3">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318" w:type="pct"/>
                  <w:tcBorders>
                    <w:tl2br w:val="nil"/>
                    <w:tr2bl w:val="nil"/>
                  </w:tcBorders>
                  <w:vAlign w:val="center"/>
                </w:tcPr>
                <w:p w14:paraId="170DF323">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06D179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142" w:type="pct"/>
                  <w:tcBorders>
                    <w:tl2br w:val="nil"/>
                    <w:tr2bl w:val="nil"/>
                  </w:tcBorders>
                  <w:vAlign w:val="center"/>
                </w:tcPr>
                <w:p w14:paraId="5D4B9F63">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w:t>
                  </w:r>
                </w:p>
              </w:tc>
              <w:tc>
                <w:tcPr>
                  <w:tcW w:w="342" w:type="pct"/>
                  <w:vMerge w:val="continue"/>
                  <w:tcBorders>
                    <w:tl2br w:val="nil"/>
                    <w:tr2bl w:val="nil"/>
                  </w:tcBorders>
                  <w:vAlign w:val="center"/>
                </w:tcPr>
                <w:p w14:paraId="5B9D48AF">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738EF739">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切粒机</w:t>
                  </w:r>
                </w:p>
              </w:tc>
              <w:tc>
                <w:tcPr>
                  <w:tcW w:w="390" w:type="pct"/>
                  <w:tcBorders>
                    <w:tl2br w:val="nil"/>
                    <w:tr2bl w:val="nil"/>
                  </w:tcBorders>
                  <w:vAlign w:val="center"/>
                </w:tcPr>
                <w:p w14:paraId="1D809CD0">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34B5BF0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w:t>
                  </w:r>
                </w:p>
              </w:tc>
              <w:tc>
                <w:tcPr>
                  <w:tcW w:w="487" w:type="pct"/>
                  <w:tcBorders>
                    <w:tl2br w:val="nil"/>
                    <w:tr2bl w:val="nil"/>
                  </w:tcBorders>
                  <w:vAlign w:val="center"/>
                </w:tcPr>
                <w:p w14:paraId="616FF6D4">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2EF47123">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c>
                <w:tcPr>
                  <w:tcW w:w="238" w:type="pct"/>
                  <w:tcBorders>
                    <w:tl2br w:val="nil"/>
                    <w:tr2bl w:val="nil"/>
                  </w:tcBorders>
                  <w:vAlign w:val="center"/>
                </w:tcPr>
                <w:p w14:paraId="3E408EAF">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w:t>
                  </w:r>
                </w:p>
              </w:tc>
              <w:tc>
                <w:tcPr>
                  <w:tcW w:w="390" w:type="dxa"/>
                  <w:tcBorders>
                    <w:tl2br w:val="nil"/>
                    <w:tr2bl w:val="nil"/>
                  </w:tcBorders>
                  <w:vAlign w:val="center"/>
                </w:tcPr>
                <w:p w14:paraId="37448F5D">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546" w:type="dxa"/>
                  <w:tcBorders>
                    <w:tl2br w:val="nil"/>
                    <w:tr2bl w:val="nil"/>
                  </w:tcBorders>
                  <w:vAlign w:val="center"/>
                </w:tcPr>
                <w:p w14:paraId="18CCBC6D">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151D3C77">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85</w:t>
                  </w:r>
                </w:p>
              </w:tc>
              <w:tc>
                <w:tcPr>
                  <w:tcW w:w="303" w:type="pct"/>
                  <w:tcBorders>
                    <w:tl2br w:val="nil"/>
                    <w:tr2bl w:val="nil"/>
                  </w:tcBorders>
                  <w:vAlign w:val="center"/>
                </w:tcPr>
                <w:p w14:paraId="33C94633">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0F16428F">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7F55F956">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318" w:type="pct"/>
                  <w:tcBorders>
                    <w:tl2br w:val="nil"/>
                    <w:tr2bl w:val="nil"/>
                  </w:tcBorders>
                  <w:vAlign w:val="center"/>
                </w:tcPr>
                <w:p w14:paraId="560EB6CE">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13846E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142" w:type="pct"/>
                  <w:tcBorders>
                    <w:tl2br w:val="nil"/>
                    <w:tr2bl w:val="nil"/>
                  </w:tcBorders>
                  <w:vAlign w:val="center"/>
                </w:tcPr>
                <w:p w14:paraId="7EE324D8">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7</w:t>
                  </w:r>
                </w:p>
              </w:tc>
              <w:tc>
                <w:tcPr>
                  <w:tcW w:w="342" w:type="pct"/>
                  <w:vMerge w:val="continue"/>
                  <w:tcBorders>
                    <w:tl2br w:val="nil"/>
                    <w:tr2bl w:val="nil"/>
                  </w:tcBorders>
                  <w:vAlign w:val="center"/>
                </w:tcPr>
                <w:p w14:paraId="02825EE5">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3DB8387C">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脱水机</w:t>
                  </w:r>
                </w:p>
              </w:tc>
              <w:tc>
                <w:tcPr>
                  <w:tcW w:w="390" w:type="pct"/>
                  <w:tcBorders>
                    <w:tl2br w:val="nil"/>
                    <w:tr2bl w:val="nil"/>
                  </w:tcBorders>
                  <w:vAlign w:val="center"/>
                </w:tcPr>
                <w:p w14:paraId="68DE58DC">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274C81EB">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90</w:t>
                  </w:r>
                </w:p>
              </w:tc>
              <w:tc>
                <w:tcPr>
                  <w:tcW w:w="487" w:type="pct"/>
                  <w:tcBorders>
                    <w:tl2br w:val="nil"/>
                    <w:tr2bl w:val="nil"/>
                  </w:tcBorders>
                  <w:vAlign w:val="center"/>
                </w:tcPr>
                <w:p w14:paraId="147F06AD">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65094E3A">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-15</w:t>
                  </w:r>
                </w:p>
              </w:tc>
              <w:tc>
                <w:tcPr>
                  <w:tcW w:w="238" w:type="pct"/>
                  <w:tcBorders>
                    <w:tl2br w:val="nil"/>
                    <w:tr2bl w:val="nil"/>
                  </w:tcBorders>
                  <w:vAlign w:val="center"/>
                </w:tcPr>
                <w:p w14:paraId="6744A54A">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w:t>
                  </w:r>
                </w:p>
              </w:tc>
              <w:tc>
                <w:tcPr>
                  <w:tcW w:w="390" w:type="dxa"/>
                  <w:tcBorders>
                    <w:tl2br w:val="nil"/>
                    <w:tr2bl w:val="nil"/>
                  </w:tcBorders>
                  <w:vAlign w:val="center"/>
                </w:tcPr>
                <w:p w14:paraId="06F3CEAE">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546" w:type="dxa"/>
                  <w:tcBorders>
                    <w:tl2br w:val="nil"/>
                    <w:tr2bl w:val="nil"/>
                  </w:tcBorders>
                  <w:vAlign w:val="center"/>
                </w:tcPr>
                <w:p w14:paraId="7E1EE81E">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33AC0AA8">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85</w:t>
                  </w:r>
                </w:p>
              </w:tc>
              <w:tc>
                <w:tcPr>
                  <w:tcW w:w="303" w:type="pct"/>
                  <w:tcBorders>
                    <w:tl2br w:val="nil"/>
                    <w:tr2bl w:val="nil"/>
                  </w:tcBorders>
                  <w:vAlign w:val="center"/>
                </w:tcPr>
                <w:p w14:paraId="0752F881">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4B524FF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40BE5FC2">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318" w:type="pct"/>
                  <w:tcBorders>
                    <w:tl2br w:val="nil"/>
                    <w:tr2bl w:val="nil"/>
                  </w:tcBorders>
                  <w:vAlign w:val="center"/>
                </w:tcPr>
                <w:p w14:paraId="71C8CDB4">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r w14:paraId="77E92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69" w:hRule="atLeast"/>
                <w:jc w:val="center"/>
              </w:trPr>
              <w:tc>
                <w:tcPr>
                  <w:tcW w:w="142" w:type="pct"/>
                  <w:tcBorders>
                    <w:tl2br w:val="nil"/>
                    <w:tr2bl w:val="nil"/>
                  </w:tcBorders>
                  <w:vAlign w:val="center"/>
                </w:tcPr>
                <w:p w14:paraId="5EAB73E0">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w:t>
                  </w:r>
                </w:p>
              </w:tc>
              <w:tc>
                <w:tcPr>
                  <w:tcW w:w="342" w:type="pct"/>
                  <w:vMerge w:val="continue"/>
                  <w:tcBorders>
                    <w:tl2br w:val="nil"/>
                    <w:tr2bl w:val="nil"/>
                  </w:tcBorders>
                  <w:vAlign w:val="center"/>
                </w:tcPr>
                <w:p w14:paraId="20422DCD">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p>
              </w:tc>
              <w:tc>
                <w:tcPr>
                  <w:tcW w:w="321" w:type="pct"/>
                  <w:tcBorders>
                    <w:tl2br w:val="nil"/>
                    <w:tr2bl w:val="nil"/>
                  </w:tcBorders>
                  <w:vAlign w:val="center"/>
                </w:tcPr>
                <w:p w14:paraId="04764D98">
                  <w:pPr>
                    <w:pStyle w:val="55"/>
                    <w:keepNext w:val="0"/>
                    <w:keepLines w:val="0"/>
                    <w:pageBreakBefore w:val="0"/>
                    <w:widowControl w:val="0"/>
                    <w:kinsoku/>
                    <w:wordWrap/>
                    <w:overflowPunct/>
                    <w:topLinePunct w:val="0"/>
                    <w:autoSpaceDE/>
                    <w:autoSpaceDN/>
                    <w:bidi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烘干机</w:t>
                  </w:r>
                </w:p>
              </w:tc>
              <w:tc>
                <w:tcPr>
                  <w:tcW w:w="390" w:type="pct"/>
                  <w:tcBorders>
                    <w:tl2br w:val="nil"/>
                    <w:tr2bl w:val="nil"/>
                  </w:tcBorders>
                  <w:vAlign w:val="center"/>
                </w:tcPr>
                <w:p w14:paraId="27458CDC">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w:t>
                  </w:r>
                </w:p>
              </w:tc>
              <w:tc>
                <w:tcPr>
                  <w:tcW w:w="457" w:type="pct"/>
                  <w:tcBorders>
                    <w:tl2br w:val="nil"/>
                    <w:tr2bl w:val="nil"/>
                  </w:tcBorders>
                  <w:vAlign w:val="center"/>
                </w:tcPr>
                <w:p w14:paraId="52ACE2AF">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85</w:t>
                  </w:r>
                </w:p>
              </w:tc>
              <w:tc>
                <w:tcPr>
                  <w:tcW w:w="487" w:type="pct"/>
                  <w:tcBorders>
                    <w:tl2br w:val="nil"/>
                    <w:tr2bl w:val="nil"/>
                  </w:tcBorders>
                  <w:vAlign w:val="center"/>
                </w:tcPr>
                <w:p w14:paraId="462B2C53">
                  <w:pPr>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减震、隔声</w:t>
                  </w:r>
                </w:p>
              </w:tc>
              <w:tc>
                <w:tcPr>
                  <w:tcW w:w="241" w:type="pct"/>
                  <w:tcBorders>
                    <w:tl2br w:val="nil"/>
                    <w:tr2bl w:val="nil"/>
                  </w:tcBorders>
                  <w:vAlign w:val="center"/>
                </w:tcPr>
                <w:p w14:paraId="2E9CCF82">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-13</w:t>
                  </w:r>
                </w:p>
              </w:tc>
              <w:tc>
                <w:tcPr>
                  <w:tcW w:w="238" w:type="pct"/>
                  <w:tcBorders>
                    <w:tl2br w:val="nil"/>
                    <w:tr2bl w:val="nil"/>
                  </w:tcBorders>
                  <w:vAlign w:val="center"/>
                </w:tcPr>
                <w:p w14:paraId="2ECCB3F7">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w:t>
                  </w:r>
                </w:p>
              </w:tc>
              <w:tc>
                <w:tcPr>
                  <w:tcW w:w="390" w:type="dxa"/>
                  <w:tcBorders>
                    <w:tl2br w:val="nil"/>
                    <w:tr2bl w:val="nil"/>
                  </w:tcBorders>
                  <w:vAlign w:val="center"/>
                </w:tcPr>
                <w:p w14:paraId="734C7DB5">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546" w:type="dxa"/>
                  <w:tcBorders>
                    <w:tl2br w:val="nil"/>
                    <w:tr2bl w:val="nil"/>
                  </w:tcBorders>
                  <w:vAlign w:val="center"/>
                </w:tcPr>
                <w:p w14:paraId="405A5ACF">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402" w:type="pct"/>
                  <w:tcBorders>
                    <w:tl2br w:val="nil"/>
                    <w:tr2bl w:val="nil"/>
                  </w:tcBorders>
                  <w:vAlign w:val="center"/>
                </w:tcPr>
                <w:p w14:paraId="4D8A7A78">
                  <w:pPr>
                    <w:pStyle w:val="7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80</w:t>
                  </w:r>
                </w:p>
              </w:tc>
              <w:tc>
                <w:tcPr>
                  <w:tcW w:w="303" w:type="pct"/>
                  <w:tcBorders>
                    <w:tl2br w:val="nil"/>
                    <w:tr2bl w:val="nil"/>
                  </w:tcBorders>
                  <w:vAlign w:val="center"/>
                </w:tcPr>
                <w:p w14:paraId="787084E9">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间歇</w:t>
                  </w:r>
                </w:p>
              </w:tc>
              <w:tc>
                <w:tcPr>
                  <w:tcW w:w="409" w:type="pct"/>
                  <w:tcBorders>
                    <w:tl2br w:val="nil"/>
                    <w:tr2bl w:val="nil"/>
                  </w:tcBorders>
                  <w:vAlign w:val="center"/>
                </w:tcPr>
                <w:p w14:paraId="74D76532">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w:t>
                  </w:r>
                </w:p>
              </w:tc>
              <w:tc>
                <w:tcPr>
                  <w:tcW w:w="366" w:type="pct"/>
                  <w:tcBorders>
                    <w:tl2br w:val="nil"/>
                    <w:tr2bl w:val="nil"/>
                  </w:tcBorders>
                  <w:vAlign w:val="center"/>
                </w:tcPr>
                <w:p w14:paraId="5D4B40C0">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318" w:type="pct"/>
                  <w:tcBorders>
                    <w:tl2br w:val="nil"/>
                    <w:tr2bl w:val="nil"/>
                  </w:tcBorders>
                  <w:vAlign w:val="center"/>
                </w:tcPr>
                <w:p w14:paraId="1B6E178B">
                  <w:pPr>
                    <w:pStyle w:val="77"/>
                    <w:keepNext w:val="0"/>
                    <w:keepLines w:val="0"/>
                    <w:pageBreakBefore w:val="0"/>
                    <w:widowControl w:val="0"/>
                    <w:kinsoku/>
                    <w:wordWrap/>
                    <w:overflowPunct/>
                    <w:topLinePunct w:val="0"/>
                    <w:autoSpaceDE/>
                    <w:autoSpaceDN/>
                    <w:bidi w:val="0"/>
                    <w:adjustRightInd/>
                    <w:snapToGrid w:val="0"/>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r>
          </w:tbl>
          <w:p w14:paraId="63749FB9">
            <w:pPr>
              <w:keepNext w:val="0"/>
              <w:keepLines w:val="0"/>
              <w:pageBreakBefore w:val="0"/>
              <w:widowControl w:val="0"/>
              <w:tabs>
                <w:tab w:val="left" w:pos="0"/>
              </w:tabs>
              <w:kinsoku/>
              <w:wordWrap/>
              <w:overflowPunct/>
              <w:topLinePunct w:val="0"/>
              <w:autoSpaceDE/>
              <w:autoSpaceDN/>
              <w:bidi w:val="0"/>
              <w:adjustRightInd w:val="0"/>
              <w:snapToGrid w:val="0"/>
              <w:spacing w:before="157" w:beforeLines="50" w:line="240" w:lineRule="auto"/>
              <w:ind w:lef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default" w:ascii="Times New Roman" w:hAnsi="Times New Roman" w:eastAsia="宋体" w:cs="Times New Roman"/>
                <w:b/>
                <w:color w:val="000000" w:themeColor="text1"/>
                <w:kern w:val="0"/>
                <w:sz w:val="21"/>
                <w:szCs w:val="21"/>
                <w:lang w:val="en-US" w:eastAsia="zh-CN"/>
              </w:rPr>
              <w:t>2</w:t>
            </w:r>
            <w:r>
              <w:rPr>
                <w:rFonts w:hint="eastAsia" w:ascii="Times New Roman" w:hAnsi="Times New Roman" w:eastAsia="宋体" w:cs="Times New Roman"/>
                <w:b/>
                <w:color w:val="000000" w:themeColor="text1"/>
                <w:kern w:val="0"/>
                <w:sz w:val="21"/>
                <w:szCs w:val="21"/>
                <w:lang w:val="en-US" w:eastAsia="zh-CN"/>
              </w:rPr>
              <w:t>2</w:t>
            </w:r>
            <w:r>
              <w:rPr>
                <w:rFonts w:hint="default" w:ascii="Times New Roman" w:hAnsi="Times New Roman" w:eastAsia="宋体" w:cs="Times New Roman"/>
                <w:b/>
                <w:color w:val="000000" w:themeColor="text1"/>
                <w:kern w:val="0"/>
                <w:sz w:val="21"/>
                <w:szCs w:val="21"/>
                <w:lang w:val="en-US" w:eastAsia="zh-CN"/>
              </w:rPr>
              <w:t xml:space="preserve"> </w:t>
            </w:r>
            <w:r>
              <w:rPr>
                <w:rFonts w:hint="default" w:ascii="Times New Roman" w:hAnsi="Times New Roman" w:eastAsia="宋体" w:cs="Times New Roman"/>
                <w:b/>
                <w:bCs/>
                <w:color w:val="000000" w:themeColor="text1"/>
                <w:sz w:val="21"/>
                <w:szCs w:val="21"/>
              </w:rPr>
              <w:t xml:space="preserve"> 主要产噪设备及源强表</w:t>
            </w:r>
            <w:r>
              <w:rPr>
                <w:rFonts w:hint="default" w:ascii="Times New Roman" w:hAnsi="Times New Roman" w:eastAsia="宋体" w:cs="Times New Roman"/>
                <w:b/>
                <w:color w:val="000000" w:themeColor="text1"/>
                <w:kern w:val="0"/>
                <w:sz w:val="21"/>
                <w:szCs w:val="21"/>
                <w:lang w:val="en-US" w:eastAsia="zh-CN"/>
              </w:rPr>
              <w:t xml:space="preserve">（室外声源） </w:t>
            </w:r>
            <w:r>
              <w:rPr>
                <w:rFonts w:hint="default" w:ascii="Times New Roman" w:hAnsi="Times New Roman" w:eastAsia="宋体" w:cs="Times New Roman"/>
                <w:b/>
                <w:bCs/>
                <w:color w:val="000000" w:themeColor="text1"/>
                <w:sz w:val="21"/>
                <w:szCs w:val="21"/>
              </w:rPr>
              <w:t xml:space="preserve">  单位：dB（A）</w:t>
            </w:r>
          </w:p>
          <w:tbl>
            <w:tblPr>
              <w:tblStyle w:val="131"/>
              <w:tblW w:w="7896" w:type="dxa"/>
              <w:jc w:val="center"/>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Layout w:type="fixed"/>
              <w:tblCellMar>
                <w:top w:w="0" w:type="dxa"/>
                <w:left w:w="0" w:type="dxa"/>
                <w:bottom w:w="0" w:type="dxa"/>
                <w:right w:w="0" w:type="dxa"/>
              </w:tblCellMar>
            </w:tblPr>
            <w:tblGrid>
              <w:gridCol w:w="457"/>
              <w:gridCol w:w="743"/>
              <w:gridCol w:w="766"/>
              <w:gridCol w:w="674"/>
              <w:gridCol w:w="825"/>
              <w:gridCol w:w="795"/>
              <w:gridCol w:w="1766"/>
              <w:gridCol w:w="1094"/>
              <w:gridCol w:w="776"/>
            </w:tblGrid>
            <w:tr w14:paraId="58AEB3FB">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PrEx>
              <w:trPr>
                <w:trHeight w:val="415" w:hRule="atLeast"/>
                <w:jc w:val="center"/>
              </w:trPr>
              <w:tc>
                <w:tcPr>
                  <w:tcW w:w="457" w:type="dxa"/>
                  <w:vMerge w:val="restart"/>
                  <w:tcBorders>
                    <w:tl2br w:val="nil"/>
                    <w:tr2bl w:val="nil"/>
                  </w:tcBorders>
                  <w:vAlign w:val="center"/>
                </w:tcPr>
                <w:p w14:paraId="361B09E2">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743" w:type="dxa"/>
                  <w:vMerge w:val="restart"/>
                  <w:tcBorders>
                    <w:tl2br w:val="nil"/>
                    <w:tr2bl w:val="nil"/>
                  </w:tcBorders>
                  <w:vAlign w:val="center"/>
                </w:tcPr>
                <w:p w14:paraId="6FF523F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声源名称</w:t>
                  </w:r>
                </w:p>
              </w:tc>
              <w:tc>
                <w:tcPr>
                  <w:tcW w:w="766" w:type="dxa"/>
                  <w:vMerge w:val="restart"/>
                  <w:tcBorders>
                    <w:tl2br w:val="nil"/>
                    <w:tr2bl w:val="nil"/>
                  </w:tcBorders>
                  <w:vAlign w:val="center"/>
                </w:tcPr>
                <w:p w14:paraId="294AFE7E">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型号</w:t>
                  </w:r>
                </w:p>
              </w:tc>
              <w:tc>
                <w:tcPr>
                  <w:tcW w:w="2294" w:type="dxa"/>
                  <w:gridSpan w:val="3"/>
                  <w:tcBorders>
                    <w:tl2br w:val="nil"/>
                    <w:tr2bl w:val="nil"/>
                  </w:tcBorders>
                  <w:vAlign w:val="center"/>
                </w:tcPr>
                <w:p w14:paraId="429507B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空间相对位置/m</w:t>
                  </w:r>
                </w:p>
              </w:tc>
              <w:tc>
                <w:tcPr>
                  <w:tcW w:w="1766" w:type="dxa"/>
                  <w:tcBorders>
                    <w:tl2br w:val="nil"/>
                    <w:tr2bl w:val="nil"/>
                  </w:tcBorders>
                  <w:vAlign w:val="center"/>
                </w:tcPr>
                <w:p w14:paraId="782F2821">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声源源强(任选一种)</w:t>
                  </w:r>
                </w:p>
              </w:tc>
              <w:tc>
                <w:tcPr>
                  <w:tcW w:w="1094" w:type="dxa"/>
                  <w:vMerge w:val="restart"/>
                  <w:tcBorders>
                    <w:tl2br w:val="nil"/>
                    <w:tr2bl w:val="nil"/>
                  </w:tcBorders>
                  <w:vAlign w:val="center"/>
                </w:tcPr>
                <w:p w14:paraId="7BCDFC0B">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声源控制措施</w:t>
                  </w:r>
                </w:p>
              </w:tc>
              <w:tc>
                <w:tcPr>
                  <w:tcW w:w="776" w:type="dxa"/>
                  <w:vMerge w:val="restart"/>
                  <w:tcBorders>
                    <w:tl2br w:val="nil"/>
                    <w:tr2bl w:val="nil"/>
                  </w:tcBorders>
                  <w:vAlign w:val="center"/>
                </w:tcPr>
                <w:p w14:paraId="6F30C8D1">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运行时段</w:t>
                  </w:r>
                </w:p>
              </w:tc>
            </w:tr>
            <w:tr w14:paraId="234732E2">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513" w:hRule="atLeast"/>
                <w:jc w:val="center"/>
              </w:trPr>
              <w:tc>
                <w:tcPr>
                  <w:tcW w:w="457" w:type="dxa"/>
                  <w:vMerge w:val="continue"/>
                  <w:tcBorders>
                    <w:tl2br w:val="nil"/>
                    <w:tr2bl w:val="nil"/>
                  </w:tcBorders>
                  <w:vAlign w:val="center"/>
                </w:tcPr>
                <w:p w14:paraId="6B3DD0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c>
                <w:tcPr>
                  <w:tcW w:w="743" w:type="dxa"/>
                  <w:vMerge w:val="continue"/>
                  <w:tcBorders>
                    <w:tl2br w:val="nil"/>
                    <w:tr2bl w:val="nil"/>
                  </w:tcBorders>
                  <w:vAlign w:val="center"/>
                </w:tcPr>
                <w:p w14:paraId="07B4405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c>
                <w:tcPr>
                  <w:tcW w:w="766" w:type="dxa"/>
                  <w:vMerge w:val="continue"/>
                  <w:tcBorders>
                    <w:tl2br w:val="nil"/>
                    <w:tr2bl w:val="nil"/>
                  </w:tcBorders>
                  <w:vAlign w:val="center"/>
                </w:tcPr>
                <w:p w14:paraId="529E7C0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c>
                <w:tcPr>
                  <w:tcW w:w="674" w:type="dxa"/>
                  <w:tcBorders>
                    <w:tl2br w:val="nil"/>
                    <w:tr2bl w:val="nil"/>
                  </w:tcBorders>
                  <w:vAlign w:val="center"/>
                </w:tcPr>
                <w:p w14:paraId="3A7D1EC2">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X</w:t>
                  </w:r>
                </w:p>
              </w:tc>
              <w:tc>
                <w:tcPr>
                  <w:tcW w:w="825" w:type="dxa"/>
                  <w:tcBorders>
                    <w:tl2br w:val="nil"/>
                    <w:tr2bl w:val="nil"/>
                  </w:tcBorders>
                  <w:vAlign w:val="center"/>
                </w:tcPr>
                <w:p w14:paraId="5631B5F2">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Y</w:t>
                  </w:r>
                </w:p>
              </w:tc>
              <w:tc>
                <w:tcPr>
                  <w:tcW w:w="795" w:type="dxa"/>
                  <w:tcBorders>
                    <w:tl2br w:val="nil"/>
                    <w:tr2bl w:val="nil"/>
                  </w:tcBorders>
                  <w:vAlign w:val="center"/>
                </w:tcPr>
                <w:p w14:paraId="6D4B1543">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Z</w:t>
                  </w:r>
                </w:p>
              </w:tc>
              <w:tc>
                <w:tcPr>
                  <w:tcW w:w="1766" w:type="dxa"/>
                  <w:tcBorders>
                    <w:tl2br w:val="nil"/>
                    <w:tr2bl w:val="nil"/>
                  </w:tcBorders>
                  <w:vAlign w:val="center"/>
                </w:tcPr>
                <w:p w14:paraId="3D0E6695">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声功率级/dB(A</w:t>
                  </w:r>
                </w:p>
              </w:tc>
              <w:tc>
                <w:tcPr>
                  <w:tcW w:w="1094" w:type="dxa"/>
                  <w:vMerge w:val="continue"/>
                  <w:tcBorders>
                    <w:tl2br w:val="nil"/>
                    <w:tr2bl w:val="nil"/>
                  </w:tcBorders>
                  <w:vAlign w:val="center"/>
                </w:tcPr>
                <w:p w14:paraId="12EE879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c>
                <w:tcPr>
                  <w:tcW w:w="776" w:type="dxa"/>
                  <w:vMerge w:val="continue"/>
                  <w:tcBorders>
                    <w:tl2br w:val="nil"/>
                    <w:tr2bl w:val="nil"/>
                  </w:tcBorders>
                  <w:vAlign w:val="center"/>
                </w:tcPr>
                <w:p w14:paraId="00BE34A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textAlignment w:val="auto"/>
                    <w:rPr>
                      <w:rFonts w:hint="default" w:ascii="Times New Roman" w:hAnsi="Times New Roman" w:eastAsia="宋体" w:cs="Times New Roman"/>
                      <w:color w:val="000000" w:themeColor="text1"/>
                      <w:sz w:val="21"/>
                      <w:szCs w:val="21"/>
                    </w:rPr>
                  </w:pPr>
                </w:p>
              </w:tc>
            </w:tr>
            <w:tr w14:paraId="651740CC">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376" w:hRule="atLeast"/>
                <w:jc w:val="center"/>
              </w:trPr>
              <w:tc>
                <w:tcPr>
                  <w:tcW w:w="457" w:type="dxa"/>
                  <w:tcBorders>
                    <w:tl2br w:val="nil"/>
                    <w:tr2bl w:val="nil"/>
                  </w:tcBorders>
                  <w:vAlign w:val="center"/>
                </w:tcPr>
                <w:p w14:paraId="59536C8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743" w:type="dxa"/>
                  <w:tcBorders>
                    <w:tl2br w:val="nil"/>
                    <w:tr2bl w:val="nil"/>
                  </w:tcBorders>
                  <w:vAlign w:val="center"/>
                </w:tcPr>
                <w:p w14:paraId="570D455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风机</w:t>
                  </w:r>
                </w:p>
              </w:tc>
              <w:tc>
                <w:tcPr>
                  <w:tcW w:w="766" w:type="dxa"/>
                  <w:tcBorders>
                    <w:tl2br w:val="nil"/>
                    <w:tr2bl w:val="nil"/>
                  </w:tcBorders>
                  <w:vAlign w:val="center"/>
                </w:tcPr>
                <w:p w14:paraId="27DF3C2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TY-500</w:t>
                  </w:r>
                </w:p>
              </w:tc>
              <w:tc>
                <w:tcPr>
                  <w:tcW w:w="674" w:type="dxa"/>
                  <w:tcBorders>
                    <w:tl2br w:val="nil"/>
                    <w:tr2bl w:val="nil"/>
                  </w:tcBorders>
                  <w:vAlign w:val="center"/>
                </w:tcPr>
                <w:p w14:paraId="4A3D29C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w:t>
                  </w:r>
                </w:p>
              </w:tc>
              <w:tc>
                <w:tcPr>
                  <w:tcW w:w="825" w:type="dxa"/>
                  <w:tcBorders>
                    <w:tl2br w:val="nil"/>
                    <w:tr2bl w:val="nil"/>
                  </w:tcBorders>
                  <w:vAlign w:val="center"/>
                </w:tcPr>
                <w:p w14:paraId="4175E75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-8</w:t>
                  </w:r>
                </w:p>
              </w:tc>
              <w:tc>
                <w:tcPr>
                  <w:tcW w:w="795" w:type="dxa"/>
                  <w:tcBorders>
                    <w:tl2br w:val="nil"/>
                    <w:tr2bl w:val="nil"/>
                  </w:tcBorders>
                  <w:vAlign w:val="center"/>
                </w:tcPr>
                <w:p w14:paraId="16C3B86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766" w:type="dxa"/>
                  <w:tcBorders>
                    <w:tl2br w:val="nil"/>
                    <w:tr2bl w:val="nil"/>
                  </w:tcBorders>
                  <w:vAlign w:val="center"/>
                </w:tcPr>
                <w:p w14:paraId="6D7BBF5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90</w:t>
                  </w:r>
                </w:p>
              </w:tc>
              <w:tc>
                <w:tcPr>
                  <w:tcW w:w="1094" w:type="dxa"/>
                  <w:tcBorders>
                    <w:tl2br w:val="nil"/>
                    <w:tr2bl w:val="nil"/>
                  </w:tcBorders>
                  <w:vAlign w:val="center"/>
                </w:tcPr>
                <w:p w14:paraId="686ACEA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减振等</w:t>
                  </w:r>
                </w:p>
              </w:tc>
              <w:tc>
                <w:tcPr>
                  <w:tcW w:w="776" w:type="dxa"/>
                  <w:tcBorders>
                    <w:tl2br w:val="nil"/>
                    <w:tr2bl w:val="nil"/>
                  </w:tcBorders>
                  <w:vAlign w:val="center"/>
                </w:tcPr>
                <w:p w14:paraId="44E615B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昼间</w:t>
                  </w:r>
                </w:p>
              </w:tc>
            </w:tr>
            <w:tr w14:paraId="03F69E42">
              <w:tblPrEx>
                <w:tblBorders>
                  <w:top w:val="single" w:color="auto" w:sz="12" w:space="0"/>
                  <w:left w:val="none" w:color="auto" w:sz="0" w:space="0"/>
                  <w:bottom w:val="single" w:color="auto" w:sz="12" w:space="0"/>
                  <w:right w:val="none" w:color="auto" w:sz="0" w:space="0"/>
                  <w:insideH w:val="single" w:color="auto" w:sz="4" w:space="0"/>
                  <w:insideV w:val="single" w:color="000000" w:sz="2" w:space="0"/>
                </w:tblBorders>
                <w:tblCellMar>
                  <w:top w:w="0" w:type="dxa"/>
                  <w:left w:w="0" w:type="dxa"/>
                  <w:bottom w:w="0" w:type="dxa"/>
                  <w:right w:w="0" w:type="dxa"/>
                </w:tblCellMar>
              </w:tblPrEx>
              <w:trPr>
                <w:trHeight w:val="376" w:hRule="atLeast"/>
                <w:jc w:val="center"/>
              </w:trPr>
              <w:tc>
                <w:tcPr>
                  <w:tcW w:w="457" w:type="dxa"/>
                  <w:tcBorders>
                    <w:tl2br w:val="nil"/>
                    <w:tr2bl w:val="nil"/>
                  </w:tcBorders>
                  <w:vAlign w:val="center"/>
                </w:tcPr>
                <w:p w14:paraId="4BD0AEF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2</w:t>
                  </w:r>
                </w:p>
              </w:tc>
              <w:tc>
                <w:tcPr>
                  <w:tcW w:w="743" w:type="dxa"/>
                  <w:tcBorders>
                    <w:tl2br w:val="nil"/>
                    <w:tr2bl w:val="nil"/>
                  </w:tcBorders>
                  <w:vAlign w:val="center"/>
                </w:tcPr>
                <w:p w14:paraId="79975D7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风机</w:t>
                  </w:r>
                </w:p>
              </w:tc>
              <w:tc>
                <w:tcPr>
                  <w:tcW w:w="766" w:type="dxa"/>
                  <w:tcBorders>
                    <w:tl2br w:val="nil"/>
                    <w:tr2bl w:val="nil"/>
                  </w:tcBorders>
                  <w:vAlign w:val="center"/>
                </w:tcPr>
                <w:p w14:paraId="6DF5118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TY-500</w:t>
                  </w:r>
                </w:p>
              </w:tc>
              <w:tc>
                <w:tcPr>
                  <w:tcW w:w="674" w:type="dxa"/>
                  <w:tcBorders>
                    <w:tl2br w:val="nil"/>
                    <w:tr2bl w:val="nil"/>
                  </w:tcBorders>
                  <w:vAlign w:val="center"/>
                </w:tcPr>
                <w:p w14:paraId="3F4215D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-19</w:t>
                  </w:r>
                </w:p>
              </w:tc>
              <w:tc>
                <w:tcPr>
                  <w:tcW w:w="825" w:type="dxa"/>
                  <w:tcBorders>
                    <w:tl2br w:val="nil"/>
                    <w:tr2bl w:val="nil"/>
                  </w:tcBorders>
                  <w:vAlign w:val="center"/>
                </w:tcPr>
                <w:p w14:paraId="75B5190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w:t>
                  </w:r>
                </w:p>
              </w:tc>
              <w:tc>
                <w:tcPr>
                  <w:tcW w:w="795" w:type="dxa"/>
                  <w:tcBorders>
                    <w:tl2br w:val="nil"/>
                    <w:tr2bl w:val="nil"/>
                  </w:tcBorders>
                  <w:vAlign w:val="center"/>
                </w:tcPr>
                <w:p w14:paraId="39EA7FB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w:t>
                  </w:r>
                </w:p>
              </w:tc>
              <w:tc>
                <w:tcPr>
                  <w:tcW w:w="1766" w:type="dxa"/>
                  <w:tcBorders>
                    <w:tl2br w:val="nil"/>
                    <w:tr2bl w:val="nil"/>
                  </w:tcBorders>
                  <w:vAlign w:val="center"/>
                </w:tcPr>
                <w:p w14:paraId="38797D0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90</w:t>
                  </w:r>
                </w:p>
              </w:tc>
              <w:tc>
                <w:tcPr>
                  <w:tcW w:w="1094" w:type="dxa"/>
                  <w:tcBorders>
                    <w:tl2br w:val="nil"/>
                    <w:tr2bl w:val="nil"/>
                  </w:tcBorders>
                  <w:vAlign w:val="center"/>
                </w:tcPr>
                <w:p w14:paraId="10A4D38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减振等</w:t>
                  </w:r>
                </w:p>
              </w:tc>
              <w:tc>
                <w:tcPr>
                  <w:tcW w:w="776" w:type="dxa"/>
                  <w:tcBorders>
                    <w:tl2br w:val="nil"/>
                    <w:tr2bl w:val="nil"/>
                  </w:tcBorders>
                  <w:vAlign w:val="center"/>
                </w:tcPr>
                <w:p w14:paraId="07FE944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昼间</w:t>
                  </w:r>
                </w:p>
              </w:tc>
            </w:tr>
          </w:tbl>
          <w:p w14:paraId="71AF0EFC">
            <w:pPr>
              <w:spacing w:before="240"/>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（2）噪声预测影响分析</w:t>
            </w:r>
          </w:p>
          <w:p w14:paraId="3E64B531">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项目噪声来源于本项目噪声源主要为</w:t>
            </w:r>
            <w:r>
              <w:rPr>
                <w:rFonts w:hint="eastAsia" w:cs="Times New Roman"/>
                <w:color w:val="000000" w:themeColor="text1"/>
                <w:kern w:val="0"/>
                <w:lang w:val="en-US" w:eastAsia="zh-CN"/>
              </w:rPr>
              <w:t>烘干机、热风炉、脱水机、挤出机、造粒机、切粒机、搅拌机、废气处理风机</w:t>
            </w:r>
            <w:r>
              <w:rPr>
                <w:rFonts w:hint="default" w:ascii="Times New Roman" w:hAnsi="Times New Roman" w:eastAsia="宋体" w:cs="Times New Roman"/>
                <w:color w:val="000000" w:themeColor="text1"/>
              </w:rPr>
              <w:t>等机器等设备运行噪声，噪声级约在</w:t>
            </w:r>
            <w:r>
              <w:rPr>
                <w:rFonts w:hint="eastAsia" w:cs="Times New Roman"/>
                <w:color w:val="000000" w:themeColor="text1"/>
                <w:lang w:val="en-US" w:eastAsia="zh-CN"/>
              </w:rPr>
              <w:t>85</w:t>
            </w:r>
            <w:r>
              <w:rPr>
                <w:rFonts w:hint="default" w:ascii="Times New Roman" w:hAnsi="Times New Roman" w:eastAsia="宋体" w:cs="Times New Roman"/>
                <w:color w:val="000000" w:themeColor="text1"/>
              </w:rPr>
              <w:t>~</w:t>
            </w:r>
            <w:r>
              <w:rPr>
                <w:rFonts w:hint="eastAsia" w:cs="Times New Roman"/>
                <w:color w:val="000000" w:themeColor="text1"/>
                <w:lang w:val="en-US" w:eastAsia="zh-CN"/>
              </w:rPr>
              <w:t>95</w:t>
            </w:r>
            <w:r>
              <w:rPr>
                <w:rFonts w:hint="default" w:ascii="Times New Roman" w:hAnsi="Times New Roman" w:eastAsia="宋体" w:cs="Times New Roman"/>
                <w:color w:val="000000" w:themeColor="text1"/>
              </w:rPr>
              <w:t>dB（A）。选用低噪声型设备，设备安装消声器和橡胶隔振垫，房间墙体材料采取相应的消声、隔声、吸声等措施。</w:t>
            </w:r>
            <w:r>
              <w:rPr>
                <w:rFonts w:hint="default" w:ascii="Times New Roman" w:hAnsi="Times New Roman" w:eastAsia="宋体" w:cs="Times New Roman"/>
                <w:color w:val="000000" w:themeColor="text1"/>
                <w:lang w:val="zh-CN"/>
              </w:rPr>
              <w:t>采取上述噪声处理措施后</w:t>
            </w:r>
            <w:r>
              <w:rPr>
                <w:rFonts w:hint="default" w:ascii="Times New Roman" w:hAnsi="Times New Roman" w:eastAsia="宋体" w:cs="Times New Roman"/>
                <w:color w:val="000000" w:themeColor="text1"/>
              </w:rPr>
              <w:t>，噪声值可降低≥</w:t>
            </w:r>
            <w:r>
              <w:rPr>
                <w:rFonts w:hint="eastAsia" w:cs="Times New Roman"/>
                <w:color w:val="000000" w:themeColor="text1"/>
                <w:lang w:val="en-US" w:eastAsia="zh-CN"/>
              </w:rPr>
              <w:t>2</w:t>
            </w:r>
            <w:r>
              <w:rPr>
                <w:rFonts w:hint="default" w:ascii="Times New Roman" w:hAnsi="Times New Roman" w:eastAsia="宋体" w:cs="Times New Roman"/>
                <w:color w:val="000000" w:themeColor="text1"/>
              </w:rPr>
              <w:t>5dB</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再经过墙壁隔声和距离衰减后，能够确保厂界噪声排放达标，对周围声环境影响较小。从噪声源到受声点的噪声总衰减量，是由噪声源到受声点的距离、墙体隔声量、空气吸收及建筑屏障的衰减综合而成，本预测只考虑距离的衰减和建筑墙体的隔声量，空气吸收因本建设项目噪声源离预测点较近而忽略不计，同时将项目主要噪声源看作1个点源进行预测，具体预测模式如下：</w:t>
            </w:r>
          </w:p>
          <w:p w14:paraId="288FEAC4">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①单声源声压级的预测</w:t>
            </w:r>
          </w:p>
          <w:p w14:paraId="6DD750A1">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将噪声源视为点源，以球面波传播，预测计算式为：</w:t>
            </w:r>
          </w:p>
          <w:p w14:paraId="1D7AE43D">
            <w:pPr>
              <w:ind w:firstLine="600" w:firstLineChars="25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0" o:spt="75" type="#_x0000_t75" style="height:18pt;width:132pt;" o:ole="t" fillcolor="#6D6D6D" filled="f" o:preferrelative="t" stroked="f" coordsize="21600,21600">
                  <v:path/>
                  <v:fill on="f" focussize="0,0"/>
                  <v:stroke on="f" joinstyle="miter"/>
                  <v:imagedata r:id="rId52" o:title=""/>
                  <o:lock v:ext="edit" aspectratio="t"/>
                  <w10:wrap type="none"/>
                  <w10:anchorlock/>
                </v:shape>
                <o:OLEObject Type="Embed" ProgID="Equation.3" ShapeID="_x0000_i1040" DrawAspect="Content" ObjectID="_1468075741" r:id="rId51">
                  <o:LockedField>false</o:LockedField>
                </o:OLEObject>
              </w:object>
            </w:r>
          </w:p>
          <w:p w14:paraId="201A01A6">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式中  Lr—距声源r米处的声压级，dB</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w:t>
            </w:r>
          </w:p>
          <w:p w14:paraId="327746F9">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Lr</w:t>
            </w:r>
            <w:r>
              <w:rPr>
                <w:rFonts w:hint="default" w:ascii="Times New Roman" w:hAnsi="Times New Roman" w:eastAsia="宋体" w:cs="Times New Roman"/>
                <w:color w:val="000000" w:themeColor="text1"/>
                <w:vertAlign w:val="subscript"/>
              </w:rPr>
              <w:t>0</w:t>
            </w:r>
            <w:r>
              <w:rPr>
                <w:rFonts w:hint="default" w:ascii="Times New Roman" w:hAnsi="Times New Roman" w:eastAsia="宋体" w:cs="Times New Roman"/>
                <w:color w:val="000000" w:themeColor="text1"/>
              </w:rPr>
              <w:t>—距声源r</w:t>
            </w:r>
            <w:r>
              <w:rPr>
                <w:rFonts w:hint="default" w:ascii="Times New Roman" w:hAnsi="Times New Roman" w:eastAsia="宋体" w:cs="Times New Roman"/>
                <w:color w:val="000000" w:themeColor="text1"/>
                <w:vertAlign w:val="subscript"/>
              </w:rPr>
              <w:t>0</w:t>
            </w:r>
            <w:r>
              <w:rPr>
                <w:rFonts w:hint="default" w:ascii="Times New Roman" w:hAnsi="Times New Roman" w:eastAsia="宋体" w:cs="Times New Roman"/>
                <w:color w:val="000000" w:themeColor="text1"/>
              </w:rPr>
              <w:t>处的声压级，dB</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；（r0取1米）；</w:t>
            </w:r>
          </w:p>
          <w:p w14:paraId="13405DAA">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r —距声源的距离，米；</w:t>
            </w:r>
          </w:p>
          <w:p w14:paraId="7EF187AD">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TL —墙壁隔声量，15dB</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w:t>
            </w:r>
          </w:p>
          <w:p w14:paraId="6CA97973">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②多声源声压级的预测</w:t>
            </w:r>
          </w:p>
          <w:p w14:paraId="7A77A8EA">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在噪声源众多的情况下，某预测点的声压级为各噪声对该受声点的噪声级分贝值</w:t>
            </w:r>
            <w:r>
              <w:rPr>
                <w:rFonts w:hint="eastAsia" w:cs="Times New Roman"/>
                <w:color w:val="000000" w:themeColor="text1"/>
                <w:lang w:eastAsia="zh-CN"/>
              </w:rPr>
              <w:t>叠加</w:t>
            </w:r>
            <w:r>
              <w:rPr>
                <w:rFonts w:hint="default" w:ascii="Times New Roman" w:hAnsi="Times New Roman" w:eastAsia="宋体" w:cs="Times New Roman"/>
                <w:color w:val="000000" w:themeColor="text1"/>
              </w:rPr>
              <w:t>之和。</w:t>
            </w:r>
          </w:p>
          <w:p w14:paraId="7A4CC374">
            <w:pPr>
              <w:ind w:firstLine="600" w:firstLineChars="25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计算式：</w:t>
            </w:r>
            <w:r>
              <w:rPr>
                <w:rFonts w:hint="default" w:ascii="Times New Roman" w:hAnsi="Times New Roman" w:eastAsia="宋体" w:cs="Times New Roman"/>
                <w:color w:val="000000" w:themeColor="text1"/>
              </w:rPr>
              <w:object>
                <v:shape id="_x0000_i1041" o:spt="75" type="#_x0000_t75" style="height:36pt;width:113.25pt;" o:ole="t" fillcolor="#6D6D6D" filled="f" o:preferrelative="t" stroked="f" coordsize="21600,21600">
                  <v:path/>
                  <v:fill on="f" focussize="0,0"/>
                  <v:stroke on="f" joinstyle="miter"/>
                  <v:imagedata r:id="rId54" o:title=""/>
                  <o:lock v:ext="edit" aspectratio="t"/>
                  <w10:wrap type="none"/>
                  <w10:anchorlock/>
                </v:shape>
                <o:OLEObject Type="Embed" ProgID="Equation.3" ShapeID="_x0000_i1041" DrawAspect="Content" ObjectID="_1468075742" r:id="rId53">
                  <o:LockedField>false</o:LockedField>
                </o:OLEObject>
              </w:object>
            </w:r>
          </w:p>
          <w:p w14:paraId="4EE8E9CD">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式中  </w:t>
            </w:r>
            <w:r>
              <w:rPr>
                <w:rFonts w:hint="default" w:ascii="Times New Roman" w:hAnsi="Times New Roman" w:eastAsia="宋体" w:cs="Times New Roman"/>
                <w:color w:val="000000" w:themeColor="text1"/>
              </w:rPr>
              <w:object>
                <v:shape id="_x0000_i1042" o:spt="75" type="#_x0000_t75" style="height:18.75pt;width:18.75pt;" o:ole="t" fillcolor="#6D6D6D" filled="f" o:preferrelative="t" stroked="f" coordsize="21600,21600">
                  <v:path/>
                  <v:fill on="f" focussize="0,0"/>
                  <v:stroke on="f" joinstyle="miter"/>
                  <v:imagedata r:id="rId56" o:title=""/>
                  <o:lock v:ext="edit" aspectratio="t"/>
                  <w10:wrap type="none"/>
                  <w10:anchorlock/>
                </v:shape>
                <o:OLEObject Type="Embed" ProgID="Equation.3" ShapeID="_x0000_i1042" DrawAspect="Content" ObjectID="_1468075743" r:id="rId55">
                  <o:LockedField>false</o:LockedField>
                </o:OLEObject>
              </w:object>
            </w:r>
            <w:r>
              <w:rPr>
                <w:rFonts w:hint="default" w:ascii="Times New Roman" w:hAnsi="Times New Roman" w:eastAsia="宋体" w:cs="Times New Roman"/>
                <w:color w:val="000000" w:themeColor="text1"/>
              </w:rPr>
              <w:t>—某预测点</w:t>
            </w:r>
            <w:r>
              <w:rPr>
                <w:rFonts w:hint="eastAsia" w:cs="Times New Roman"/>
                <w:color w:val="000000" w:themeColor="text1"/>
                <w:lang w:eastAsia="zh-CN"/>
              </w:rPr>
              <w:t>叠加</w:t>
            </w:r>
            <w:r>
              <w:rPr>
                <w:rFonts w:hint="default" w:ascii="Times New Roman" w:hAnsi="Times New Roman" w:eastAsia="宋体" w:cs="Times New Roman"/>
                <w:color w:val="000000" w:themeColor="text1"/>
              </w:rPr>
              <w:t>后的总声压级，分贝</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w:t>
            </w:r>
          </w:p>
          <w:p w14:paraId="0123B1C8">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3" o:spt="75" type="#_x0000_t75" style="height:18.75pt;width:17.25pt;" o:ole="t" fillcolor="#6D6D6D" filled="f" o:preferrelative="t" stroked="f" coordsize="21600,21600">
                  <v:path/>
                  <v:fill on="f" focussize="0,0"/>
                  <v:stroke on="f" joinstyle="miter"/>
                  <v:imagedata r:id="rId58" o:title=""/>
                  <o:lock v:ext="edit" aspectratio="t"/>
                  <w10:wrap type="none"/>
                  <w10:anchorlock/>
                </v:shape>
                <o:OLEObject Type="Embed" ProgID="Equation.3" ShapeID="_x0000_i1043" DrawAspect="Content" ObjectID="_1468075744" r:id="rId57">
                  <o:LockedField>false</o:LockedField>
                </o:OLEObject>
              </w:object>
            </w:r>
            <w:r>
              <w:rPr>
                <w:rFonts w:hint="default" w:ascii="Times New Roman" w:hAnsi="Times New Roman" w:eastAsia="宋体" w:cs="Times New Roman"/>
                <w:color w:val="000000" w:themeColor="text1"/>
              </w:rPr>
              <w:t>—i声源对某预测点的贡献声压级，分贝</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r>
              <w:rPr>
                <w:rFonts w:hint="default" w:ascii="Times New Roman" w:hAnsi="Times New Roman" w:eastAsia="宋体" w:cs="Times New Roman"/>
                <w:color w:val="000000" w:themeColor="text1"/>
              </w:rPr>
              <w:t>。</w:t>
            </w:r>
          </w:p>
          <w:p w14:paraId="16DE76FA">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③厂界噪声衰减扩散预测</w:t>
            </w:r>
          </w:p>
          <w:p w14:paraId="33818542">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根据《环境影响评价技术导则 声环境》HJ/T2.4-20</w:t>
            </w:r>
            <w:r>
              <w:rPr>
                <w:rFonts w:hint="eastAsia" w:cs="Times New Roman"/>
                <w:color w:val="000000" w:themeColor="text1"/>
                <w:lang w:val="en-US" w:eastAsia="zh-CN"/>
              </w:rPr>
              <w:t>21</w:t>
            </w:r>
            <w:r>
              <w:rPr>
                <w:rFonts w:hint="default" w:ascii="Times New Roman" w:hAnsi="Times New Roman" w:eastAsia="宋体" w:cs="Times New Roman"/>
                <w:color w:val="000000" w:themeColor="text1"/>
              </w:rPr>
              <w:t>推荐的噪声户外传播衰减计算的替代方法，即用A声级计算，其计算公式如下：</w:t>
            </w:r>
          </w:p>
          <w:p w14:paraId="7B5C80C7">
            <w:pPr>
              <w:ind w:firstLine="600" w:firstLineChars="250"/>
              <w:jc w:val="center"/>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4" o:spt="75" type="#_x0000_t75" style="height:18pt;width:206.25pt;" o:ole="t" filled="f" o:preferrelative="t" stroked="f" coordsize="21600,21600">
                  <v:path/>
                  <v:fill on="f" focussize="0,0"/>
                  <v:stroke on="f" joinstyle="miter"/>
                  <v:imagedata r:id="rId60" o:title=""/>
                  <o:lock v:ext="edit" aspectratio="t"/>
                  <w10:wrap type="none"/>
                  <w10:anchorlock/>
                </v:shape>
                <o:OLEObject Type="Embed" ProgID="Equation.3" ShapeID="_x0000_i1044" DrawAspect="Content" ObjectID="_1468075745" r:id="rId59">
                  <o:LockedField>false</o:LockedField>
                </o:OLEObject>
              </w:object>
            </w:r>
          </w:p>
          <w:p w14:paraId="4CDAAB1F">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5" o:spt="75" type="#_x0000_t75" style="height:17.25pt;width:9pt;" o:ole="t" filled="f" o:preferrelative="t" stroked="f" coordsize="21600,21600">
                  <v:path/>
                  <v:fill on="f" focussize="0,0"/>
                  <v:stroke on="f" joinstyle="miter"/>
                  <v:imagedata r:id="rId62" o:title=""/>
                  <o:lock v:ext="edit" aspectratio="t"/>
                  <w10:wrap type="none"/>
                  <w10:anchorlock/>
                </v:shape>
                <o:OLEObject Type="Embed" ProgID="Equation.3" ShapeID="_x0000_i1045" DrawAspect="Content" ObjectID="_1468075746" r:id="rId61">
                  <o:LockedField>false</o:LockedField>
                </o:OLEObject>
              </w:object>
            </w:r>
            <w:r>
              <w:rPr>
                <w:rFonts w:hint="default" w:ascii="Times New Roman" w:hAnsi="Times New Roman" w:eastAsia="宋体" w:cs="Times New Roman"/>
                <w:color w:val="000000" w:themeColor="text1"/>
              </w:rPr>
              <w:tab/>
            </w:r>
            <w:r>
              <w:rPr>
                <w:rFonts w:hint="default" w:ascii="Times New Roman" w:hAnsi="Times New Roman" w:eastAsia="宋体" w:cs="Times New Roman"/>
                <w:color w:val="000000" w:themeColor="text1"/>
              </w:rPr>
              <w:t>式中：</w:t>
            </w:r>
            <w:r>
              <w:rPr>
                <w:rFonts w:hint="default" w:ascii="Times New Roman" w:hAnsi="Times New Roman" w:eastAsia="宋体" w:cs="Times New Roman"/>
                <w:color w:val="000000" w:themeColor="text1"/>
              </w:rPr>
              <w:object>
                <v:shape id="_x0000_i1046" o:spt="75" type="#_x0000_t75" style="height:17.25pt;width:30.75pt;" o:ole="t" filled="f" o:preferrelative="t" stroked="f" coordsize="21600,21600">
                  <v:path/>
                  <v:fill on="f" focussize="0,0"/>
                  <v:stroke on="f" joinstyle="miter"/>
                  <v:imagedata r:id="rId64" o:title=""/>
                  <o:lock v:ext="edit" aspectratio="t"/>
                  <w10:wrap type="none"/>
                  <w10:anchorlock/>
                </v:shape>
                <o:OLEObject Type="Embed" ProgID="Equation.3" ShapeID="_x0000_i1046" DrawAspect="Content" ObjectID="_1468075747" r:id="rId63">
                  <o:LockedField>false</o:LockedField>
                </o:OLEObject>
              </w:object>
            </w:r>
            <w:r>
              <w:rPr>
                <w:rFonts w:hint="default" w:ascii="Times New Roman" w:hAnsi="Times New Roman" w:eastAsia="宋体" w:cs="Times New Roman"/>
                <w:color w:val="000000" w:themeColor="text1"/>
              </w:rPr>
              <w:t xml:space="preserve"> —距声源r处的A声级，dB；</w:t>
            </w:r>
          </w:p>
          <w:p w14:paraId="07BE49F3">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7" o:spt="75" type="#_x0000_t75" style="height:18pt;width:35.25pt;" o:ole="t" filled="f" o:preferrelative="t" stroked="f" coordsize="21600,21600">
                  <v:path/>
                  <v:fill on="f" focussize="0,0"/>
                  <v:stroke on="f" joinstyle="miter"/>
                  <v:imagedata r:id="rId66" o:title=""/>
                  <o:lock v:ext="edit" aspectratio="t"/>
                  <w10:wrap type="none"/>
                  <w10:anchorlock/>
                </v:shape>
                <o:OLEObject Type="Embed" ProgID="Equation.3" ShapeID="_x0000_i1047" DrawAspect="Content" ObjectID="_1468075748" r:id="rId65">
                  <o:LockedField>false</o:LockedField>
                </o:OLEObject>
              </w:object>
            </w:r>
            <w:r>
              <w:rPr>
                <w:rFonts w:hint="default" w:ascii="Times New Roman" w:hAnsi="Times New Roman" w:eastAsia="宋体" w:cs="Times New Roman"/>
                <w:color w:val="000000" w:themeColor="text1"/>
              </w:rPr>
              <w:t>—参考位置r0处的A声级，dB；当r0=1m时，</w:t>
            </w:r>
            <w:r>
              <w:rPr>
                <w:rFonts w:hint="default" w:ascii="Times New Roman" w:hAnsi="Times New Roman" w:eastAsia="宋体" w:cs="Times New Roman"/>
                <w:color w:val="000000" w:themeColor="text1"/>
              </w:rPr>
              <w:object>
                <v:shape id="_x0000_i1048" o:spt="75" type="#_x0000_t75" style="height:18pt;width:35.25pt;" o:ole="t" filled="f" o:preferrelative="t" stroked="f" coordsize="21600,21600">
                  <v:path/>
                  <v:fill on="f" focussize="0,0"/>
                  <v:stroke on="f" joinstyle="miter"/>
                  <v:imagedata r:id="rId68" o:title=""/>
                  <o:lock v:ext="edit" aspectratio="t"/>
                  <w10:wrap type="none"/>
                  <w10:anchorlock/>
                </v:shape>
                <o:OLEObject Type="Embed" ProgID="Equation.3" ShapeID="_x0000_i1048" DrawAspect="Content" ObjectID="_1468075749" r:id="rId67">
                  <o:LockedField>false</o:LockedField>
                </o:OLEObject>
              </w:object>
            </w:r>
            <w:r>
              <w:rPr>
                <w:rFonts w:hint="default" w:ascii="Times New Roman" w:hAnsi="Times New Roman" w:eastAsia="宋体" w:cs="Times New Roman"/>
                <w:color w:val="000000" w:themeColor="text1"/>
              </w:rPr>
              <w:t xml:space="preserve"> 即为源强；本项目各车间的综合噪声源强。</w:t>
            </w:r>
          </w:p>
          <w:p w14:paraId="440AC895">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49" o:spt="75" type="#_x0000_t75" style="height:18pt;width:21pt;" o:ole="t" filled="f" o:preferrelative="t" stroked="f" coordsize="21600,21600">
                  <v:path/>
                  <v:fill on="f" focussize="0,0"/>
                  <v:stroke on="f" joinstyle="miter"/>
                  <v:imagedata r:id="rId70" o:title=""/>
                  <o:lock v:ext="edit" aspectratio="t"/>
                  <w10:wrap type="none"/>
                  <w10:anchorlock/>
                </v:shape>
                <o:OLEObject Type="Embed" ProgID="Equation.3" ShapeID="_x0000_i1049" DrawAspect="Content" ObjectID="_1468075750" r:id="rId69">
                  <o:LockedField>false</o:LockedField>
                </o:OLEObject>
              </w:object>
            </w:r>
            <w:r>
              <w:rPr>
                <w:rFonts w:hint="default" w:ascii="Times New Roman" w:hAnsi="Times New Roman" w:eastAsia="宋体" w:cs="Times New Roman"/>
                <w:color w:val="000000" w:themeColor="text1"/>
              </w:rPr>
              <w:t>—声波几何发散引起的A声级衰减量，dB；</w:t>
            </w:r>
          </w:p>
          <w:p w14:paraId="27D8E6FD">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50" o:spt="75" type="#_x0000_t75" style="height:17.25pt;width:9pt;" o:ole="t" filled="f" o:preferrelative="t" stroked="f" coordsize="21600,21600">
                  <v:path/>
                  <v:fill on="f" focussize="0,0"/>
                  <v:stroke on="f" joinstyle="miter"/>
                  <v:imagedata r:id="rId62" o:title=""/>
                  <o:lock v:ext="edit" aspectratio="t"/>
                  <w10:wrap type="none"/>
                  <w10:anchorlock/>
                </v:shape>
                <o:OLEObject Type="Embed" ProgID="Equation.3" ShapeID="_x0000_i1050" DrawAspect="Content" ObjectID="_1468075751" r:id="rId71">
                  <o:LockedField>false</o:LockedField>
                </o:OLEObject>
              </w:object>
            </w:r>
            <w:r>
              <w:rPr>
                <w:rFonts w:hint="default" w:ascii="Times New Roman" w:hAnsi="Times New Roman" w:eastAsia="宋体" w:cs="Times New Roman"/>
                <w:color w:val="000000" w:themeColor="text1"/>
              </w:rPr>
              <w:t xml:space="preserve">              </w:t>
            </w:r>
            <w:r>
              <w:rPr>
                <w:rFonts w:hint="default" w:ascii="Times New Roman" w:hAnsi="Times New Roman" w:eastAsia="宋体" w:cs="Times New Roman"/>
                <w:color w:val="000000" w:themeColor="text1"/>
              </w:rPr>
              <w:object>
                <v:shape id="_x0000_i1051" o:spt="75" type="#_x0000_t75" style="height:18pt;width:87.75pt;" o:ole="t" filled="f" o:preferrelative="t" stroked="f" coordsize="21600,21600">
                  <v:path/>
                  <v:fill on="f" focussize="0,0"/>
                  <v:stroke on="f" joinstyle="miter"/>
                  <v:imagedata r:id="rId73" o:title=""/>
                  <o:lock v:ext="edit" aspectratio="t"/>
                  <w10:wrap type="none"/>
                  <w10:anchorlock/>
                </v:shape>
                <o:OLEObject Type="Embed" ProgID="Equation.3" ShapeID="_x0000_i1051" DrawAspect="Content" ObjectID="_1468075752" r:id="rId72">
                  <o:LockedField>false</o:LockedField>
                </o:OLEObject>
              </w:object>
            </w:r>
          </w:p>
          <w:p w14:paraId="303E9234">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52" o:spt="75" type="#_x0000_t75" style="height:17.25pt;width:9pt;" o:ole="t" filled="f" o:preferrelative="t" stroked="f" coordsize="21600,21600">
                  <v:path/>
                  <v:fill on="f" focussize="0,0"/>
                  <v:stroke on="f" joinstyle="miter"/>
                  <v:imagedata r:id="rId62" o:title=""/>
                  <o:lock v:ext="edit" aspectratio="t"/>
                  <w10:wrap type="none"/>
                  <w10:anchorlock/>
                </v:shape>
                <o:OLEObject Type="Embed" ProgID="Equation.3" ShapeID="_x0000_i1052" DrawAspect="Content" ObjectID="_1468075753" r:id="rId74">
                  <o:LockedField>false</o:LockedField>
                </o:OLEObject>
              </w:object>
            </w:r>
            <w:r>
              <w:rPr>
                <w:rFonts w:hint="default" w:ascii="Times New Roman" w:hAnsi="Times New Roman" w:eastAsia="宋体" w:cs="Times New Roman"/>
                <w:color w:val="000000" w:themeColor="text1"/>
              </w:rPr>
              <w:object>
                <v:shape id="_x0000_i1053" o:spt="75" type="#_x0000_t75" style="height:18pt;width:21.75pt;" o:ole="t" filled="f" o:preferrelative="t" stroked="f" coordsize="21600,21600">
                  <v:path/>
                  <v:fill on="f" focussize="0,0"/>
                  <v:stroke on="f" joinstyle="miter"/>
                  <v:imagedata r:id="rId76" o:title=""/>
                  <o:lock v:ext="edit" aspectratio="t"/>
                  <w10:wrap type="none"/>
                  <w10:anchorlock/>
                </v:shape>
                <o:OLEObject Type="Embed" ProgID="Equation.3" ShapeID="_x0000_i1053" DrawAspect="Content" ObjectID="_1468075754" r:id="rId75">
                  <o:LockedField>false</o:LockedField>
                </o:OLEObject>
              </w:object>
            </w:r>
            <w:r>
              <w:rPr>
                <w:rFonts w:hint="default" w:ascii="Times New Roman" w:hAnsi="Times New Roman" w:eastAsia="宋体" w:cs="Times New Roman"/>
                <w:color w:val="000000" w:themeColor="text1"/>
              </w:rPr>
              <w:t>—遮挡物引起的A声级衰减量，dB，车间墙体遮挡衰减取13dB；</w:t>
            </w:r>
          </w:p>
          <w:p w14:paraId="1A07453E">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54" o:spt="75" type="#_x0000_t75" style="height:18pt;width:21.75pt;" o:ole="t" filled="f" o:preferrelative="t" stroked="f" coordsize="21600,21600">
                  <v:path/>
                  <v:fill on="f" focussize="0,0"/>
                  <v:stroke on="f" joinstyle="miter"/>
                  <v:imagedata r:id="rId78" o:title=""/>
                  <o:lock v:ext="edit" aspectratio="t"/>
                  <w10:wrap type="none"/>
                  <w10:anchorlock/>
                </v:shape>
                <o:OLEObject Type="Embed" ProgID="Equation.3" ShapeID="_x0000_i1054" DrawAspect="Content" ObjectID="_1468075755" r:id="rId77">
                  <o:LockedField>false</o:LockedField>
                </o:OLEObject>
              </w:object>
            </w:r>
            <w:r>
              <w:rPr>
                <w:rFonts w:hint="default" w:ascii="Times New Roman" w:hAnsi="Times New Roman" w:eastAsia="宋体" w:cs="Times New Roman"/>
                <w:color w:val="000000" w:themeColor="text1"/>
              </w:rPr>
              <w:t>—空气吸收引起的A声级衰减量，dB；</w:t>
            </w:r>
          </w:p>
          <w:p w14:paraId="115E58B4">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object>
                <v:shape id="_x0000_i1055" o:spt="75" type="#_x0000_t75" style="height:17.25pt;width:9pt;" o:ole="t" filled="f" o:preferrelative="t" stroked="f" coordsize="21600,21600">
                  <v:path/>
                  <v:fill on="f" focussize="0,0"/>
                  <v:stroke on="f" joinstyle="miter"/>
                  <v:imagedata r:id="rId62" o:title=""/>
                  <o:lock v:ext="edit" aspectratio="t"/>
                  <w10:wrap type="none"/>
                  <w10:anchorlock/>
                </v:shape>
                <o:OLEObject Type="Embed" ProgID="Equation.3" ShapeID="_x0000_i1055" DrawAspect="Content" ObjectID="_1468075756" r:id="rId79">
                  <o:LockedField>false</o:LockedField>
                </o:OLEObject>
              </w:object>
            </w:r>
            <w:r>
              <w:rPr>
                <w:rFonts w:hint="default" w:ascii="Times New Roman" w:hAnsi="Times New Roman" w:eastAsia="宋体" w:cs="Times New Roman"/>
                <w:color w:val="000000" w:themeColor="text1"/>
              </w:rPr>
              <w:object>
                <v:shape id="_x0000_i1056" o:spt="75" type="#_x0000_t75" style="height:18pt;width:21pt;" o:ole="t" filled="f" o:preferrelative="t" stroked="f" coordsize="21600,21600">
                  <v:path/>
                  <v:fill on="f" focussize="0,0"/>
                  <v:stroke on="f" joinstyle="miter"/>
                  <v:imagedata r:id="rId81" o:title=""/>
                  <o:lock v:ext="edit" aspectratio="t"/>
                  <w10:wrap type="none"/>
                  <w10:anchorlock/>
                </v:shape>
                <o:OLEObject Type="Embed" ProgID="Equation.3" ShapeID="_x0000_i1056" DrawAspect="Content" ObjectID="_1468075757" r:id="rId80">
                  <o:LockedField>false</o:LockedField>
                </o:OLEObject>
              </w:object>
            </w:r>
            <w:r>
              <w:rPr>
                <w:rFonts w:hint="default" w:ascii="Times New Roman" w:hAnsi="Times New Roman" w:eastAsia="宋体" w:cs="Times New Roman"/>
                <w:color w:val="000000" w:themeColor="text1"/>
              </w:rPr>
              <w:t>—附加A声级衰减量，dB。</w:t>
            </w:r>
          </w:p>
          <w:p w14:paraId="29ADC652">
            <w:pPr>
              <w:ind w:firstLine="600" w:firstLineChars="25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为避免计算中增大衰减量而造成预测值偏小，计算时忽略</w:t>
            </w:r>
            <w:r>
              <w:rPr>
                <w:rFonts w:hint="default" w:ascii="Times New Roman" w:hAnsi="Times New Roman" w:eastAsia="宋体" w:cs="Times New Roman"/>
                <w:color w:val="000000" w:themeColor="text1"/>
              </w:rPr>
              <w:object>
                <v:shape id="_x0000_i1057" o:spt="75" type="#_x0000_t75" style="height:18pt;width:21.75pt;" o:ole="t" filled="f" o:preferrelative="t" stroked="f" coordsize="21600,21600">
                  <v:path/>
                  <v:fill on="f" focussize="0,0"/>
                  <v:stroke on="f" joinstyle="miter"/>
                  <v:imagedata r:id="rId83" o:title=""/>
                  <o:lock v:ext="edit" aspectratio="t"/>
                  <w10:wrap type="none"/>
                  <w10:anchorlock/>
                </v:shape>
                <o:OLEObject Type="Embed" ProgID="Equation.3" ShapeID="_x0000_i1057" DrawAspect="Content" ObjectID="_1468075758" r:id="rId82">
                  <o:LockedField>false</o:LockedField>
                </o:OLEObject>
              </w:object>
            </w:r>
            <w:r>
              <w:rPr>
                <w:rFonts w:hint="default" w:ascii="Times New Roman" w:hAnsi="Times New Roman" w:eastAsia="宋体" w:cs="Times New Roman"/>
                <w:color w:val="000000" w:themeColor="text1"/>
              </w:rPr>
              <w:t>和</w:t>
            </w:r>
            <w:r>
              <w:rPr>
                <w:rFonts w:hint="default" w:ascii="Times New Roman" w:hAnsi="Times New Roman" w:eastAsia="宋体" w:cs="Times New Roman"/>
                <w:color w:val="000000" w:themeColor="text1"/>
              </w:rPr>
              <w:object>
                <v:shape id="_x0000_i1058" o:spt="75" type="#_x0000_t75" style="height:18pt;width:21pt;" o:ole="t" filled="f" o:preferrelative="t" stroked="f" coordsize="21600,21600">
                  <v:path/>
                  <v:fill on="f" focussize="0,0"/>
                  <v:stroke on="f" joinstyle="miter"/>
                  <v:imagedata r:id="rId85" o:title=""/>
                  <o:lock v:ext="edit" aspectratio="t"/>
                  <w10:wrap type="none"/>
                  <w10:anchorlock/>
                </v:shape>
                <o:OLEObject Type="Embed" ProgID="Equation.3" ShapeID="_x0000_i1058" DrawAspect="Content" ObjectID="_1468075759" r:id="rId84">
                  <o:LockedField>false</o:LockedField>
                </o:OLEObject>
              </w:object>
            </w:r>
            <w:r>
              <w:rPr>
                <w:rFonts w:hint="default" w:ascii="Times New Roman" w:hAnsi="Times New Roman" w:eastAsia="宋体" w:cs="Times New Roman"/>
                <w:color w:val="000000" w:themeColor="text1"/>
              </w:rPr>
              <w:t>。</w:t>
            </w:r>
          </w:p>
          <w:p w14:paraId="0AE63A93">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由于本项目</w:t>
            </w:r>
            <w:r>
              <w:rPr>
                <w:rFonts w:hint="eastAsia" w:cs="Times New Roman"/>
                <w:color w:val="000000" w:themeColor="text1"/>
                <w:lang w:eastAsia="zh-CN"/>
              </w:rPr>
              <w:t>只在</w:t>
            </w:r>
            <w:r>
              <w:rPr>
                <w:rFonts w:hint="default" w:ascii="Times New Roman" w:hAnsi="Times New Roman" w:eastAsia="宋体" w:cs="Times New Roman"/>
                <w:color w:val="000000" w:themeColor="text1"/>
              </w:rPr>
              <w:t>白天运营，因此本次环评只预测项目昼间产生的噪声对厂界的影响，详见下表：</w:t>
            </w:r>
          </w:p>
          <w:p w14:paraId="6F1FC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表4-</w:t>
            </w:r>
            <w:r>
              <w:rPr>
                <w:rFonts w:hint="eastAsia" w:ascii="Times New Roman" w:hAnsi="Times New Roman" w:eastAsia="宋体" w:cs="Times New Roman"/>
                <w:b/>
                <w:bCs/>
                <w:color w:val="000000" w:themeColor="text1"/>
                <w:sz w:val="21"/>
                <w:szCs w:val="21"/>
                <w:lang w:val="en-US" w:eastAsia="zh-CN"/>
              </w:rPr>
              <w:t>2</w:t>
            </w:r>
            <w:r>
              <w:rPr>
                <w:rFonts w:hint="eastAsia" w:cs="Times New Roman"/>
                <w:b/>
                <w:bCs/>
                <w:color w:val="000000" w:themeColor="text1"/>
                <w:sz w:val="21"/>
                <w:szCs w:val="21"/>
                <w:lang w:val="en-US" w:eastAsia="zh-CN"/>
              </w:rPr>
              <w:t>3</w:t>
            </w:r>
            <w:r>
              <w:rPr>
                <w:rFonts w:hint="default" w:ascii="Times New Roman" w:hAnsi="Times New Roman" w:eastAsia="宋体" w:cs="Times New Roman"/>
                <w:b/>
                <w:bCs/>
                <w:color w:val="000000" w:themeColor="text1"/>
                <w:sz w:val="21"/>
                <w:szCs w:val="21"/>
              </w:rPr>
              <w:t xml:space="preserve"> </w:t>
            </w:r>
            <w:r>
              <w:rPr>
                <w:rFonts w:hint="eastAsia" w:cs="Times New Roman"/>
                <w:b/>
                <w:bCs/>
                <w:color w:val="000000" w:themeColor="text1"/>
                <w:sz w:val="21"/>
                <w:szCs w:val="21"/>
                <w:lang w:val="en-US" w:eastAsia="zh-CN"/>
              </w:rPr>
              <w:t xml:space="preserve">  </w:t>
            </w:r>
            <w:r>
              <w:rPr>
                <w:rFonts w:hint="default" w:ascii="Times New Roman" w:hAnsi="Times New Roman" w:eastAsia="宋体" w:cs="Times New Roman"/>
                <w:b/>
                <w:bCs/>
                <w:color w:val="000000" w:themeColor="text1"/>
                <w:sz w:val="21"/>
                <w:szCs w:val="21"/>
              </w:rPr>
              <w:t>各声源至厂界及关心点噪声贡献值预测  单位：dB</w:t>
            </w: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cs="Times New Roman"/>
                <w:b/>
                <w:bCs/>
                <w:color w:val="000000" w:themeColor="text1"/>
                <w:sz w:val="21"/>
                <w:szCs w:val="21"/>
                <w:lang w:eastAsia="zh-CN"/>
              </w:rPr>
              <w:t>）</w:t>
            </w:r>
          </w:p>
          <w:tbl>
            <w:tblPr>
              <w:tblStyle w:val="33"/>
              <w:tblW w:w="795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31"/>
              <w:gridCol w:w="730"/>
              <w:gridCol w:w="673"/>
              <w:gridCol w:w="708"/>
              <w:gridCol w:w="1039"/>
              <w:gridCol w:w="1264"/>
              <w:gridCol w:w="1363"/>
              <w:gridCol w:w="1148"/>
            </w:tblGrid>
            <w:tr w14:paraId="20020B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restart"/>
                  <w:tcBorders>
                    <w:top w:val="single" w:color="auto" w:sz="12" w:space="0"/>
                    <w:bottom w:val="single" w:color="auto" w:sz="4" w:space="0"/>
                    <w:right w:val="single" w:color="auto" w:sz="4" w:space="0"/>
                  </w:tcBorders>
                  <w:noWrap w:val="0"/>
                  <w:vAlign w:val="center"/>
                </w:tcPr>
                <w:p w14:paraId="3A51BBC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预测</w:t>
                  </w:r>
                  <w:r>
                    <w:rPr>
                      <w:rFonts w:hint="default" w:ascii="Times New Roman" w:hAnsi="Times New Roman" w:eastAsia="宋体" w:cs="Times New Roman"/>
                      <w:b/>
                      <w:bCs/>
                      <w:color w:val="000000" w:themeColor="text1"/>
                      <w:sz w:val="21"/>
                      <w:szCs w:val="21"/>
                      <w:lang w:eastAsia="zh-CN"/>
                    </w:rPr>
                    <w:t>方</w:t>
                  </w:r>
                  <w:r>
                    <w:rPr>
                      <w:rFonts w:hint="default" w:ascii="Times New Roman" w:hAnsi="Times New Roman" w:eastAsia="宋体" w:cs="Times New Roman"/>
                      <w:b/>
                      <w:bCs/>
                      <w:color w:val="000000" w:themeColor="text1"/>
                      <w:sz w:val="21"/>
                      <w:szCs w:val="21"/>
                    </w:rPr>
                    <w:t>位</w:t>
                  </w:r>
                </w:p>
              </w:tc>
              <w:tc>
                <w:tcPr>
                  <w:tcW w:w="2111" w:type="dxa"/>
                  <w:gridSpan w:val="3"/>
                  <w:tcBorders>
                    <w:top w:val="single" w:color="auto" w:sz="12" w:space="0"/>
                    <w:left w:val="single" w:color="auto" w:sz="4" w:space="0"/>
                    <w:bottom w:val="single" w:color="auto" w:sz="4" w:space="0"/>
                    <w:right w:val="single" w:color="auto" w:sz="4" w:space="0"/>
                  </w:tcBorders>
                  <w:noWrap w:val="0"/>
                  <w:vAlign w:val="center"/>
                </w:tcPr>
                <w:p w14:paraId="2AB9D1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空间相对位置/m</w:t>
                  </w:r>
                </w:p>
              </w:tc>
              <w:tc>
                <w:tcPr>
                  <w:tcW w:w="1039" w:type="dxa"/>
                  <w:vMerge w:val="restart"/>
                  <w:tcBorders>
                    <w:top w:val="single" w:color="auto" w:sz="12" w:space="0"/>
                    <w:left w:val="single" w:color="auto" w:sz="4" w:space="0"/>
                    <w:bottom w:val="single" w:color="auto" w:sz="4" w:space="0"/>
                    <w:right w:val="single" w:color="auto" w:sz="4" w:space="0"/>
                  </w:tcBorders>
                  <w:noWrap w:val="0"/>
                  <w:vAlign w:val="center"/>
                </w:tcPr>
                <w:p w14:paraId="6F2E46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lang w:eastAsia="zh-CN"/>
                    </w:rPr>
                    <w:t>时段</w:t>
                  </w:r>
                </w:p>
              </w:tc>
              <w:tc>
                <w:tcPr>
                  <w:tcW w:w="1264" w:type="dxa"/>
                  <w:vMerge w:val="restart"/>
                  <w:tcBorders>
                    <w:top w:val="single" w:color="auto" w:sz="12" w:space="0"/>
                    <w:left w:val="single" w:color="auto" w:sz="4" w:space="0"/>
                    <w:bottom w:val="single" w:color="auto" w:sz="4" w:space="0"/>
                    <w:right w:val="single" w:color="auto" w:sz="4" w:space="0"/>
                  </w:tcBorders>
                  <w:noWrap w:val="0"/>
                  <w:vAlign w:val="center"/>
                </w:tcPr>
                <w:p w14:paraId="5E0049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预测值</w:t>
                  </w:r>
                </w:p>
                <w:p w14:paraId="03A0B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dB</w:t>
                  </w: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cs="Times New Roman"/>
                      <w:b/>
                      <w:bCs/>
                      <w:color w:val="000000" w:themeColor="text1"/>
                      <w:sz w:val="21"/>
                      <w:szCs w:val="21"/>
                      <w:lang w:eastAsia="zh-CN"/>
                    </w:rPr>
                    <w:t>))</w:t>
                  </w:r>
                </w:p>
              </w:tc>
              <w:tc>
                <w:tcPr>
                  <w:tcW w:w="1363" w:type="dxa"/>
                  <w:vMerge w:val="restart"/>
                  <w:tcBorders>
                    <w:top w:val="single" w:color="auto" w:sz="12" w:space="0"/>
                    <w:left w:val="single" w:color="auto" w:sz="4" w:space="0"/>
                    <w:bottom w:val="single" w:color="auto" w:sz="4" w:space="0"/>
                    <w:right w:val="single" w:color="auto" w:sz="4" w:space="0"/>
                  </w:tcBorders>
                  <w:noWrap w:val="0"/>
                  <w:vAlign w:val="center"/>
                </w:tcPr>
                <w:p w14:paraId="238F3B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标准限值</w:t>
                  </w:r>
                </w:p>
                <w:p w14:paraId="239288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dB</w:t>
                  </w: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A</w:t>
                  </w:r>
                  <w:r>
                    <w:rPr>
                      <w:rFonts w:hint="eastAsia" w:cs="Times New Roman"/>
                      <w:b/>
                      <w:bCs/>
                      <w:color w:val="000000" w:themeColor="text1"/>
                      <w:sz w:val="21"/>
                      <w:szCs w:val="21"/>
                      <w:lang w:eastAsia="zh-CN"/>
                    </w:rPr>
                    <w:t>))</w:t>
                  </w:r>
                </w:p>
              </w:tc>
              <w:tc>
                <w:tcPr>
                  <w:tcW w:w="1148" w:type="dxa"/>
                  <w:vMerge w:val="restart"/>
                  <w:tcBorders>
                    <w:top w:val="single" w:color="auto" w:sz="12" w:space="0"/>
                    <w:left w:val="single" w:color="auto" w:sz="4" w:space="0"/>
                    <w:bottom w:val="single" w:color="auto" w:sz="4" w:space="0"/>
                    <w:right w:val="nil"/>
                  </w:tcBorders>
                  <w:noWrap w:val="0"/>
                  <w:vAlign w:val="center"/>
                </w:tcPr>
                <w:p w14:paraId="192240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达标情况</w:t>
                  </w:r>
                </w:p>
              </w:tc>
            </w:tr>
            <w:tr w14:paraId="29DD3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continue"/>
                  <w:tcBorders>
                    <w:top w:val="single" w:color="auto" w:sz="4" w:space="0"/>
                    <w:left w:val="nil"/>
                    <w:bottom w:val="single" w:color="auto" w:sz="4" w:space="0"/>
                    <w:right w:val="single" w:color="auto" w:sz="4" w:space="0"/>
                  </w:tcBorders>
                  <w:noWrap w:val="0"/>
                  <w:vAlign w:val="center"/>
                </w:tcPr>
                <w:p w14:paraId="49C128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14:paraId="7279C6F7">
                  <w:pPr>
                    <w:pStyle w:val="77"/>
                    <w:keepNext w:val="0"/>
                    <w:keepLines w:val="0"/>
                    <w:pageBreakBefore w:val="0"/>
                    <w:widowControl/>
                    <w:kinsoku/>
                    <w:wordWrap/>
                    <w:overflowPunct/>
                    <w:topLinePunct w:val="0"/>
                    <w:autoSpaceDE/>
                    <w:autoSpaceDN/>
                    <w:bidi w:val="0"/>
                    <w:snapToGrid w:val="0"/>
                    <w:spacing w:line="240" w:lineRule="auto"/>
                    <w:ind w:left="23"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X</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6489C54F">
                  <w:pPr>
                    <w:pStyle w:val="77"/>
                    <w:keepNext w:val="0"/>
                    <w:keepLines w:val="0"/>
                    <w:pageBreakBefore w:val="0"/>
                    <w:widowControl/>
                    <w:kinsoku/>
                    <w:wordWrap/>
                    <w:overflowPunct/>
                    <w:topLinePunct w:val="0"/>
                    <w:autoSpaceDE/>
                    <w:autoSpaceDN/>
                    <w:bidi w:val="0"/>
                    <w:snapToGrid w:val="0"/>
                    <w:spacing w:line="240" w:lineRule="auto"/>
                    <w:ind w:left="21"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Y</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2C7D620">
                  <w:pPr>
                    <w:pStyle w:val="77"/>
                    <w:keepNext w:val="0"/>
                    <w:keepLines w:val="0"/>
                    <w:pageBreakBefore w:val="0"/>
                    <w:widowControl/>
                    <w:kinsoku/>
                    <w:wordWrap/>
                    <w:overflowPunct/>
                    <w:topLinePunct w:val="0"/>
                    <w:autoSpaceDE/>
                    <w:autoSpaceDN/>
                    <w:bidi w:val="0"/>
                    <w:snapToGrid w:val="0"/>
                    <w:spacing w:line="240" w:lineRule="auto"/>
                    <w:ind w:left="26" w:firstLine="0" w:firstLineChars="0"/>
                    <w:jc w:val="center"/>
                    <w:textAlignment w:val="auto"/>
                    <w:rPr>
                      <w:rFonts w:hint="default" w:ascii="Times New Roman" w:hAnsi="Times New Roman" w:eastAsia="宋体" w:cs="Times New Roman"/>
                      <w:b/>
                      <w:bCs/>
                      <w:i/>
                      <w:color w:val="000000" w:themeColor="text1"/>
                      <w:sz w:val="21"/>
                      <w:szCs w:val="21"/>
                    </w:rPr>
                  </w:pPr>
                  <w:r>
                    <w:rPr>
                      <w:rFonts w:hint="default" w:ascii="Times New Roman" w:hAnsi="Times New Roman" w:eastAsia="宋体" w:cs="Times New Roman"/>
                      <w:b/>
                      <w:bCs/>
                      <w:i/>
                      <w:color w:val="000000" w:themeColor="text1"/>
                      <w:sz w:val="21"/>
                      <w:szCs w:val="21"/>
                    </w:rPr>
                    <w:t>Z</w:t>
                  </w:r>
                </w:p>
              </w:tc>
              <w:tc>
                <w:tcPr>
                  <w:tcW w:w="1039" w:type="dxa"/>
                  <w:vMerge w:val="continue"/>
                  <w:tcBorders>
                    <w:top w:val="single" w:color="auto" w:sz="4" w:space="0"/>
                    <w:left w:val="single" w:color="auto" w:sz="4" w:space="0"/>
                    <w:bottom w:val="single" w:color="auto" w:sz="4" w:space="0"/>
                    <w:right w:val="single" w:color="auto" w:sz="4" w:space="0"/>
                  </w:tcBorders>
                  <w:noWrap w:val="0"/>
                  <w:vAlign w:val="center"/>
                </w:tcPr>
                <w:p w14:paraId="4156D8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eastAsia="zh-CN"/>
                    </w:rPr>
                  </w:pPr>
                </w:p>
              </w:tc>
              <w:tc>
                <w:tcPr>
                  <w:tcW w:w="1264" w:type="dxa"/>
                  <w:vMerge w:val="continue"/>
                  <w:tcBorders>
                    <w:top w:val="single" w:color="auto" w:sz="4" w:space="0"/>
                    <w:left w:val="single" w:color="auto" w:sz="4" w:space="0"/>
                    <w:bottom w:val="single" w:color="auto" w:sz="4" w:space="0"/>
                    <w:right w:val="single" w:color="auto" w:sz="4" w:space="0"/>
                  </w:tcBorders>
                  <w:noWrap w:val="0"/>
                  <w:vAlign w:val="center"/>
                </w:tcPr>
                <w:p w14:paraId="488832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p>
              </w:tc>
              <w:tc>
                <w:tcPr>
                  <w:tcW w:w="1363" w:type="dxa"/>
                  <w:vMerge w:val="continue"/>
                  <w:tcBorders>
                    <w:top w:val="single" w:color="auto" w:sz="4" w:space="0"/>
                    <w:left w:val="single" w:color="auto" w:sz="4" w:space="0"/>
                    <w:bottom w:val="single" w:color="auto" w:sz="4" w:space="0"/>
                    <w:right w:val="single" w:color="auto" w:sz="4" w:space="0"/>
                  </w:tcBorders>
                  <w:noWrap w:val="0"/>
                  <w:vAlign w:val="center"/>
                </w:tcPr>
                <w:p w14:paraId="2F06A9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p>
              </w:tc>
              <w:tc>
                <w:tcPr>
                  <w:tcW w:w="1148" w:type="dxa"/>
                  <w:vMerge w:val="continue"/>
                  <w:tcBorders>
                    <w:top w:val="single" w:color="auto" w:sz="4" w:space="0"/>
                    <w:left w:val="single" w:color="auto" w:sz="4" w:space="0"/>
                    <w:bottom w:val="single" w:color="auto" w:sz="4" w:space="0"/>
                    <w:right w:val="nil"/>
                  </w:tcBorders>
                  <w:noWrap w:val="0"/>
                  <w:vAlign w:val="center"/>
                </w:tcPr>
                <w:p w14:paraId="1F1AA0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rPr>
                  </w:pPr>
                </w:p>
              </w:tc>
            </w:tr>
            <w:tr w14:paraId="13B43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restart"/>
                  <w:tcBorders>
                    <w:top w:val="single" w:color="auto" w:sz="4" w:space="0"/>
                    <w:left w:val="nil"/>
                    <w:bottom w:val="single" w:color="auto" w:sz="4" w:space="0"/>
                    <w:right w:val="single" w:color="auto" w:sz="4" w:space="0"/>
                  </w:tcBorders>
                  <w:noWrap w:val="0"/>
                  <w:vAlign w:val="center"/>
                </w:tcPr>
                <w:p w14:paraId="228DC3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color w:val="000000" w:themeColor="text1"/>
                      <w:sz w:val="21"/>
                      <w:szCs w:val="21"/>
                    </w:rPr>
                    <w:t>东侧</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3CD816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69</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40D233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89439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78280D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昼间</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D6A8B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54.22</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3087C9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65</w:t>
                  </w:r>
                </w:p>
              </w:tc>
              <w:tc>
                <w:tcPr>
                  <w:tcW w:w="1148" w:type="dxa"/>
                  <w:tcBorders>
                    <w:top w:val="single" w:color="auto" w:sz="4" w:space="0"/>
                    <w:left w:val="single" w:color="auto" w:sz="4" w:space="0"/>
                    <w:bottom w:val="single" w:color="auto" w:sz="4" w:space="0"/>
                    <w:right w:val="nil"/>
                  </w:tcBorders>
                  <w:noWrap w:val="0"/>
                  <w:vAlign w:val="center"/>
                </w:tcPr>
                <w:p w14:paraId="7D81D92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5AFF40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continue"/>
                  <w:tcBorders>
                    <w:top w:val="single" w:color="auto" w:sz="4" w:space="0"/>
                    <w:left w:val="nil"/>
                    <w:bottom w:val="single" w:color="auto" w:sz="4" w:space="0"/>
                    <w:right w:val="single" w:color="auto" w:sz="4" w:space="0"/>
                  </w:tcBorders>
                  <w:noWrap w:val="0"/>
                  <w:vAlign w:val="center"/>
                </w:tcPr>
                <w:p w14:paraId="23BFF1B6">
                  <w:pPr>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14:paraId="06E635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1C9B5ED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87F0D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229E96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434E544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714995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148" w:type="dxa"/>
                  <w:tcBorders>
                    <w:top w:val="single" w:color="auto" w:sz="4" w:space="0"/>
                    <w:left w:val="single" w:color="auto" w:sz="4" w:space="0"/>
                    <w:bottom w:val="single" w:color="auto" w:sz="4" w:space="0"/>
                    <w:right w:val="nil"/>
                  </w:tcBorders>
                  <w:noWrap w:val="0"/>
                  <w:vAlign w:val="center"/>
                </w:tcPr>
                <w:p w14:paraId="51A7AB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r>
            <w:tr w14:paraId="0A583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restart"/>
                  <w:tcBorders>
                    <w:top w:val="single" w:color="auto" w:sz="4" w:space="0"/>
                    <w:left w:val="nil"/>
                    <w:bottom w:val="single" w:color="auto" w:sz="4" w:space="0"/>
                    <w:right w:val="single" w:color="auto" w:sz="4" w:space="0"/>
                  </w:tcBorders>
                  <w:noWrap w:val="0"/>
                  <w:vAlign w:val="center"/>
                </w:tcPr>
                <w:p w14:paraId="481511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color w:val="000000" w:themeColor="text1"/>
                      <w:sz w:val="21"/>
                      <w:szCs w:val="21"/>
                    </w:rPr>
                    <w:t>南侧</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761392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-22</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334249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-246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F5EF6E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7B1B6C8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昼间</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46C8D63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55.61</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27F620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65</w:t>
                  </w:r>
                </w:p>
              </w:tc>
              <w:tc>
                <w:tcPr>
                  <w:tcW w:w="1148" w:type="dxa"/>
                  <w:tcBorders>
                    <w:top w:val="single" w:color="auto" w:sz="4" w:space="0"/>
                    <w:left w:val="single" w:color="auto" w:sz="4" w:space="0"/>
                    <w:bottom w:val="single" w:color="auto" w:sz="4" w:space="0"/>
                    <w:right w:val="nil"/>
                  </w:tcBorders>
                  <w:noWrap w:val="0"/>
                  <w:vAlign w:val="center"/>
                </w:tcPr>
                <w:p w14:paraId="0049CF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35B6D3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continue"/>
                  <w:tcBorders>
                    <w:top w:val="single" w:color="auto" w:sz="4" w:space="0"/>
                    <w:left w:val="nil"/>
                    <w:bottom w:val="single" w:color="auto" w:sz="4" w:space="0"/>
                    <w:right w:val="single" w:color="auto" w:sz="4" w:space="0"/>
                  </w:tcBorders>
                  <w:noWrap w:val="0"/>
                  <w:vAlign w:val="center"/>
                </w:tcPr>
                <w:p w14:paraId="2252BD7E">
                  <w:pPr>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14:paraId="1A05D0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258B1D7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4A0BE6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34F92A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6D2BD1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6CF425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148" w:type="dxa"/>
                  <w:tcBorders>
                    <w:top w:val="single" w:color="auto" w:sz="4" w:space="0"/>
                    <w:left w:val="single" w:color="auto" w:sz="4" w:space="0"/>
                    <w:bottom w:val="single" w:color="auto" w:sz="4" w:space="0"/>
                    <w:right w:val="nil"/>
                  </w:tcBorders>
                  <w:noWrap w:val="0"/>
                  <w:vAlign w:val="center"/>
                </w:tcPr>
                <w:p w14:paraId="5340D5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r>
            <w:tr w14:paraId="144FBB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restart"/>
                  <w:tcBorders>
                    <w:top w:val="single" w:color="auto" w:sz="4" w:space="0"/>
                    <w:left w:val="nil"/>
                    <w:bottom w:val="single" w:color="auto" w:sz="4" w:space="0"/>
                    <w:right w:val="single" w:color="auto" w:sz="4" w:space="0"/>
                  </w:tcBorders>
                  <w:noWrap w:val="0"/>
                  <w:vAlign w:val="center"/>
                </w:tcPr>
                <w:p w14:paraId="1390498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color w:val="000000" w:themeColor="text1"/>
                      <w:sz w:val="21"/>
                      <w:szCs w:val="21"/>
                    </w:rPr>
                    <w:t>西侧</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5722A6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-52</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4476BF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736F7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522661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昼间</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2F3DB4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51.72</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5A5836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65</w:t>
                  </w:r>
                </w:p>
              </w:tc>
              <w:tc>
                <w:tcPr>
                  <w:tcW w:w="1148" w:type="dxa"/>
                  <w:tcBorders>
                    <w:top w:val="single" w:color="auto" w:sz="4" w:space="0"/>
                    <w:left w:val="single" w:color="auto" w:sz="4" w:space="0"/>
                    <w:bottom w:val="single" w:color="auto" w:sz="4" w:space="0"/>
                    <w:right w:val="nil"/>
                  </w:tcBorders>
                  <w:noWrap w:val="0"/>
                  <w:vAlign w:val="center"/>
                </w:tcPr>
                <w:p w14:paraId="3ED2F2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4C8C3D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continue"/>
                  <w:tcBorders>
                    <w:top w:val="single" w:color="auto" w:sz="4" w:space="0"/>
                    <w:left w:val="nil"/>
                    <w:bottom w:val="single" w:color="auto" w:sz="4" w:space="0"/>
                    <w:right w:val="single" w:color="auto" w:sz="4" w:space="0"/>
                  </w:tcBorders>
                  <w:noWrap w:val="0"/>
                  <w:vAlign w:val="center"/>
                </w:tcPr>
                <w:p w14:paraId="5D60DC42">
                  <w:pPr>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rPr>
                  </w:pPr>
                </w:p>
              </w:tc>
              <w:tc>
                <w:tcPr>
                  <w:tcW w:w="730" w:type="dxa"/>
                  <w:tcBorders>
                    <w:top w:val="single" w:color="auto" w:sz="4" w:space="0"/>
                    <w:left w:val="single" w:color="auto" w:sz="4" w:space="0"/>
                    <w:bottom w:val="single" w:color="auto" w:sz="4" w:space="0"/>
                    <w:right w:val="single" w:color="auto" w:sz="4" w:space="0"/>
                  </w:tcBorders>
                  <w:noWrap w:val="0"/>
                  <w:vAlign w:val="center"/>
                </w:tcPr>
                <w:p w14:paraId="44E8DE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0528453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9BF4B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680627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5B59D5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35A2DA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148" w:type="dxa"/>
                  <w:tcBorders>
                    <w:top w:val="single" w:color="auto" w:sz="4" w:space="0"/>
                    <w:left w:val="single" w:color="auto" w:sz="4" w:space="0"/>
                    <w:bottom w:val="single" w:color="auto" w:sz="4" w:space="0"/>
                    <w:right w:val="nil"/>
                  </w:tcBorders>
                  <w:noWrap w:val="0"/>
                  <w:vAlign w:val="center"/>
                </w:tcPr>
                <w:p w14:paraId="48CF0A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r>
            <w:tr w14:paraId="054AE4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restart"/>
                  <w:tcBorders>
                    <w:top w:val="single" w:color="auto" w:sz="4" w:space="0"/>
                    <w:left w:val="nil"/>
                    <w:bottom w:val="single" w:color="auto" w:sz="4" w:space="0"/>
                    <w:right w:val="single" w:color="auto" w:sz="4" w:space="0"/>
                  </w:tcBorders>
                  <w:noWrap w:val="0"/>
                  <w:vAlign w:val="center"/>
                </w:tcPr>
                <w:p w14:paraId="724482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2"/>
                      <w:sz w:val="21"/>
                      <w:szCs w:val="21"/>
                    </w:rPr>
                  </w:pPr>
                  <w:r>
                    <w:rPr>
                      <w:rFonts w:hint="default" w:ascii="Times New Roman" w:hAnsi="Times New Roman" w:eastAsia="宋体" w:cs="Times New Roman"/>
                      <w:color w:val="000000" w:themeColor="text1"/>
                      <w:sz w:val="21"/>
                      <w:szCs w:val="21"/>
                    </w:rPr>
                    <w:t>北侧</w:t>
                  </w:r>
                </w:p>
              </w:tc>
              <w:tc>
                <w:tcPr>
                  <w:tcW w:w="730" w:type="dxa"/>
                  <w:tcBorders>
                    <w:top w:val="single" w:color="auto" w:sz="4" w:space="0"/>
                    <w:left w:val="single" w:color="auto" w:sz="4" w:space="0"/>
                    <w:bottom w:val="single" w:color="auto" w:sz="4" w:space="0"/>
                    <w:right w:val="single" w:color="auto" w:sz="4" w:space="0"/>
                  </w:tcBorders>
                  <w:noWrap w:val="0"/>
                  <w:vAlign w:val="center"/>
                </w:tcPr>
                <w:p w14:paraId="139B35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41</w:t>
                  </w:r>
                </w:p>
              </w:tc>
              <w:tc>
                <w:tcPr>
                  <w:tcW w:w="673" w:type="dxa"/>
                  <w:tcBorders>
                    <w:top w:val="single" w:color="auto" w:sz="4" w:space="0"/>
                    <w:left w:val="single" w:color="auto" w:sz="4" w:space="0"/>
                    <w:bottom w:val="single" w:color="auto" w:sz="4" w:space="0"/>
                    <w:right w:val="single" w:color="auto" w:sz="4" w:space="0"/>
                  </w:tcBorders>
                  <w:noWrap w:val="0"/>
                  <w:vAlign w:val="center"/>
                </w:tcPr>
                <w:p w14:paraId="57409B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319</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2AF0F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6FE0A5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昼间</w:t>
                  </w:r>
                </w:p>
              </w:tc>
              <w:tc>
                <w:tcPr>
                  <w:tcW w:w="1264" w:type="dxa"/>
                  <w:tcBorders>
                    <w:top w:val="single" w:color="auto" w:sz="4" w:space="0"/>
                    <w:left w:val="single" w:color="auto" w:sz="4" w:space="0"/>
                    <w:bottom w:val="single" w:color="auto" w:sz="4" w:space="0"/>
                    <w:right w:val="single" w:color="auto" w:sz="4" w:space="0"/>
                  </w:tcBorders>
                  <w:noWrap w:val="0"/>
                  <w:vAlign w:val="center"/>
                </w:tcPr>
                <w:p w14:paraId="34B408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58.61</w:t>
                  </w:r>
                </w:p>
              </w:tc>
              <w:tc>
                <w:tcPr>
                  <w:tcW w:w="1363" w:type="dxa"/>
                  <w:tcBorders>
                    <w:top w:val="single" w:color="auto" w:sz="4" w:space="0"/>
                    <w:left w:val="single" w:color="auto" w:sz="4" w:space="0"/>
                    <w:bottom w:val="single" w:color="auto" w:sz="4" w:space="0"/>
                    <w:right w:val="single" w:color="auto" w:sz="4" w:space="0"/>
                  </w:tcBorders>
                  <w:noWrap w:val="0"/>
                  <w:vAlign w:val="center"/>
                </w:tcPr>
                <w:p w14:paraId="0C60B3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60</w:t>
                  </w:r>
                </w:p>
              </w:tc>
              <w:tc>
                <w:tcPr>
                  <w:tcW w:w="1148" w:type="dxa"/>
                  <w:tcBorders>
                    <w:top w:val="single" w:color="auto" w:sz="4" w:space="0"/>
                    <w:left w:val="single" w:color="auto" w:sz="4" w:space="0"/>
                    <w:bottom w:val="single" w:color="auto" w:sz="4" w:space="0"/>
                    <w:right w:val="nil"/>
                  </w:tcBorders>
                  <w:noWrap w:val="0"/>
                  <w:vAlign w:val="center"/>
                </w:tcPr>
                <w:p w14:paraId="3CAB45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达标</w:t>
                  </w:r>
                </w:p>
              </w:tc>
            </w:tr>
            <w:tr w14:paraId="75524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1031" w:type="dxa"/>
                  <w:vMerge w:val="continue"/>
                  <w:tcBorders>
                    <w:top w:val="single" w:color="auto" w:sz="4" w:space="0"/>
                    <w:left w:val="nil"/>
                    <w:bottom w:val="single" w:color="auto" w:sz="12" w:space="0"/>
                    <w:right w:val="single" w:color="auto" w:sz="4" w:space="0"/>
                  </w:tcBorders>
                  <w:noWrap w:val="0"/>
                  <w:vAlign w:val="center"/>
                </w:tcPr>
                <w:p w14:paraId="078E215F">
                  <w:pPr>
                    <w:keepNext w:val="0"/>
                    <w:keepLines w:val="0"/>
                    <w:pageBreakBefore w:val="0"/>
                    <w:widowControl/>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color w:val="000000" w:themeColor="text1"/>
                      <w:kern w:val="2"/>
                      <w:sz w:val="21"/>
                      <w:szCs w:val="21"/>
                    </w:rPr>
                  </w:pPr>
                </w:p>
              </w:tc>
              <w:tc>
                <w:tcPr>
                  <w:tcW w:w="730" w:type="dxa"/>
                  <w:tcBorders>
                    <w:top w:val="single" w:color="auto" w:sz="4" w:space="0"/>
                    <w:left w:val="single" w:color="auto" w:sz="4" w:space="0"/>
                    <w:bottom w:val="single" w:color="auto" w:sz="12" w:space="0"/>
                    <w:right w:val="single" w:color="auto" w:sz="4" w:space="0"/>
                  </w:tcBorders>
                  <w:noWrap w:val="0"/>
                  <w:vAlign w:val="center"/>
                </w:tcPr>
                <w:p w14:paraId="3FEF55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673" w:type="dxa"/>
                  <w:tcBorders>
                    <w:top w:val="single" w:color="auto" w:sz="4" w:space="0"/>
                    <w:left w:val="single" w:color="auto" w:sz="4" w:space="0"/>
                    <w:bottom w:val="single" w:color="auto" w:sz="12" w:space="0"/>
                    <w:right w:val="single" w:color="auto" w:sz="4" w:space="0"/>
                  </w:tcBorders>
                  <w:noWrap w:val="0"/>
                  <w:vAlign w:val="center"/>
                </w:tcPr>
                <w:p w14:paraId="062F761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708" w:type="dxa"/>
                  <w:tcBorders>
                    <w:top w:val="single" w:color="auto" w:sz="4" w:space="0"/>
                    <w:left w:val="single" w:color="auto" w:sz="4" w:space="0"/>
                    <w:bottom w:val="single" w:color="auto" w:sz="12" w:space="0"/>
                    <w:right w:val="single" w:color="auto" w:sz="4" w:space="0"/>
                  </w:tcBorders>
                  <w:noWrap w:val="0"/>
                  <w:vAlign w:val="center"/>
                </w:tcPr>
                <w:p w14:paraId="3969AD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039" w:type="dxa"/>
                  <w:tcBorders>
                    <w:top w:val="single" w:color="auto" w:sz="4" w:space="0"/>
                    <w:left w:val="single" w:color="auto" w:sz="4" w:space="0"/>
                    <w:bottom w:val="single" w:color="auto" w:sz="12" w:space="0"/>
                    <w:right w:val="single" w:color="auto" w:sz="4" w:space="0"/>
                  </w:tcBorders>
                  <w:noWrap w:val="0"/>
                  <w:vAlign w:val="center"/>
                </w:tcPr>
                <w:p w14:paraId="5EC4EA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264" w:type="dxa"/>
                  <w:tcBorders>
                    <w:top w:val="single" w:color="auto" w:sz="4" w:space="0"/>
                    <w:left w:val="single" w:color="auto" w:sz="4" w:space="0"/>
                    <w:bottom w:val="single" w:color="auto" w:sz="12" w:space="0"/>
                    <w:right w:val="single" w:color="auto" w:sz="4" w:space="0"/>
                  </w:tcBorders>
                  <w:noWrap w:val="0"/>
                  <w:vAlign w:val="center"/>
                </w:tcPr>
                <w:p w14:paraId="29BD1E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363" w:type="dxa"/>
                  <w:tcBorders>
                    <w:top w:val="single" w:color="auto" w:sz="4" w:space="0"/>
                    <w:left w:val="single" w:color="auto" w:sz="4" w:space="0"/>
                    <w:bottom w:val="single" w:color="auto" w:sz="12" w:space="0"/>
                    <w:right w:val="single" w:color="auto" w:sz="4" w:space="0"/>
                  </w:tcBorders>
                  <w:noWrap w:val="0"/>
                  <w:vAlign w:val="center"/>
                </w:tcPr>
                <w:p w14:paraId="0F1C23A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c>
                <w:tcPr>
                  <w:tcW w:w="1148" w:type="dxa"/>
                  <w:tcBorders>
                    <w:top w:val="single" w:color="auto" w:sz="4" w:space="0"/>
                    <w:left w:val="single" w:color="auto" w:sz="4" w:space="0"/>
                    <w:bottom w:val="single" w:color="auto" w:sz="12" w:space="0"/>
                    <w:right w:val="nil"/>
                  </w:tcBorders>
                  <w:noWrap w:val="0"/>
                  <w:vAlign w:val="center"/>
                </w:tcPr>
                <w:p w14:paraId="655903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w:t>
                  </w:r>
                </w:p>
              </w:tc>
            </w:tr>
          </w:tbl>
          <w:p w14:paraId="2F89C551">
            <w:pPr>
              <w:adjustRightInd w:val="0"/>
              <w:snapToGrid w:val="0"/>
              <w:spacing w:before="120" w:beforeLines="50"/>
              <w:ind w:firstLine="480"/>
              <w:jc w:val="left"/>
              <w:rPr>
                <w:rFonts w:hint="default" w:ascii="Times New Roman" w:hAnsi="Times New Roman" w:eastAsia="宋体" w:cs="Times New Roman"/>
                <w:color w:val="000000" w:themeColor="text1"/>
                <w:szCs w:val="28"/>
              </w:rPr>
            </w:pPr>
            <w:r>
              <w:rPr>
                <w:rFonts w:hint="default" w:ascii="Times New Roman" w:hAnsi="Times New Roman" w:eastAsia="宋体" w:cs="Times New Roman"/>
                <w:color w:val="000000" w:themeColor="text1"/>
              </w:rPr>
              <w:t>由上表可知，厂区内设备噪声经距离衰减、墙壁隔声后，</w:t>
            </w:r>
            <w:r>
              <w:rPr>
                <w:rFonts w:hint="default" w:ascii="Times New Roman" w:hAnsi="Times New Roman" w:eastAsia="宋体" w:cs="Times New Roman"/>
                <w:color w:val="000000" w:themeColor="text1"/>
                <w:kern w:val="18"/>
              </w:rPr>
              <w:t>项目厂界</w:t>
            </w:r>
            <w:r>
              <w:rPr>
                <w:rFonts w:hint="default" w:ascii="Times New Roman" w:hAnsi="Times New Roman" w:eastAsia="宋体" w:cs="Times New Roman"/>
                <w:color w:val="000000" w:themeColor="text1"/>
                <w:szCs w:val="28"/>
              </w:rPr>
              <w:t>声环境满足《声环境质量标准》（GB3096-2008）中的</w:t>
            </w:r>
            <w:r>
              <w:rPr>
                <w:rFonts w:hint="eastAsia" w:cs="Times New Roman"/>
                <w:color w:val="000000" w:themeColor="text1"/>
                <w:szCs w:val="28"/>
                <w:lang w:val="en-US" w:eastAsia="zh-CN"/>
              </w:rPr>
              <w:t>3</w:t>
            </w:r>
            <w:r>
              <w:rPr>
                <w:rFonts w:hint="default" w:ascii="Times New Roman" w:hAnsi="Times New Roman" w:eastAsia="宋体" w:cs="Times New Roman"/>
                <w:color w:val="000000" w:themeColor="text1"/>
                <w:szCs w:val="28"/>
              </w:rPr>
              <w:t>类区标准要求。</w:t>
            </w:r>
          </w:p>
          <w:p w14:paraId="7FE8011E">
            <w:pPr>
              <w:pStyle w:val="7"/>
              <w:keepNext w:val="0"/>
              <w:keepLines w:val="0"/>
              <w:pageBreakBefore w:val="0"/>
              <w:widowControl w:val="0"/>
              <w:kinsoku/>
              <w:wordWrap/>
              <w:overflowPunct/>
              <w:topLinePunct w:val="0"/>
              <w:autoSpaceDE/>
              <w:autoSpaceDN/>
              <w:bidi w:val="0"/>
              <w:adjustRightInd/>
              <w:snapToGrid/>
              <w:ind w:firstLine="0" w:firstLineChars="0"/>
              <w:jc w:val="center"/>
              <w:textAlignment w:val="auto"/>
              <w:rPr>
                <w:color w:val="000000" w:themeColor="text1"/>
              </w:rPr>
            </w:pPr>
            <w:r>
              <w:rPr>
                <w:color w:val="000000" w:themeColor="text1"/>
              </w:rPr>
              <w:drawing>
                <wp:inline distT="0" distB="0" distL="114300" distR="114300">
                  <wp:extent cx="5154295" cy="2957195"/>
                  <wp:effectExtent l="0" t="0" r="8255" b="14605"/>
                  <wp:docPr id="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7"/>
                          <pic:cNvPicPr>
                            <a:picLocks noChangeAspect="1"/>
                          </pic:cNvPicPr>
                        </pic:nvPicPr>
                        <pic:blipFill>
                          <a:blip r:embed="rId86"/>
                          <a:stretch>
                            <a:fillRect/>
                          </a:stretch>
                        </pic:blipFill>
                        <pic:spPr>
                          <a:xfrm>
                            <a:off x="0" y="0"/>
                            <a:ext cx="5154295" cy="2957195"/>
                          </a:xfrm>
                          <a:prstGeom prst="rect">
                            <a:avLst/>
                          </a:prstGeom>
                          <a:noFill/>
                          <a:ln>
                            <a:noFill/>
                          </a:ln>
                        </pic:spPr>
                      </pic:pic>
                    </a:graphicData>
                  </a:graphic>
                </wp:inline>
              </w:drawing>
            </w:r>
          </w:p>
          <w:p w14:paraId="762F11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图4-1  噪声预测图</w:t>
            </w:r>
          </w:p>
          <w:p w14:paraId="68365014">
            <w:pPr>
              <w:rPr>
                <w:rFonts w:hint="default" w:ascii="Times New Roman" w:hAnsi="Times New Roman" w:cs="Times New Roman"/>
                <w:color w:val="000000" w:themeColor="text1"/>
              </w:rPr>
            </w:pPr>
            <w:r>
              <w:rPr>
                <w:rFonts w:hint="default" w:ascii="Times New Roman" w:hAnsi="Times New Roman" w:cs="Times New Roman"/>
                <w:color w:val="000000" w:themeColor="text1"/>
              </w:rPr>
              <w:t>为确保厂界噪声满足《工业厂界环境噪声排放标准》（GB12348-2008）中3类标准要求，建议采取以下降噪措施：</w:t>
            </w:r>
          </w:p>
          <w:p w14:paraId="12DE7EC9">
            <w:pPr>
              <w:rPr>
                <w:rFonts w:hint="default" w:ascii="Times New Roman" w:hAnsi="Times New Roman" w:cs="Times New Roman"/>
                <w:color w:val="000000" w:themeColor="text1"/>
              </w:rPr>
            </w:pPr>
            <w:r>
              <w:rPr>
                <w:rFonts w:hint="default" w:ascii="Times New Roman" w:hAnsi="Times New Roman" w:cs="Times New Roman"/>
                <w:color w:val="000000" w:themeColor="text1"/>
              </w:rPr>
              <w:t>（1）利用绿化降噪措施</w:t>
            </w:r>
          </w:p>
          <w:p w14:paraId="58002768">
            <w:pPr>
              <w:rPr>
                <w:rFonts w:hint="default" w:ascii="Times New Roman" w:hAnsi="Times New Roman" w:cs="Times New Roman"/>
                <w:color w:val="000000" w:themeColor="text1"/>
              </w:rPr>
            </w:pPr>
            <w:r>
              <w:rPr>
                <w:rFonts w:hint="default" w:ascii="Times New Roman" w:hAnsi="Times New Roman" w:cs="Times New Roman"/>
                <w:color w:val="000000" w:themeColor="text1"/>
              </w:rPr>
              <w:t>在厂区四周、厂房四周密植绿化隔离带和绿篱带，因一层厂房和设备不高，可采取大小乔木、灌木套植，利用绿化进行降噪是非常有效的。</w:t>
            </w:r>
          </w:p>
          <w:p w14:paraId="24D106B4">
            <w:pPr>
              <w:rPr>
                <w:rFonts w:hint="default" w:ascii="Times New Roman" w:hAnsi="Times New Roman" w:cs="Times New Roman"/>
                <w:color w:val="000000" w:themeColor="text1"/>
              </w:rPr>
            </w:pPr>
            <w:r>
              <w:rPr>
                <w:rFonts w:hint="default" w:ascii="Times New Roman" w:hAnsi="Times New Roman" w:cs="Times New Roman"/>
                <w:color w:val="000000" w:themeColor="text1"/>
              </w:rPr>
              <w:t>（2）对设备采取降噪措施</w:t>
            </w:r>
          </w:p>
          <w:p w14:paraId="7DDC0C11">
            <w:pPr>
              <w:rPr>
                <w:rFonts w:hint="default" w:ascii="Times New Roman" w:hAnsi="Times New Roman" w:cs="Times New Roman"/>
                <w:color w:val="000000" w:themeColor="text1"/>
              </w:rPr>
            </w:pPr>
            <w:r>
              <w:rPr>
                <w:rFonts w:hint="default" w:ascii="Times New Roman" w:hAnsi="Times New Roman" w:cs="Times New Roman"/>
                <w:color w:val="000000" w:themeColor="text1"/>
              </w:rPr>
              <w:t>选用复合式消声器或阻性消声器，并加装隔声装置，如加隔声罩等。</w:t>
            </w:r>
          </w:p>
          <w:p w14:paraId="19ED6B96">
            <w:pPr>
              <w:rPr>
                <w:rFonts w:hint="default" w:ascii="Times New Roman" w:hAnsi="Times New Roman" w:cs="Times New Roman"/>
                <w:color w:val="000000" w:themeColor="text1"/>
              </w:rPr>
            </w:pPr>
            <w:r>
              <w:rPr>
                <w:rFonts w:hint="default" w:ascii="Times New Roman" w:hAnsi="Times New Roman" w:cs="Times New Roman"/>
                <w:color w:val="000000" w:themeColor="text1"/>
              </w:rPr>
              <w:t>（3）建吸声厂房</w:t>
            </w:r>
          </w:p>
          <w:p w14:paraId="76EEC6E0">
            <w:pPr>
              <w:rPr>
                <w:rFonts w:hint="default" w:ascii="Times New Roman" w:hAnsi="Times New Roman" w:cs="Times New Roman"/>
                <w:color w:val="000000" w:themeColor="text1"/>
              </w:rPr>
            </w:pPr>
            <w:r>
              <w:rPr>
                <w:rFonts w:hint="default" w:ascii="Times New Roman" w:hAnsi="Times New Roman" w:cs="Times New Roman"/>
                <w:color w:val="000000" w:themeColor="text1"/>
              </w:rPr>
              <w:t>在设备四周周围建有吸声作用厂房墙体，并对设备进行密闭。</w:t>
            </w:r>
          </w:p>
          <w:p w14:paraId="791FA13F">
            <w:pPr>
              <w:rPr>
                <w:rFonts w:hint="default" w:ascii="Times New Roman" w:hAnsi="Times New Roman" w:cs="Times New Roman"/>
                <w:color w:val="000000" w:themeColor="text1"/>
              </w:rPr>
            </w:pPr>
            <w:r>
              <w:rPr>
                <w:rFonts w:hint="default" w:ascii="Times New Roman" w:hAnsi="Times New Roman" w:cs="Times New Roman"/>
                <w:color w:val="000000" w:themeColor="text1"/>
              </w:rPr>
              <w:t>采取以上措施，保守预计各种泵声源噪声至少可降低5~10dB</w:t>
            </w:r>
            <w:r>
              <w:rPr>
                <w:rFonts w:hint="eastAsia" w:ascii="Times New Roman" w:hAnsi="Times New Roman" w:cs="Times New Roman"/>
                <w:color w:val="000000" w:themeColor="text1"/>
                <w:lang w:eastAsia="zh-CN"/>
              </w:rPr>
              <w:t>（</w:t>
            </w:r>
            <w:r>
              <w:rPr>
                <w:rFonts w:hint="default" w:ascii="Times New Roman" w:hAnsi="Times New Roman" w:cs="Times New Roman"/>
                <w:color w:val="000000" w:themeColor="text1"/>
              </w:rPr>
              <w:t>A</w:t>
            </w:r>
            <w:r>
              <w:rPr>
                <w:rFonts w:hint="eastAsia" w:ascii="Times New Roman" w:hAnsi="Times New Roman" w:cs="Times New Roman"/>
                <w:color w:val="000000" w:themeColor="text1"/>
                <w:lang w:eastAsia="zh-CN"/>
              </w:rPr>
              <w:t>）</w:t>
            </w:r>
            <w:r>
              <w:rPr>
                <w:rFonts w:hint="default" w:ascii="Times New Roman" w:hAnsi="Times New Roman" w:cs="Times New Roman"/>
                <w:color w:val="000000" w:themeColor="text1"/>
              </w:rPr>
              <w:t>。经对治理后的噪声预测结果表明，东、南、西、北厂界昼、夜间噪声均可满足《工业厂界环境噪声排放标准》3类标准限值的要求。</w:t>
            </w:r>
          </w:p>
          <w:p w14:paraId="64A1DAF2">
            <w:pPr>
              <w:rPr>
                <w:rFonts w:hint="default" w:ascii="Times New Roman" w:hAnsi="Times New Roman" w:cs="Times New Roman"/>
                <w:color w:val="000000" w:themeColor="text1"/>
              </w:rPr>
            </w:pPr>
            <w:r>
              <w:rPr>
                <w:rFonts w:hint="default" w:ascii="Times New Roman" w:hAnsi="Times New Roman" w:cs="Times New Roman"/>
                <w:color w:val="000000" w:themeColor="text1"/>
              </w:rPr>
              <w:t>上述治理噪声的措施，是合理、可行的。</w:t>
            </w:r>
          </w:p>
          <w:p w14:paraId="78138638">
            <w:pPr>
              <w:adjustRightInd w:val="0"/>
              <w:snapToGrid w:val="0"/>
              <w:ind w:firstLine="482"/>
              <w:jc w:val="left"/>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4、运营期固体废物</w:t>
            </w:r>
          </w:p>
          <w:p w14:paraId="16E2CD6F">
            <w:pPr>
              <w:autoSpaceDE w:val="0"/>
              <w:autoSpaceDN w:val="0"/>
              <w:adjustRightInd w:val="0"/>
              <w:snapToGrid w:val="0"/>
              <w:ind w:firstLine="480"/>
              <w:jc w:val="left"/>
              <w:rPr>
                <w:rFonts w:hint="default" w:cs="Times New Roman"/>
                <w:b/>
                <w:bCs/>
                <w:color w:val="000000" w:themeColor="text1"/>
                <w:lang w:val="en-US" w:eastAsia="zh-CN"/>
              </w:rPr>
            </w:pPr>
            <w:r>
              <w:rPr>
                <w:rFonts w:hint="eastAsia" w:cs="Times New Roman"/>
                <w:b/>
                <w:bCs/>
                <w:color w:val="000000" w:themeColor="text1"/>
                <w:lang w:val="en-US" w:eastAsia="zh-CN"/>
              </w:rPr>
              <w:t>4.1固废源强</w:t>
            </w:r>
          </w:p>
          <w:p w14:paraId="7790248E">
            <w:pPr>
              <w:autoSpaceDE w:val="0"/>
              <w:autoSpaceDN w:val="0"/>
              <w:adjustRightInd w:val="0"/>
              <w:snapToGrid w:val="0"/>
              <w:ind w:firstLine="480"/>
              <w:jc w:val="left"/>
              <w:rPr>
                <w:rFonts w:hint="default" w:ascii="Times New Roman" w:hAnsi="Times New Roman" w:eastAsia="宋体" w:cs="Times New Roman"/>
                <w:color w:val="000000" w:themeColor="text1"/>
              </w:rPr>
            </w:pPr>
            <w:r>
              <w:rPr>
                <w:rFonts w:hint="eastAsia" w:cs="Times New Roman"/>
                <w:color w:val="000000" w:themeColor="text1"/>
                <w:lang w:eastAsia="zh-CN"/>
              </w:rPr>
              <w:t>本次扩建项目</w:t>
            </w:r>
            <w:r>
              <w:rPr>
                <w:rFonts w:hint="default" w:ascii="Times New Roman" w:hAnsi="Times New Roman" w:eastAsia="宋体" w:cs="Times New Roman"/>
                <w:color w:val="000000" w:themeColor="text1"/>
              </w:rPr>
              <w:t>固废</w:t>
            </w:r>
            <w:r>
              <w:rPr>
                <w:rFonts w:hint="eastAsia" w:cs="Times New Roman"/>
                <w:color w:val="000000" w:themeColor="text1"/>
                <w:lang w:val="en-US" w:eastAsia="zh-CN"/>
              </w:rPr>
              <w:t>主要有废布袋、布袋收集粉尘、废包装袋、废冷凝液、废活性炭、废润滑油、废润滑油桶</w:t>
            </w:r>
            <w:r>
              <w:rPr>
                <w:rFonts w:hint="default" w:ascii="Times New Roman" w:hAnsi="Times New Roman" w:eastAsia="宋体" w:cs="Times New Roman"/>
                <w:color w:val="000000" w:themeColor="text1"/>
              </w:rPr>
              <w:t>。根据固废产生种类及性质，分别采取收集后</w:t>
            </w:r>
            <w:r>
              <w:rPr>
                <w:rFonts w:hint="eastAsia" w:cs="Times New Roman"/>
                <w:color w:val="000000" w:themeColor="text1"/>
                <w:lang w:val="en-US" w:eastAsia="zh-CN"/>
              </w:rPr>
              <w:t>由供应商回收利用</w:t>
            </w:r>
            <w:r>
              <w:rPr>
                <w:rFonts w:hint="default" w:ascii="Times New Roman" w:hAnsi="Times New Roman" w:eastAsia="宋体" w:cs="Times New Roman"/>
                <w:color w:val="000000" w:themeColor="text1"/>
              </w:rPr>
              <w:t>以及收集后交由环卫部门</w:t>
            </w:r>
            <w:r>
              <w:rPr>
                <w:rFonts w:hint="eastAsia" w:cs="Times New Roman"/>
                <w:color w:val="000000" w:themeColor="text1"/>
                <w:lang w:val="en-US" w:eastAsia="zh-CN"/>
              </w:rPr>
              <w:t>处理</w:t>
            </w:r>
            <w:r>
              <w:rPr>
                <w:rFonts w:hint="default" w:ascii="Times New Roman" w:hAnsi="Times New Roman" w:eastAsia="宋体" w:cs="Times New Roman"/>
                <w:color w:val="000000" w:themeColor="text1"/>
              </w:rPr>
              <w:t>，无外排，不产生二次污染物，对当地环境不造成影响。</w:t>
            </w:r>
          </w:p>
          <w:p w14:paraId="61A91991">
            <w:pPr>
              <w:pStyle w:val="46"/>
              <w:keepNext w:val="0"/>
              <w:keepLines w:val="0"/>
              <w:pageBreakBefore w:val="0"/>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（1）一般固废</w:t>
            </w:r>
          </w:p>
          <w:p w14:paraId="0F3275CA">
            <w:pPr>
              <w:pStyle w:val="6"/>
              <w:bidi w:val="0"/>
              <w:rPr>
                <w:rFonts w:hint="default"/>
                <w:color w:val="000000" w:themeColor="text1"/>
                <w:lang w:val="en-US" w:eastAsia="zh-CN"/>
              </w:rPr>
            </w:pPr>
            <w:r>
              <w:rPr>
                <w:rFonts w:hint="eastAsia"/>
                <w:color w:val="000000" w:themeColor="text1"/>
                <w:lang w:val="en-US" w:eastAsia="zh-CN"/>
              </w:rPr>
              <w:t>1）</w:t>
            </w:r>
            <w:r>
              <w:rPr>
                <w:rFonts w:hint="default"/>
                <w:color w:val="000000" w:themeColor="text1"/>
                <w:lang w:val="en-US" w:eastAsia="zh-CN"/>
              </w:rPr>
              <w:t>废包装</w:t>
            </w:r>
            <w:r>
              <w:rPr>
                <w:rFonts w:hint="eastAsia"/>
                <w:color w:val="000000" w:themeColor="text1"/>
                <w:lang w:val="en-US" w:eastAsia="zh-CN"/>
              </w:rPr>
              <w:t>袋</w:t>
            </w:r>
          </w:p>
          <w:p w14:paraId="08BFFC29">
            <w:pPr>
              <w:ind w:firstLine="480"/>
              <w:rPr>
                <w:rFonts w:hint="default" w:ascii="Times New Roman" w:hAnsi="Times New Roman" w:cs="Times New Roman"/>
                <w:color w:val="000000" w:themeColor="text1"/>
              </w:rPr>
            </w:pPr>
            <w:r>
              <w:rPr>
                <w:rFonts w:hint="default" w:ascii="Times New Roman" w:hAnsi="Times New Roman" w:cs="Times New Roman"/>
                <w:color w:val="000000" w:themeColor="text1"/>
              </w:rPr>
              <w:t>根据建设单位提供资料，在生产过程中使用的辅料用完后会产生废包装袋，产生量约为</w:t>
            </w:r>
            <w:r>
              <w:rPr>
                <w:rFonts w:hint="eastAsia" w:ascii="Times New Roman" w:hAnsi="Times New Roman" w:cs="Times New Roman"/>
                <w:color w:val="000000" w:themeColor="text1"/>
                <w:lang w:val="en-US" w:eastAsia="zh-CN"/>
              </w:rPr>
              <w:t>0.2</w:t>
            </w:r>
            <w:r>
              <w:rPr>
                <w:rFonts w:hint="default" w:ascii="Times New Roman" w:hAnsi="Times New Roman" w:cs="Times New Roman"/>
                <w:color w:val="000000" w:themeColor="text1"/>
              </w:rPr>
              <w:t>t/a，该废包装袋属于一般固废，集中收集后外售综合利用。根据《</w:t>
            </w:r>
            <w:r>
              <w:rPr>
                <w:rFonts w:hint="default" w:ascii="Times New Roman" w:hAnsi="Times New Roman" w:cs="Times New Roman"/>
                <w:color w:val="000000" w:themeColor="text1"/>
                <w:lang w:val="en-US" w:eastAsia="zh-CN"/>
              </w:rPr>
              <w:t>固体废物分类与代码目录</w:t>
            </w:r>
            <w:r>
              <w:rPr>
                <w:rFonts w:hint="default" w:ascii="Times New Roman" w:hAnsi="Times New Roman" w:cs="Times New Roman"/>
                <w:color w:val="000000" w:themeColor="text1"/>
              </w:rPr>
              <w:t>》（生态环境部公告2024年第4号</w:t>
            </w:r>
            <w:r>
              <w:rPr>
                <w:rFonts w:hint="default" w:ascii="Times New Roman" w:hAnsi="Times New Roman" w:cs="Times New Roman"/>
                <w:color w:val="000000" w:themeColor="text1"/>
                <w:lang w:val="en-US" w:eastAsia="zh-CN"/>
              </w:rPr>
              <w:t>文</w:t>
            </w:r>
            <w:r>
              <w:rPr>
                <w:rFonts w:hint="default" w:ascii="Times New Roman" w:hAnsi="Times New Roman" w:cs="Times New Roman"/>
                <w:color w:val="000000" w:themeColor="text1"/>
              </w:rPr>
              <w:t>），该固体废物代码为</w:t>
            </w:r>
            <w:r>
              <w:rPr>
                <w:rFonts w:hint="default" w:ascii="Times New Roman" w:hAnsi="Times New Roman" w:cs="Times New Roman"/>
                <w:color w:val="000000" w:themeColor="text1"/>
                <w:lang w:val="en-US" w:eastAsia="zh-CN"/>
              </w:rPr>
              <w:t>900-0</w:t>
            </w:r>
            <w:r>
              <w:rPr>
                <w:rFonts w:hint="eastAsia" w:cs="Times New Roman"/>
                <w:color w:val="000000" w:themeColor="text1"/>
                <w:lang w:val="en-US" w:eastAsia="zh-CN"/>
              </w:rPr>
              <w:t>99</w:t>
            </w:r>
            <w:r>
              <w:rPr>
                <w:rFonts w:hint="default" w:ascii="Times New Roman" w:hAnsi="Times New Roman" w:cs="Times New Roman"/>
                <w:color w:val="000000" w:themeColor="text1"/>
                <w:lang w:val="en-US" w:eastAsia="zh-CN"/>
              </w:rPr>
              <w:t>-S</w:t>
            </w:r>
            <w:r>
              <w:rPr>
                <w:rFonts w:hint="eastAsia" w:cs="Times New Roman"/>
                <w:color w:val="000000" w:themeColor="text1"/>
                <w:lang w:val="en-US" w:eastAsia="zh-CN"/>
              </w:rPr>
              <w:t>59</w:t>
            </w:r>
            <w:r>
              <w:rPr>
                <w:rFonts w:hint="default" w:ascii="Times New Roman" w:hAnsi="Times New Roman" w:cs="Times New Roman"/>
                <w:color w:val="000000" w:themeColor="text1"/>
              </w:rPr>
              <w:t>。</w:t>
            </w:r>
          </w:p>
          <w:p w14:paraId="3D1C1BF7">
            <w:pPr>
              <w:pStyle w:val="6"/>
              <w:bidi w:val="0"/>
              <w:rPr>
                <w:rFonts w:hint="default"/>
                <w:color w:val="000000" w:themeColor="text1"/>
                <w:lang w:val="en-US" w:eastAsia="zh-CN"/>
              </w:rPr>
            </w:pPr>
            <w:r>
              <w:rPr>
                <w:rFonts w:hint="eastAsia"/>
                <w:color w:val="000000" w:themeColor="text1"/>
                <w:lang w:val="en-US" w:eastAsia="zh-CN"/>
              </w:rPr>
              <w:t>2）布袋收集粉尘</w:t>
            </w:r>
          </w:p>
          <w:p w14:paraId="0EFC13EF">
            <w:pPr>
              <w:ind w:firstLine="480"/>
              <w:rPr>
                <w:rFonts w:hint="default" w:ascii="Times New Roman" w:hAnsi="Times New Roman" w:cs="Times New Roman"/>
                <w:color w:val="000000" w:themeColor="text1"/>
              </w:rPr>
            </w:pPr>
            <w:r>
              <w:rPr>
                <w:rFonts w:hint="default" w:ascii="Times New Roman" w:hAnsi="Times New Roman" w:eastAsia="宋体" w:cs="Times New Roman"/>
                <w:color w:val="000000" w:themeColor="text1"/>
              </w:rPr>
              <w:t>本项目粉尘的污染防治设施采用布袋除尘器，根据表4-</w:t>
            </w:r>
            <w:r>
              <w:rPr>
                <w:rFonts w:hint="eastAsia" w:ascii="Times New Roman" w:hAnsi="Times New Roman" w:eastAsia="宋体" w:cs="Times New Roman"/>
                <w:color w:val="000000" w:themeColor="text1"/>
                <w:lang w:val="en-US" w:eastAsia="zh-CN"/>
              </w:rPr>
              <w:t>6</w:t>
            </w:r>
            <w:r>
              <w:rPr>
                <w:rFonts w:hint="default" w:ascii="Times New Roman" w:hAnsi="Times New Roman" w:eastAsia="宋体" w:cs="Times New Roman"/>
                <w:color w:val="000000" w:themeColor="text1"/>
              </w:rPr>
              <w:t>可知，布袋除尘器收尘量约为</w:t>
            </w:r>
            <w:r>
              <w:rPr>
                <w:rFonts w:hint="eastAsia" w:ascii="Times New Roman" w:hAnsi="Times New Roman" w:eastAsia="宋体" w:cs="Times New Roman"/>
                <w:color w:val="000000" w:themeColor="text1"/>
                <w:lang w:val="en-US" w:eastAsia="zh-CN"/>
              </w:rPr>
              <w:t>15.53</w:t>
            </w:r>
            <w:r>
              <w:rPr>
                <w:rFonts w:hint="default" w:ascii="Times New Roman" w:hAnsi="Times New Roman" w:eastAsia="宋体" w:cs="Times New Roman"/>
                <w:color w:val="000000" w:themeColor="text1"/>
              </w:rPr>
              <w:t>t/a ，经收集后回用于生产。</w:t>
            </w:r>
            <w:r>
              <w:rPr>
                <w:rFonts w:hint="default" w:ascii="Times New Roman" w:hAnsi="Times New Roman" w:cs="Times New Roman"/>
                <w:color w:val="000000" w:themeColor="text1"/>
              </w:rPr>
              <w:t>该</w:t>
            </w:r>
            <w:r>
              <w:rPr>
                <w:rFonts w:hint="eastAsia" w:ascii="Times New Roman" w:hAnsi="Times New Roman" w:cs="Times New Roman"/>
                <w:color w:val="000000" w:themeColor="text1"/>
                <w:lang w:val="en-US" w:eastAsia="zh-CN"/>
              </w:rPr>
              <w:t>粉尘</w:t>
            </w:r>
            <w:r>
              <w:rPr>
                <w:rFonts w:hint="default" w:ascii="Times New Roman" w:hAnsi="Times New Roman" w:cs="Times New Roman"/>
                <w:color w:val="000000" w:themeColor="text1"/>
              </w:rPr>
              <w:t>属于一般固废，集中收集后外售综合利用。根据《</w:t>
            </w:r>
            <w:r>
              <w:rPr>
                <w:rFonts w:hint="default" w:ascii="Times New Roman" w:hAnsi="Times New Roman" w:cs="Times New Roman"/>
                <w:color w:val="000000" w:themeColor="text1"/>
                <w:lang w:val="en-US" w:eastAsia="zh-CN"/>
              </w:rPr>
              <w:t>固体废物分类与代码目录</w:t>
            </w:r>
            <w:r>
              <w:rPr>
                <w:rFonts w:hint="default" w:ascii="Times New Roman" w:hAnsi="Times New Roman" w:cs="Times New Roman"/>
                <w:color w:val="000000" w:themeColor="text1"/>
              </w:rPr>
              <w:t>》（生态环境部公告2024年第4号</w:t>
            </w:r>
            <w:r>
              <w:rPr>
                <w:rFonts w:hint="default" w:ascii="Times New Roman" w:hAnsi="Times New Roman" w:cs="Times New Roman"/>
                <w:color w:val="000000" w:themeColor="text1"/>
                <w:lang w:val="en-US" w:eastAsia="zh-CN"/>
              </w:rPr>
              <w:t>文</w:t>
            </w:r>
            <w:r>
              <w:rPr>
                <w:rFonts w:hint="default" w:ascii="Times New Roman" w:hAnsi="Times New Roman" w:cs="Times New Roman"/>
                <w:color w:val="000000" w:themeColor="text1"/>
              </w:rPr>
              <w:t>），该固体废物代码为</w:t>
            </w:r>
            <w:r>
              <w:rPr>
                <w:rFonts w:hint="default" w:ascii="Times New Roman" w:hAnsi="Times New Roman" w:cs="Times New Roman"/>
                <w:color w:val="000000" w:themeColor="text1"/>
                <w:lang w:val="en-US" w:eastAsia="zh-CN"/>
              </w:rPr>
              <w:t>900-0</w:t>
            </w:r>
            <w:r>
              <w:rPr>
                <w:rFonts w:hint="eastAsia" w:ascii="Times New Roman" w:hAnsi="Times New Roman" w:cs="Times New Roman"/>
                <w:color w:val="000000" w:themeColor="text1"/>
                <w:lang w:val="en-US" w:eastAsia="zh-CN"/>
              </w:rPr>
              <w:t>99</w:t>
            </w:r>
            <w:r>
              <w:rPr>
                <w:rFonts w:hint="default" w:ascii="Times New Roman" w:hAnsi="Times New Roman" w:cs="Times New Roman"/>
                <w:color w:val="000000" w:themeColor="text1"/>
                <w:lang w:val="en-US" w:eastAsia="zh-CN"/>
              </w:rPr>
              <w:t>-S</w:t>
            </w:r>
            <w:r>
              <w:rPr>
                <w:rFonts w:hint="eastAsia" w:ascii="Times New Roman" w:hAnsi="Times New Roman" w:cs="Times New Roman"/>
                <w:color w:val="000000" w:themeColor="text1"/>
                <w:lang w:val="en-US" w:eastAsia="zh-CN"/>
              </w:rPr>
              <w:t>59</w:t>
            </w:r>
            <w:r>
              <w:rPr>
                <w:rFonts w:hint="default" w:ascii="Times New Roman" w:hAnsi="Times New Roman" w:cs="Times New Roman"/>
                <w:color w:val="000000" w:themeColor="text1"/>
              </w:rPr>
              <w:t>。</w:t>
            </w:r>
          </w:p>
          <w:p w14:paraId="06EA7348">
            <w:pPr>
              <w:numPr>
                <w:ilvl w:val="0"/>
                <w:numId w:val="0"/>
              </w:numPr>
              <w:ind w:firstLine="480" w:firstLineChars="200"/>
              <w:rPr>
                <w:rFonts w:hint="eastAsia"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3）废布袋</w:t>
            </w:r>
          </w:p>
          <w:p w14:paraId="46BBDD45">
            <w:pPr>
              <w:ind w:firstLine="480"/>
              <w:rPr>
                <w:rFonts w:hint="default" w:ascii="Times New Roman" w:hAnsi="Times New Roman" w:cs="Times New Roman"/>
                <w:color w:val="000000" w:themeColor="text1"/>
              </w:rPr>
            </w:pPr>
            <w:r>
              <w:rPr>
                <w:rFonts w:hint="default" w:ascii="Times New Roman" w:hAnsi="Times New Roman" w:eastAsia="宋体" w:cs="Times New Roman"/>
                <w:color w:val="000000" w:themeColor="text1"/>
                <w:lang w:val="en-US" w:eastAsia="zh-CN"/>
              </w:rPr>
              <w:t>本项目采用布袋除尘器治理粉尘，随着使用时间的增加，布袋会发生磨损、堵塞等情况，需定期更换布袋，根据企业提供的材料，废布袋的产生量约为</w:t>
            </w:r>
            <w:r>
              <w:rPr>
                <w:rFonts w:hint="eastAsia" w:ascii="Times New Roman" w:hAnsi="Times New Roman" w:eastAsia="宋体" w:cs="Times New Roman"/>
                <w:color w:val="000000" w:themeColor="text1"/>
                <w:lang w:val="en-US" w:eastAsia="zh-CN"/>
              </w:rPr>
              <w:t>0.5</w:t>
            </w:r>
            <w:r>
              <w:rPr>
                <w:rFonts w:hint="default" w:ascii="Times New Roman" w:hAnsi="Times New Roman" w:eastAsia="宋体" w:cs="Times New Roman"/>
                <w:color w:val="000000" w:themeColor="text1"/>
                <w:lang w:val="en-US" w:eastAsia="zh-CN"/>
              </w:rPr>
              <w:t>t/a，企业集中收集后</w:t>
            </w:r>
            <w:r>
              <w:rPr>
                <w:rFonts w:hint="default" w:ascii="Times New Roman" w:hAnsi="Times New Roman" w:cs="Times New Roman"/>
                <w:color w:val="000000" w:themeColor="text1"/>
              </w:rPr>
              <w:t>外售综合利</w:t>
            </w:r>
            <w:r>
              <w:rPr>
                <w:rFonts w:hint="default" w:ascii="Times New Roman" w:hAnsi="Times New Roman" w:eastAsia="宋体" w:cs="Times New Roman"/>
                <w:color w:val="000000" w:themeColor="text1"/>
                <w:lang w:val="en-US" w:eastAsia="zh-CN"/>
              </w:rPr>
              <w:t>。</w:t>
            </w:r>
            <w:r>
              <w:rPr>
                <w:rFonts w:hint="default" w:ascii="Times New Roman" w:hAnsi="Times New Roman" w:cs="Times New Roman"/>
                <w:color w:val="000000" w:themeColor="text1"/>
              </w:rPr>
              <w:t>根据《</w:t>
            </w:r>
            <w:r>
              <w:rPr>
                <w:rFonts w:hint="default" w:ascii="Times New Roman" w:hAnsi="Times New Roman" w:cs="Times New Roman"/>
                <w:color w:val="000000" w:themeColor="text1"/>
                <w:lang w:val="en-US" w:eastAsia="zh-CN"/>
              </w:rPr>
              <w:t>固体废物分类与代码目录</w:t>
            </w:r>
            <w:r>
              <w:rPr>
                <w:rFonts w:hint="default" w:ascii="Times New Roman" w:hAnsi="Times New Roman" w:cs="Times New Roman"/>
                <w:color w:val="000000" w:themeColor="text1"/>
              </w:rPr>
              <w:t>》（生态环境部公告2024年第4号</w:t>
            </w:r>
            <w:r>
              <w:rPr>
                <w:rFonts w:hint="default" w:ascii="Times New Roman" w:hAnsi="Times New Roman" w:cs="Times New Roman"/>
                <w:color w:val="000000" w:themeColor="text1"/>
                <w:lang w:val="en-US" w:eastAsia="zh-CN"/>
              </w:rPr>
              <w:t>文</w:t>
            </w:r>
            <w:r>
              <w:rPr>
                <w:rFonts w:hint="default" w:ascii="Times New Roman" w:hAnsi="Times New Roman" w:cs="Times New Roman"/>
                <w:color w:val="000000" w:themeColor="text1"/>
              </w:rPr>
              <w:t>），该固体废物代码为</w:t>
            </w:r>
            <w:r>
              <w:rPr>
                <w:rFonts w:hint="default" w:ascii="Times New Roman" w:hAnsi="Times New Roman" w:cs="Times New Roman"/>
                <w:color w:val="000000" w:themeColor="text1"/>
                <w:lang w:val="en-US" w:eastAsia="zh-CN"/>
              </w:rPr>
              <w:t>900-0</w:t>
            </w:r>
            <w:r>
              <w:rPr>
                <w:rFonts w:hint="eastAsia" w:ascii="Times New Roman" w:hAnsi="Times New Roman" w:cs="Times New Roman"/>
                <w:color w:val="000000" w:themeColor="text1"/>
                <w:lang w:val="en-US" w:eastAsia="zh-CN"/>
              </w:rPr>
              <w:t>99</w:t>
            </w:r>
            <w:r>
              <w:rPr>
                <w:rFonts w:hint="default" w:ascii="Times New Roman" w:hAnsi="Times New Roman" w:cs="Times New Roman"/>
                <w:color w:val="000000" w:themeColor="text1"/>
                <w:lang w:val="en-US" w:eastAsia="zh-CN"/>
              </w:rPr>
              <w:t>-S</w:t>
            </w:r>
            <w:r>
              <w:rPr>
                <w:rFonts w:hint="eastAsia" w:ascii="Times New Roman" w:hAnsi="Times New Roman" w:cs="Times New Roman"/>
                <w:color w:val="000000" w:themeColor="text1"/>
                <w:lang w:val="en-US" w:eastAsia="zh-CN"/>
              </w:rPr>
              <w:t>59</w:t>
            </w:r>
            <w:r>
              <w:rPr>
                <w:rFonts w:hint="default" w:ascii="Times New Roman" w:hAnsi="Times New Roman" w:cs="Times New Roman"/>
                <w:color w:val="000000" w:themeColor="text1"/>
              </w:rPr>
              <w:t>。</w:t>
            </w:r>
          </w:p>
          <w:p w14:paraId="6003EC30">
            <w:pPr>
              <w:numPr>
                <w:ilvl w:val="0"/>
                <w:numId w:val="0"/>
              </w:numPr>
              <w:ind w:firstLine="480" w:firstLineChars="200"/>
              <w:rPr>
                <w:rFonts w:hint="default" w:ascii="Times New Roman" w:hAnsi="Times New Roman" w:cs="Times New Roman"/>
                <w:color w:val="000000" w:themeColor="text1"/>
                <w:lang w:val="en-US" w:eastAsia="zh-CN"/>
              </w:rPr>
            </w:pPr>
            <w:r>
              <w:rPr>
                <w:rFonts w:hint="eastAsia" w:ascii="Times New Roman" w:hAnsi="Times New Roman" w:cs="Times New Roman"/>
                <w:color w:val="000000" w:themeColor="text1"/>
                <w:lang w:val="en-US" w:eastAsia="zh-CN"/>
              </w:rPr>
              <w:t>4）不合格品以及边角料</w:t>
            </w:r>
          </w:p>
          <w:p w14:paraId="4440F333">
            <w:pPr>
              <w:ind w:firstLine="480"/>
              <w:rPr>
                <w:rFonts w:hint="default" w:ascii="Times New Roman" w:hAnsi="Times New Roman" w:cs="Times New Roman"/>
                <w:color w:val="000000" w:themeColor="text1"/>
              </w:rPr>
            </w:pPr>
            <w:r>
              <w:rPr>
                <w:rFonts w:hint="default" w:ascii="Times New Roman" w:hAnsi="Times New Roman" w:eastAsia="宋体" w:cs="Times New Roman"/>
                <w:color w:val="000000" w:themeColor="text1"/>
                <w:lang w:val="en-US" w:eastAsia="zh-CN"/>
              </w:rPr>
              <w:t>本项目</w:t>
            </w:r>
            <w:r>
              <w:rPr>
                <w:rFonts w:hint="eastAsia" w:ascii="Times New Roman" w:hAnsi="Times New Roman" w:cs="Times New Roman"/>
                <w:color w:val="000000" w:themeColor="text1"/>
                <w:lang w:val="en-US" w:eastAsia="zh-CN"/>
              </w:rPr>
              <w:t>切粒、脱水、筛分过程中会产生不合格品以及边角料，</w:t>
            </w:r>
            <w:r>
              <w:rPr>
                <w:rFonts w:hint="default" w:ascii="Times New Roman" w:hAnsi="Times New Roman" w:eastAsia="宋体" w:cs="Times New Roman"/>
                <w:color w:val="000000" w:themeColor="text1"/>
                <w:lang w:val="en-US" w:eastAsia="zh-CN"/>
              </w:rPr>
              <w:t>根据企业提供的材料，</w:t>
            </w:r>
            <w:r>
              <w:rPr>
                <w:rFonts w:hint="eastAsia" w:ascii="Times New Roman" w:hAnsi="Times New Roman" w:cs="Times New Roman"/>
                <w:color w:val="000000" w:themeColor="text1"/>
                <w:lang w:val="en-US" w:eastAsia="zh-CN"/>
              </w:rPr>
              <w:t>不合格品以及边角料</w:t>
            </w:r>
            <w:r>
              <w:rPr>
                <w:rFonts w:hint="default" w:ascii="Times New Roman" w:hAnsi="Times New Roman" w:eastAsia="宋体" w:cs="Times New Roman"/>
                <w:color w:val="000000" w:themeColor="text1"/>
                <w:lang w:val="en-US" w:eastAsia="zh-CN"/>
              </w:rPr>
              <w:t>的产生量约为</w:t>
            </w:r>
            <w:r>
              <w:rPr>
                <w:rFonts w:hint="eastAsia" w:ascii="Times New Roman" w:hAnsi="Times New Roman" w:cs="Times New Roman"/>
                <w:color w:val="000000" w:themeColor="text1"/>
                <w:lang w:val="en-US" w:eastAsia="zh-CN"/>
              </w:rPr>
              <w:t>3</w:t>
            </w:r>
            <w:r>
              <w:rPr>
                <w:rFonts w:hint="default" w:ascii="Times New Roman" w:hAnsi="Times New Roman" w:eastAsia="宋体" w:cs="Times New Roman"/>
                <w:color w:val="000000" w:themeColor="text1"/>
                <w:lang w:val="en-US" w:eastAsia="zh-CN"/>
              </w:rPr>
              <w:t>t/a，企业集中收集后</w:t>
            </w:r>
            <w:r>
              <w:rPr>
                <w:rFonts w:hint="eastAsia" w:ascii="Times New Roman" w:hAnsi="Times New Roman" w:cs="Times New Roman"/>
                <w:color w:val="000000" w:themeColor="text1"/>
                <w:lang w:val="en-US" w:eastAsia="zh-CN"/>
              </w:rPr>
              <w:t>返回至挤出工序生产产品</w:t>
            </w:r>
            <w:r>
              <w:rPr>
                <w:rFonts w:hint="default" w:ascii="Times New Roman" w:hAnsi="Times New Roman" w:eastAsia="宋体" w:cs="Times New Roman"/>
                <w:color w:val="000000" w:themeColor="text1"/>
                <w:lang w:val="en-US" w:eastAsia="zh-CN"/>
              </w:rPr>
              <w:t>。</w:t>
            </w:r>
            <w:r>
              <w:rPr>
                <w:rFonts w:hint="default" w:ascii="Times New Roman" w:hAnsi="Times New Roman" w:cs="Times New Roman"/>
                <w:color w:val="000000" w:themeColor="text1"/>
              </w:rPr>
              <w:t>根据《</w:t>
            </w:r>
            <w:r>
              <w:rPr>
                <w:rFonts w:hint="default" w:ascii="Times New Roman" w:hAnsi="Times New Roman" w:cs="Times New Roman"/>
                <w:color w:val="000000" w:themeColor="text1"/>
                <w:lang w:val="en-US" w:eastAsia="zh-CN"/>
              </w:rPr>
              <w:t>固体废物分类与代码目录</w:t>
            </w:r>
            <w:r>
              <w:rPr>
                <w:rFonts w:hint="default" w:ascii="Times New Roman" w:hAnsi="Times New Roman" w:cs="Times New Roman"/>
                <w:color w:val="000000" w:themeColor="text1"/>
              </w:rPr>
              <w:t>》（生态环境部公告2024年第4号</w:t>
            </w:r>
            <w:r>
              <w:rPr>
                <w:rFonts w:hint="default" w:ascii="Times New Roman" w:hAnsi="Times New Roman" w:cs="Times New Roman"/>
                <w:color w:val="000000" w:themeColor="text1"/>
                <w:lang w:val="en-US" w:eastAsia="zh-CN"/>
              </w:rPr>
              <w:t>文</w:t>
            </w:r>
            <w:r>
              <w:rPr>
                <w:rFonts w:hint="default" w:ascii="Times New Roman" w:hAnsi="Times New Roman" w:cs="Times New Roman"/>
                <w:color w:val="000000" w:themeColor="text1"/>
              </w:rPr>
              <w:t>），该固体废物代码为</w:t>
            </w:r>
            <w:r>
              <w:rPr>
                <w:rFonts w:hint="default" w:ascii="Times New Roman" w:hAnsi="Times New Roman" w:cs="Times New Roman"/>
                <w:color w:val="000000" w:themeColor="text1"/>
                <w:lang w:val="en-US" w:eastAsia="zh-CN"/>
              </w:rPr>
              <w:t>900-0</w:t>
            </w:r>
            <w:r>
              <w:rPr>
                <w:rFonts w:hint="eastAsia" w:ascii="Times New Roman" w:hAnsi="Times New Roman" w:cs="Times New Roman"/>
                <w:color w:val="000000" w:themeColor="text1"/>
                <w:lang w:val="en-US" w:eastAsia="zh-CN"/>
              </w:rPr>
              <w:t>03</w:t>
            </w:r>
            <w:r>
              <w:rPr>
                <w:rFonts w:hint="default" w:ascii="Times New Roman" w:hAnsi="Times New Roman" w:cs="Times New Roman"/>
                <w:color w:val="000000" w:themeColor="text1"/>
                <w:lang w:val="en-US" w:eastAsia="zh-CN"/>
              </w:rPr>
              <w:t>-S</w:t>
            </w:r>
            <w:r>
              <w:rPr>
                <w:rFonts w:hint="eastAsia" w:ascii="Times New Roman" w:hAnsi="Times New Roman" w:cs="Times New Roman"/>
                <w:color w:val="000000" w:themeColor="text1"/>
                <w:lang w:val="en-US" w:eastAsia="zh-CN"/>
              </w:rPr>
              <w:t>17</w:t>
            </w:r>
            <w:r>
              <w:rPr>
                <w:rFonts w:hint="default" w:ascii="Times New Roman" w:hAnsi="Times New Roman" w:cs="Times New Roman"/>
                <w:color w:val="000000" w:themeColor="text1"/>
              </w:rPr>
              <w:t>。</w:t>
            </w:r>
          </w:p>
          <w:p w14:paraId="59D8E50D">
            <w:pPr>
              <w:keepNext w:val="0"/>
              <w:keepLines w:val="0"/>
              <w:pageBreakBefore w:val="0"/>
              <w:kinsoku/>
              <w:wordWrap/>
              <w:overflowPunct/>
              <w:topLinePunct w:val="0"/>
              <w:autoSpaceDE w:val="0"/>
              <w:autoSpaceDN w:val="0"/>
              <w:bidi w:val="0"/>
              <w:adjustRightInd w:val="0"/>
              <w:snapToGrid w:val="0"/>
              <w:spacing w:line="360" w:lineRule="auto"/>
              <w:ind w:left="0" w:right="0" w:firstLine="480" w:firstLineChars="200"/>
              <w:jc w:val="left"/>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（2）危险固废</w:t>
            </w:r>
          </w:p>
          <w:p w14:paraId="721B4DB5">
            <w:pPr>
              <w:pStyle w:val="6"/>
              <w:bidi w:val="0"/>
              <w:rPr>
                <w:rFonts w:hint="default"/>
                <w:color w:val="000000" w:themeColor="text1"/>
                <w:lang w:val="en-US" w:eastAsia="zh-CN"/>
              </w:rPr>
            </w:pPr>
            <w:r>
              <w:rPr>
                <w:rFonts w:hint="eastAsia"/>
                <w:color w:val="000000" w:themeColor="text1"/>
                <w:lang w:val="en-US" w:eastAsia="zh-CN"/>
              </w:rPr>
              <w:t>1）废冷凝液</w:t>
            </w:r>
          </w:p>
          <w:p w14:paraId="32460971">
            <w:pPr>
              <w:ind w:firstLine="480"/>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本项目</w:t>
            </w:r>
            <w:r>
              <w:rPr>
                <w:rFonts w:hint="eastAsia" w:ascii="Times New Roman" w:hAnsi="Times New Roman" w:eastAsia="宋体" w:cs="Times New Roman"/>
                <w:color w:val="000000" w:themeColor="text1"/>
                <w:lang w:val="en-US" w:eastAsia="zh-CN"/>
              </w:rPr>
              <w:t>的</w:t>
            </w:r>
            <w:r>
              <w:rPr>
                <w:rFonts w:hint="default" w:ascii="Times New Roman" w:hAnsi="Times New Roman" w:eastAsia="宋体" w:cs="Times New Roman"/>
                <w:color w:val="000000" w:themeColor="text1"/>
                <w:lang w:val="en-US" w:eastAsia="zh-CN"/>
              </w:rPr>
              <w:t>有机废气经</w:t>
            </w:r>
            <w:r>
              <w:rPr>
                <w:rFonts w:hint="eastAsia" w:ascii="Times New Roman" w:hAnsi="Times New Roman" w:eastAsia="宋体" w:cs="Times New Roman"/>
                <w:color w:val="000000" w:themeColor="text1"/>
                <w:lang w:val="en-US" w:eastAsia="zh-CN"/>
              </w:rPr>
              <w:t>深冷处理后再进入尾端废气处理装置，</w:t>
            </w:r>
            <w:r>
              <w:rPr>
                <w:rFonts w:hint="default" w:ascii="Times New Roman" w:hAnsi="Times New Roman" w:eastAsia="宋体" w:cs="Times New Roman"/>
                <w:color w:val="000000" w:themeColor="text1"/>
                <w:lang w:val="en-US" w:eastAsia="zh-CN"/>
              </w:rPr>
              <w:t>有机废气有组织产生量为</w:t>
            </w:r>
            <w:r>
              <w:rPr>
                <w:rFonts w:hint="eastAsia" w:ascii="Times New Roman" w:hAnsi="Times New Roman" w:eastAsia="宋体" w:cs="Times New Roman"/>
                <w:color w:val="000000" w:themeColor="text1"/>
                <w:lang w:val="en-US" w:eastAsia="zh-CN"/>
              </w:rPr>
              <w:t>3.645</w:t>
            </w:r>
            <w:r>
              <w:rPr>
                <w:rFonts w:hint="default" w:ascii="Times New Roman" w:hAnsi="Times New Roman" w:eastAsia="宋体" w:cs="Times New Roman"/>
                <w:color w:val="000000" w:themeColor="text1"/>
                <w:lang w:val="en-US" w:eastAsia="zh-CN"/>
              </w:rPr>
              <w:t>t/a，</w:t>
            </w:r>
            <w:r>
              <w:rPr>
                <w:rFonts w:hint="eastAsia" w:ascii="Times New Roman" w:hAnsi="Times New Roman" w:eastAsia="宋体" w:cs="Times New Roman"/>
                <w:color w:val="000000" w:themeColor="text1"/>
                <w:lang w:val="en-US" w:eastAsia="zh-CN"/>
              </w:rPr>
              <w:t>冷凝效</w:t>
            </w:r>
            <w:r>
              <w:rPr>
                <w:rFonts w:hint="eastAsia" w:cs="Times New Roman"/>
                <w:color w:val="000000" w:themeColor="text1"/>
                <w:lang w:val="en-US" w:eastAsia="zh-CN"/>
              </w:rPr>
              <w:t>率为</w:t>
            </w:r>
            <w:r>
              <w:rPr>
                <w:rFonts w:hint="eastAsia" w:ascii="Times New Roman" w:hAnsi="Times New Roman" w:eastAsia="宋体" w:cs="Times New Roman"/>
                <w:color w:val="000000" w:themeColor="text1"/>
                <w:lang w:val="en-US" w:eastAsia="zh-CN"/>
              </w:rPr>
              <w:t>60%，冷凝量为2.187</w:t>
            </w:r>
            <w:r>
              <w:rPr>
                <w:rFonts w:hint="default" w:ascii="Times New Roman" w:hAnsi="Times New Roman" w:eastAsia="宋体" w:cs="Times New Roman"/>
                <w:color w:val="000000" w:themeColor="text1"/>
                <w:lang w:val="en-US" w:eastAsia="zh-CN"/>
              </w:rPr>
              <w:t>t/a。</w:t>
            </w:r>
            <w:r>
              <w:rPr>
                <w:rFonts w:hint="default" w:ascii="Times New Roman" w:hAnsi="Times New Roman" w:eastAsia="宋体" w:cs="Times New Roman"/>
                <w:color w:val="000000" w:themeColor="text1"/>
              </w:rPr>
              <w:t>根据《国家危险废物名录》（202</w:t>
            </w:r>
            <w:r>
              <w:rPr>
                <w:rFonts w:hint="default" w:ascii="Times New Roman" w:hAnsi="Times New Roman" w:eastAsia="宋体" w:cs="Times New Roman"/>
                <w:color w:val="000000" w:themeColor="text1"/>
                <w:lang w:val="en-US" w:eastAsia="zh-CN"/>
              </w:rPr>
              <w:t>5</w:t>
            </w:r>
            <w:r>
              <w:rPr>
                <w:rFonts w:hint="default" w:ascii="Times New Roman" w:hAnsi="Times New Roman" w:eastAsia="宋体" w:cs="Times New Roman"/>
                <w:color w:val="000000" w:themeColor="text1"/>
              </w:rPr>
              <w:t>年</w:t>
            </w:r>
            <w:r>
              <w:rPr>
                <w:rFonts w:hint="default" w:ascii="Times New Roman" w:hAnsi="Times New Roman" w:eastAsia="宋体" w:cs="Times New Roman"/>
                <w:color w:val="000000" w:themeColor="text1"/>
                <w:lang w:val="en-US" w:eastAsia="zh-CN"/>
              </w:rPr>
              <w:t>版</w:t>
            </w:r>
            <w:r>
              <w:rPr>
                <w:rFonts w:hint="default" w:ascii="Times New Roman" w:hAnsi="Times New Roman" w:eastAsia="宋体" w:cs="Times New Roman"/>
                <w:color w:val="000000" w:themeColor="text1"/>
              </w:rPr>
              <w:t>），其属于危险废物，HW</w:t>
            </w:r>
            <w:r>
              <w:rPr>
                <w:rFonts w:hint="eastAsia" w:ascii="Times New Roman" w:hAnsi="Times New Roman" w:eastAsia="宋体" w:cs="Times New Roman"/>
                <w:color w:val="000000" w:themeColor="text1"/>
                <w:lang w:val="en-US" w:eastAsia="zh-CN"/>
              </w:rPr>
              <w:t>45含有机卤化物</w:t>
            </w:r>
            <w:r>
              <w:rPr>
                <w:rFonts w:hint="default" w:ascii="Times New Roman" w:hAnsi="Times New Roman" w:eastAsia="宋体" w:cs="Times New Roman"/>
                <w:color w:val="000000" w:themeColor="text1"/>
              </w:rPr>
              <w:t>，危废代码：</w:t>
            </w:r>
            <w:r>
              <w:rPr>
                <w:rFonts w:hint="eastAsia" w:ascii="Times New Roman" w:hAnsi="Times New Roman" w:eastAsia="宋体" w:cs="Times New Roman"/>
                <w:color w:val="000000" w:themeColor="text1"/>
                <w:lang w:val="en-US" w:eastAsia="zh-CN"/>
              </w:rPr>
              <w:t>261-084-45</w:t>
            </w:r>
            <w:r>
              <w:rPr>
                <w:rFonts w:hint="default" w:ascii="Times New Roman" w:hAnsi="Times New Roman" w:eastAsia="宋体" w:cs="Times New Roman"/>
                <w:color w:val="000000" w:themeColor="text1"/>
              </w:rPr>
              <w:t>，暂存至危废仓。定期交由有危险废物处置资质单位处理。</w:t>
            </w:r>
            <w:r>
              <w:rPr>
                <w:rFonts w:hint="default" w:ascii="Times New Roman" w:hAnsi="Times New Roman" w:eastAsia="宋体" w:cs="Times New Roman"/>
                <w:color w:val="000000" w:themeColor="text1"/>
                <w:lang w:val="en-US" w:eastAsia="zh-CN"/>
              </w:rPr>
              <w:t xml:space="preserve"> </w:t>
            </w:r>
          </w:p>
          <w:p w14:paraId="7B01D7C7">
            <w:pPr>
              <w:pStyle w:val="6"/>
              <w:bidi w:val="0"/>
              <w:rPr>
                <w:rFonts w:hint="default"/>
                <w:color w:val="000000" w:themeColor="text1"/>
                <w:lang w:val="en-US" w:eastAsia="zh-CN"/>
              </w:rPr>
            </w:pPr>
            <w:r>
              <w:rPr>
                <w:rFonts w:hint="eastAsia"/>
                <w:color w:val="000000" w:themeColor="text1"/>
                <w:lang w:val="en-US" w:eastAsia="zh-CN"/>
              </w:rPr>
              <w:t>2）</w:t>
            </w:r>
            <w:r>
              <w:rPr>
                <w:rFonts w:hint="default"/>
                <w:color w:val="000000" w:themeColor="text1"/>
                <w:lang w:val="en-US" w:eastAsia="zh-CN"/>
              </w:rPr>
              <w:t>废</w:t>
            </w:r>
            <w:r>
              <w:rPr>
                <w:rFonts w:hint="eastAsia"/>
                <w:color w:val="000000" w:themeColor="text1"/>
                <w:lang w:val="en-US" w:eastAsia="zh-CN"/>
              </w:rPr>
              <w:t>活性炭</w:t>
            </w:r>
          </w:p>
          <w:p w14:paraId="3B818ADC">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en-US" w:eastAsia="zh-CN"/>
              </w:rPr>
              <w:t>本项目的有机废气进入二级活性炭吸附装置处理，有机废气有组织产生量为</w:t>
            </w:r>
            <w:r>
              <w:rPr>
                <w:rFonts w:hint="eastAsia" w:ascii="Times New Roman" w:hAnsi="Times New Roman" w:eastAsia="宋体" w:cs="Times New Roman"/>
                <w:color w:val="000000" w:themeColor="text1"/>
                <w:lang w:val="en-US" w:eastAsia="zh-CN"/>
              </w:rPr>
              <w:t>3.645</w:t>
            </w:r>
            <w:r>
              <w:rPr>
                <w:rFonts w:hint="default" w:ascii="Times New Roman" w:hAnsi="Times New Roman" w:eastAsia="宋体" w:cs="Times New Roman"/>
                <w:color w:val="000000" w:themeColor="text1"/>
                <w:lang w:val="en-US" w:eastAsia="zh-CN"/>
              </w:rPr>
              <w:t>t/a，经</w:t>
            </w:r>
            <w:r>
              <w:rPr>
                <w:rFonts w:hint="eastAsia" w:ascii="Times New Roman" w:hAnsi="Times New Roman" w:eastAsia="宋体" w:cs="Times New Roman"/>
                <w:color w:val="000000" w:themeColor="text1"/>
                <w:lang w:val="en-US" w:eastAsia="zh-CN"/>
              </w:rPr>
              <w:t>冷凝</w:t>
            </w:r>
            <w:r>
              <w:rPr>
                <w:rFonts w:hint="default" w:ascii="Times New Roman" w:hAnsi="Times New Roman" w:eastAsia="宋体" w:cs="Times New Roman"/>
                <w:color w:val="000000" w:themeColor="text1"/>
                <w:lang w:val="en-US" w:eastAsia="zh-CN"/>
              </w:rPr>
              <w:t>+二活性炭吸附处理后排放量为</w:t>
            </w:r>
            <w:r>
              <w:rPr>
                <w:rFonts w:hint="eastAsia" w:ascii="Times New Roman" w:hAnsi="Times New Roman" w:eastAsia="宋体" w:cs="Times New Roman"/>
                <w:color w:val="000000" w:themeColor="text1"/>
                <w:lang w:val="en-US" w:eastAsia="zh-CN"/>
              </w:rPr>
              <w:t>1.053</w:t>
            </w:r>
            <w:r>
              <w:rPr>
                <w:rFonts w:hint="default" w:ascii="Times New Roman" w:hAnsi="Times New Roman" w:eastAsia="宋体" w:cs="Times New Roman"/>
                <w:color w:val="000000" w:themeColor="text1"/>
                <w:lang w:val="en-US" w:eastAsia="zh-CN"/>
              </w:rPr>
              <w:t>t/a，</w:t>
            </w:r>
            <w:r>
              <w:rPr>
                <w:rFonts w:hint="eastAsia" w:ascii="Times New Roman" w:hAnsi="Times New Roman" w:eastAsia="宋体" w:cs="Times New Roman"/>
                <w:color w:val="000000" w:themeColor="text1"/>
                <w:lang w:val="en-US" w:eastAsia="zh-CN"/>
              </w:rPr>
              <w:t>冷凝量为2.187</w:t>
            </w:r>
            <w:r>
              <w:rPr>
                <w:rFonts w:hint="default" w:ascii="Times New Roman" w:hAnsi="Times New Roman" w:eastAsia="宋体" w:cs="Times New Roman"/>
                <w:color w:val="000000" w:themeColor="text1"/>
                <w:lang w:val="en-US" w:eastAsia="zh-CN"/>
              </w:rPr>
              <w:t>t/a</w:t>
            </w:r>
            <w:r>
              <w:rPr>
                <w:rFonts w:hint="eastAsia" w:ascii="Times New Roman" w:hAnsi="Times New Roman" w:eastAsia="宋体" w:cs="Times New Roman"/>
                <w:color w:val="000000" w:themeColor="text1"/>
                <w:lang w:val="en-US" w:eastAsia="zh-CN"/>
              </w:rPr>
              <w:t>，</w:t>
            </w:r>
            <w:r>
              <w:rPr>
                <w:rFonts w:hint="default" w:ascii="Times New Roman" w:hAnsi="Times New Roman" w:eastAsia="宋体" w:cs="Times New Roman"/>
                <w:color w:val="000000" w:themeColor="text1"/>
                <w:lang w:val="en-US" w:eastAsia="zh-CN"/>
              </w:rPr>
              <w:t>进入活性炭的吸附量为</w:t>
            </w:r>
            <w:r>
              <w:rPr>
                <w:rFonts w:hint="eastAsia" w:ascii="Times New Roman" w:hAnsi="Times New Roman" w:eastAsia="宋体" w:cs="Times New Roman"/>
                <w:color w:val="000000" w:themeColor="text1"/>
                <w:lang w:val="en-US" w:eastAsia="zh-CN"/>
              </w:rPr>
              <w:t>0.405</w:t>
            </w:r>
            <w:r>
              <w:rPr>
                <w:rFonts w:hint="default" w:ascii="Times New Roman" w:hAnsi="Times New Roman" w:eastAsia="宋体" w:cs="Times New Roman"/>
                <w:color w:val="000000" w:themeColor="text1"/>
                <w:lang w:val="en-US" w:eastAsia="zh-CN"/>
              </w:rPr>
              <w:t>t/a。</w:t>
            </w:r>
            <w:r>
              <w:rPr>
                <w:rFonts w:hint="default" w:ascii="Times New Roman" w:hAnsi="Times New Roman" w:eastAsia="宋体" w:cs="Times New Roman"/>
                <w:color w:val="000000" w:themeColor="text1"/>
              </w:rPr>
              <w:t>根据</w:t>
            </w:r>
            <w:r>
              <w:rPr>
                <w:rFonts w:hint="default" w:ascii="Times New Roman" w:hAnsi="Times New Roman" w:eastAsia="宋体" w:cs="Times New Roman"/>
                <w:color w:val="000000" w:themeColor="text1"/>
                <w:lang w:val="en-US" w:eastAsia="zh-CN"/>
              </w:rPr>
              <w:t>《主要污染物总量减排核算技术指南（2022年修订）》表2-3，不再生一次性活性炭吸附效率为15%</w:t>
            </w:r>
            <w:r>
              <w:rPr>
                <w:rFonts w:hint="eastAsia" w:ascii="Times New Roman" w:hAnsi="Times New Roman" w:eastAsia="宋体" w:cs="Times New Roman"/>
                <w:color w:val="000000" w:themeColor="text1"/>
                <w:lang w:val="en-US" w:eastAsia="zh-CN"/>
              </w:rPr>
              <w:t>，</w:t>
            </w:r>
            <w:r>
              <w:rPr>
                <w:rFonts w:hint="default" w:ascii="Times New Roman" w:hAnsi="Times New Roman" w:eastAsia="宋体" w:cs="Times New Roman"/>
                <w:color w:val="000000" w:themeColor="text1"/>
              </w:rPr>
              <w:t>则需要活性炭</w:t>
            </w:r>
            <w:r>
              <w:rPr>
                <w:rFonts w:hint="eastAsia" w:ascii="Times New Roman" w:hAnsi="Times New Roman" w:eastAsia="宋体" w:cs="Times New Roman"/>
                <w:color w:val="000000" w:themeColor="text1"/>
                <w:lang w:val="en-US" w:eastAsia="zh-CN"/>
              </w:rPr>
              <w:t>2.7</w:t>
            </w:r>
            <w:r>
              <w:rPr>
                <w:rFonts w:hint="default" w:ascii="Times New Roman" w:hAnsi="Times New Roman" w:eastAsia="宋体" w:cs="Times New Roman"/>
                <w:color w:val="000000" w:themeColor="text1"/>
              </w:rPr>
              <w:t>t/a，</w:t>
            </w:r>
            <w:r>
              <w:rPr>
                <w:rFonts w:hint="default" w:ascii="Times New Roman" w:hAnsi="Times New Roman" w:eastAsia="宋体" w:cs="Times New Roman"/>
                <w:color w:val="000000" w:themeColor="text1"/>
                <w:lang w:val="en-US" w:eastAsia="zh-CN"/>
              </w:rPr>
              <w:t>则</w:t>
            </w:r>
            <w:r>
              <w:rPr>
                <w:rFonts w:hint="default" w:ascii="Times New Roman" w:hAnsi="Times New Roman" w:eastAsia="宋体" w:cs="Times New Roman"/>
                <w:color w:val="000000" w:themeColor="text1"/>
              </w:rPr>
              <w:t>项目废活性炭的产生量</w:t>
            </w:r>
            <w:r>
              <w:rPr>
                <w:rFonts w:hint="default" w:ascii="Times New Roman" w:hAnsi="Times New Roman" w:eastAsia="宋体" w:cs="Times New Roman"/>
                <w:color w:val="000000" w:themeColor="text1"/>
                <w:lang w:val="en-US" w:eastAsia="zh-CN"/>
              </w:rPr>
              <w:t>约为</w:t>
            </w:r>
            <w:r>
              <w:rPr>
                <w:rFonts w:hint="eastAsia" w:ascii="Times New Roman" w:hAnsi="Times New Roman" w:eastAsia="宋体" w:cs="Times New Roman"/>
                <w:color w:val="000000" w:themeColor="text1"/>
                <w:lang w:val="en-US" w:eastAsia="zh-CN"/>
              </w:rPr>
              <w:t>3.105</w:t>
            </w:r>
            <w:r>
              <w:rPr>
                <w:rFonts w:hint="default" w:ascii="Times New Roman" w:hAnsi="Times New Roman" w:eastAsia="宋体" w:cs="Times New Roman"/>
                <w:color w:val="000000" w:themeColor="text1"/>
                <w:lang w:val="en-US" w:eastAsia="zh-CN"/>
              </w:rPr>
              <w:t>t</w:t>
            </w:r>
            <w:r>
              <w:rPr>
                <w:rFonts w:hint="default" w:ascii="Times New Roman" w:hAnsi="Times New Roman" w:eastAsia="宋体" w:cs="Times New Roman"/>
                <w:color w:val="000000" w:themeColor="text1"/>
              </w:rPr>
              <w:t>/a。根据《国家危险废物名录》（202</w:t>
            </w:r>
            <w:r>
              <w:rPr>
                <w:rFonts w:hint="default" w:ascii="Times New Roman" w:hAnsi="Times New Roman" w:eastAsia="宋体" w:cs="Times New Roman"/>
                <w:color w:val="000000" w:themeColor="text1"/>
                <w:lang w:val="en-US" w:eastAsia="zh-CN"/>
              </w:rPr>
              <w:t>5</w:t>
            </w:r>
            <w:r>
              <w:rPr>
                <w:rFonts w:hint="default" w:ascii="Times New Roman" w:hAnsi="Times New Roman" w:eastAsia="宋体" w:cs="Times New Roman"/>
                <w:color w:val="000000" w:themeColor="text1"/>
              </w:rPr>
              <w:t>年</w:t>
            </w:r>
            <w:r>
              <w:rPr>
                <w:rFonts w:hint="default" w:ascii="Times New Roman" w:hAnsi="Times New Roman" w:eastAsia="宋体" w:cs="Times New Roman"/>
                <w:color w:val="000000" w:themeColor="text1"/>
                <w:lang w:val="en-US" w:eastAsia="zh-CN"/>
              </w:rPr>
              <w:t>版</w:t>
            </w:r>
            <w:r>
              <w:rPr>
                <w:rFonts w:hint="default" w:ascii="Times New Roman" w:hAnsi="Times New Roman" w:eastAsia="宋体" w:cs="Times New Roman"/>
                <w:color w:val="000000" w:themeColor="text1"/>
              </w:rPr>
              <w:t>），该固废属于HW49类危险废物，废物代码900-0</w:t>
            </w:r>
            <w:r>
              <w:rPr>
                <w:rFonts w:hint="default" w:ascii="Times New Roman" w:hAnsi="Times New Roman" w:eastAsia="宋体" w:cs="Times New Roman"/>
                <w:color w:val="000000" w:themeColor="text1"/>
                <w:lang w:val="en-US" w:eastAsia="zh-CN"/>
              </w:rPr>
              <w:t>41</w:t>
            </w:r>
            <w:r>
              <w:rPr>
                <w:rFonts w:hint="default" w:ascii="Times New Roman" w:hAnsi="Times New Roman" w:eastAsia="宋体" w:cs="Times New Roman"/>
                <w:color w:val="000000" w:themeColor="text1"/>
              </w:rPr>
              <w:t>-49。该部分废物集中收集后，定期委托有危废处理资质单位处理。</w:t>
            </w:r>
          </w:p>
          <w:p w14:paraId="54D15303">
            <w:pPr>
              <w:pStyle w:val="6"/>
              <w:bidi w:val="0"/>
              <w:rPr>
                <w:rFonts w:hint="default"/>
                <w:color w:val="000000" w:themeColor="text1"/>
                <w:lang w:val="en-US" w:eastAsia="zh-CN"/>
              </w:rPr>
            </w:pPr>
            <w:r>
              <w:rPr>
                <w:rFonts w:hint="eastAsia"/>
                <w:color w:val="000000" w:themeColor="text1"/>
                <w:lang w:val="en-US" w:eastAsia="zh-CN"/>
              </w:rPr>
              <w:t>3）</w:t>
            </w:r>
            <w:r>
              <w:rPr>
                <w:rFonts w:hint="default"/>
                <w:color w:val="000000" w:themeColor="text1"/>
                <w:lang w:val="en-US" w:eastAsia="zh-CN"/>
              </w:rPr>
              <w:t>废</w:t>
            </w:r>
            <w:r>
              <w:rPr>
                <w:rFonts w:hint="eastAsia"/>
                <w:color w:val="000000" w:themeColor="text1"/>
                <w:lang w:val="en-US" w:eastAsia="zh-CN"/>
              </w:rPr>
              <w:t>润滑油</w:t>
            </w:r>
          </w:p>
          <w:p w14:paraId="55C9266B">
            <w:pPr>
              <w:keepNext w:val="0"/>
              <w:keepLines w:val="0"/>
              <w:pageBreakBefore w:val="0"/>
              <w:widowControl w:val="0"/>
              <w:kinsoku/>
              <w:wordWrap/>
              <w:overflowPunct/>
              <w:topLinePunct w:val="0"/>
              <w:bidi w:val="0"/>
              <w:adjustRightInd w:val="0"/>
              <w:spacing w:line="360" w:lineRule="auto"/>
              <w:ind w:left="0" w:leftChars="0" w:firstLine="480" w:firstLineChars="200"/>
              <w:jc w:val="both"/>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项目设备维护过程中有</w:t>
            </w:r>
            <w:r>
              <w:rPr>
                <w:rFonts w:hint="eastAsia" w:cs="Times New Roman"/>
                <w:color w:val="000000" w:themeColor="text1"/>
                <w:lang w:val="en-US" w:eastAsia="zh-CN"/>
              </w:rPr>
              <w:t>废润滑油</w:t>
            </w:r>
            <w:r>
              <w:rPr>
                <w:rFonts w:hint="default" w:ascii="Times New Roman" w:hAnsi="Times New Roman" w:eastAsia="宋体" w:cs="Times New Roman"/>
                <w:color w:val="000000" w:themeColor="text1"/>
                <w:lang w:val="en-US" w:eastAsia="zh-CN"/>
              </w:rPr>
              <w:t>产生，产生量约为0.</w:t>
            </w:r>
            <w:r>
              <w:rPr>
                <w:rFonts w:hint="eastAsia" w:cs="Times New Roman"/>
                <w:color w:val="000000" w:themeColor="text1"/>
                <w:lang w:val="en-US" w:eastAsia="zh-CN"/>
              </w:rPr>
              <w:t>2</w:t>
            </w:r>
            <w:r>
              <w:rPr>
                <w:rFonts w:hint="default" w:ascii="Times New Roman" w:hAnsi="Times New Roman" w:eastAsia="宋体" w:cs="Times New Roman"/>
                <w:color w:val="000000" w:themeColor="text1"/>
                <w:lang w:val="en-US" w:eastAsia="zh-CN"/>
              </w:rPr>
              <w:t>t/a，建设单位需建设危废暂存间，并配置专门的容器盛装</w:t>
            </w:r>
            <w:r>
              <w:rPr>
                <w:rFonts w:hint="eastAsia" w:cs="Times New Roman"/>
                <w:color w:val="000000" w:themeColor="text1"/>
                <w:lang w:val="en-US" w:eastAsia="zh-CN"/>
              </w:rPr>
              <w:t>废润滑油</w:t>
            </w:r>
            <w:r>
              <w:rPr>
                <w:rFonts w:hint="default" w:ascii="Times New Roman" w:hAnsi="Times New Roman" w:eastAsia="宋体" w:cs="Times New Roman"/>
                <w:color w:val="000000" w:themeColor="text1"/>
                <w:lang w:val="en-US" w:eastAsia="zh-CN"/>
              </w:rPr>
              <w:t>，定期委托有资质的单位处置。根据《国家危险废物名录》</w:t>
            </w:r>
            <w:r>
              <w:rPr>
                <w:rFonts w:hint="default" w:ascii="Times New Roman" w:hAnsi="Times New Roman" w:cs="Times New Roman"/>
                <w:b w:val="0"/>
                <w:bCs w:val="0"/>
                <w:color w:val="000000" w:themeColor="text1"/>
              </w:rPr>
              <w:t>（202</w:t>
            </w:r>
            <w:r>
              <w:rPr>
                <w:rFonts w:hint="default" w:ascii="Times New Roman" w:hAnsi="Times New Roman" w:cs="Times New Roman"/>
                <w:b w:val="0"/>
                <w:bCs w:val="0"/>
                <w:color w:val="000000" w:themeColor="text1"/>
                <w:lang w:val="en-US" w:eastAsia="zh-CN"/>
              </w:rPr>
              <w:t>5年</w:t>
            </w:r>
            <w:r>
              <w:rPr>
                <w:rFonts w:hint="default" w:ascii="Times New Roman" w:hAnsi="Times New Roman" w:cs="Times New Roman"/>
                <w:b w:val="0"/>
                <w:bCs w:val="0"/>
                <w:color w:val="000000" w:themeColor="text1"/>
              </w:rPr>
              <w:t>版）</w:t>
            </w:r>
            <w:r>
              <w:rPr>
                <w:rFonts w:hint="default" w:ascii="Times New Roman" w:hAnsi="Times New Roman" w:eastAsia="宋体" w:cs="Times New Roman"/>
                <w:color w:val="000000" w:themeColor="text1"/>
                <w:lang w:val="en-US" w:eastAsia="zh-CN"/>
              </w:rPr>
              <w:t>，</w:t>
            </w:r>
            <w:r>
              <w:rPr>
                <w:rFonts w:hint="eastAsia" w:cs="Times New Roman"/>
                <w:color w:val="000000" w:themeColor="text1"/>
                <w:lang w:val="en-US" w:eastAsia="zh-CN"/>
              </w:rPr>
              <w:t>废润滑油</w:t>
            </w:r>
            <w:r>
              <w:rPr>
                <w:rFonts w:hint="default" w:ascii="Times New Roman" w:hAnsi="Times New Roman" w:eastAsia="宋体" w:cs="Times New Roman"/>
                <w:color w:val="000000" w:themeColor="text1"/>
                <w:lang w:val="en-US" w:eastAsia="zh-CN"/>
              </w:rPr>
              <w:t>属于其中物质，代码为HW08 900-214-08。</w:t>
            </w:r>
          </w:p>
          <w:p w14:paraId="41E433C7">
            <w:pPr>
              <w:pStyle w:val="6"/>
              <w:bidi w:val="0"/>
              <w:rPr>
                <w:rFonts w:hint="default"/>
                <w:color w:val="000000" w:themeColor="text1"/>
                <w:lang w:val="en-US" w:eastAsia="zh-CN"/>
              </w:rPr>
            </w:pPr>
            <w:r>
              <w:rPr>
                <w:rFonts w:hint="eastAsia"/>
                <w:color w:val="000000" w:themeColor="text1"/>
                <w:lang w:val="en-US" w:eastAsia="zh-CN"/>
              </w:rPr>
              <w:t>4）</w:t>
            </w:r>
            <w:r>
              <w:rPr>
                <w:rFonts w:hint="default"/>
                <w:color w:val="000000" w:themeColor="text1"/>
                <w:lang w:val="en-US" w:eastAsia="zh-CN"/>
              </w:rPr>
              <w:t>废</w:t>
            </w:r>
            <w:r>
              <w:rPr>
                <w:rFonts w:hint="eastAsia"/>
                <w:color w:val="000000" w:themeColor="text1"/>
                <w:lang w:val="en-US" w:eastAsia="zh-CN"/>
              </w:rPr>
              <w:t>润滑油桶</w:t>
            </w:r>
          </w:p>
          <w:p w14:paraId="2A032B10">
            <w:pPr>
              <w:pStyle w:val="48"/>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lang w:val="en-US" w:eastAsia="zh-CN"/>
              </w:rPr>
              <w:t>本项目</w:t>
            </w:r>
            <w:r>
              <w:rPr>
                <w:rFonts w:hint="eastAsia" w:cs="Times New Roman"/>
                <w:color w:val="000000" w:themeColor="text1"/>
                <w:lang w:val="en-US" w:eastAsia="zh-CN"/>
              </w:rPr>
              <w:t>润滑油</w:t>
            </w:r>
            <w:r>
              <w:rPr>
                <w:rFonts w:hint="default" w:ascii="Times New Roman" w:hAnsi="Times New Roman" w:eastAsia="宋体" w:cs="Times New Roman"/>
                <w:color w:val="000000" w:themeColor="text1"/>
                <w:lang w:val="en-US" w:eastAsia="zh-CN"/>
              </w:rPr>
              <w:t>使用会产生</w:t>
            </w:r>
            <w:r>
              <w:rPr>
                <w:rFonts w:hint="eastAsia" w:cs="Times New Roman"/>
                <w:color w:val="000000" w:themeColor="text1"/>
                <w:lang w:val="en-US" w:eastAsia="zh-CN"/>
              </w:rPr>
              <w:t>废润滑油</w:t>
            </w:r>
            <w:r>
              <w:rPr>
                <w:rFonts w:hint="default" w:ascii="Times New Roman" w:hAnsi="Times New Roman" w:eastAsia="宋体" w:cs="Times New Roman"/>
                <w:color w:val="000000" w:themeColor="text1"/>
                <w:lang w:val="en-US" w:eastAsia="zh-CN"/>
              </w:rPr>
              <w:t>桶，产生量约为0.</w:t>
            </w:r>
            <w:r>
              <w:rPr>
                <w:rFonts w:hint="eastAsia" w:cs="Times New Roman"/>
                <w:color w:val="000000" w:themeColor="text1"/>
                <w:lang w:val="en-US" w:eastAsia="zh-CN"/>
              </w:rPr>
              <w:t>1</w:t>
            </w:r>
            <w:r>
              <w:rPr>
                <w:rFonts w:hint="default" w:ascii="Times New Roman" w:hAnsi="Times New Roman" w:eastAsia="宋体" w:cs="Times New Roman"/>
                <w:color w:val="000000" w:themeColor="text1"/>
                <w:lang w:val="en-US" w:eastAsia="zh-CN"/>
              </w:rPr>
              <w:t>t/a。根据《国家危险废物名录》</w:t>
            </w:r>
            <w:r>
              <w:rPr>
                <w:rFonts w:hint="default" w:ascii="Times New Roman" w:hAnsi="Times New Roman" w:cs="Times New Roman"/>
                <w:b w:val="0"/>
                <w:bCs w:val="0"/>
                <w:color w:val="000000" w:themeColor="text1"/>
              </w:rPr>
              <w:t>（202</w:t>
            </w:r>
            <w:r>
              <w:rPr>
                <w:rFonts w:hint="default" w:ascii="Times New Roman" w:hAnsi="Times New Roman" w:cs="Times New Roman"/>
                <w:b w:val="0"/>
                <w:bCs w:val="0"/>
                <w:color w:val="000000" w:themeColor="text1"/>
                <w:lang w:val="en-US" w:eastAsia="zh-CN"/>
              </w:rPr>
              <w:t>5年</w:t>
            </w:r>
            <w:r>
              <w:rPr>
                <w:rFonts w:hint="default" w:ascii="Times New Roman" w:hAnsi="Times New Roman" w:cs="Times New Roman"/>
                <w:b w:val="0"/>
                <w:bCs w:val="0"/>
                <w:color w:val="000000" w:themeColor="text1"/>
              </w:rPr>
              <w:t>版）</w:t>
            </w:r>
            <w:r>
              <w:rPr>
                <w:rFonts w:hint="default" w:ascii="Times New Roman" w:hAnsi="Times New Roman" w:eastAsia="宋体" w:cs="Times New Roman"/>
                <w:color w:val="000000" w:themeColor="text1"/>
                <w:lang w:val="en-US" w:eastAsia="zh-CN"/>
              </w:rPr>
              <w:t>，</w:t>
            </w:r>
            <w:r>
              <w:rPr>
                <w:rFonts w:hint="eastAsia" w:cs="Times New Roman"/>
                <w:color w:val="000000" w:themeColor="text1"/>
                <w:lang w:val="en-US" w:eastAsia="zh-CN"/>
              </w:rPr>
              <w:t>废润滑油</w:t>
            </w:r>
            <w:r>
              <w:rPr>
                <w:rFonts w:hint="default" w:ascii="Times New Roman" w:hAnsi="Times New Roman" w:eastAsia="宋体" w:cs="Times New Roman"/>
                <w:color w:val="000000" w:themeColor="text1"/>
                <w:lang w:val="en-US" w:eastAsia="zh-CN"/>
              </w:rPr>
              <w:t>桶属于其中物质，代码为HW08 900-249-08，定期委托有资质的单位处置。</w:t>
            </w:r>
          </w:p>
          <w:p w14:paraId="3FCAFA76">
            <w:pPr>
              <w:tabs>
                <w:tab w:val="left" w:pos="4476"/>
              </w:tabs>
              <w:spacing w:before="0" w:after="4" w:line="267" w:lineRule="exact"/>
              <w:ind w:left="0" w:leftChars="0" w:right="0" w:firstLine="0" w:firstLineChars="0"/>
              <w:jc w:val="center"/>
              <w:rPr>
                <w:color w:val="000000" w:themeColor="text1"/>
                <w:sz w:val="21"/>
                <w:szCs w:val="21"/>
              </w:rPr>
            </w:pPr>
            <w:r>
              <w:rPr>
                <w:b/>
                <w:bCs/>
                <w:color w:val="000000" w:themeColor="text1"/>
                <w:sz w:val="21"/>
                <w:szCs w:val="21"/>
              </w:rPr>
              <w:t>表4-</w:t>
            </w:r>
            <w:r>
              <w:rPr>
                <w:rFonts w:hint="eastAsia"/>
                <w:b/>
                <w:bCs/>
                <w:color w:val="000000" w:themeColor="text1"/>
                <w:sz w:val="21"/>
                <w:szCs w:val="21"/>
                <w:lang w:val="en-US" w:eastAsia="zh-CN"/>
              </w:rPr>
              <w:t xml:space="preserve">24  </w:t>
            </w:r>
            <w:r>
              <w:rPr>
                <w:b/>
                <w:bCs/>
                <w:color w:val="000000" w:themeColor="text1"/>
                <w:sz w:val="21"/>
                <w:szCs w:val="21"/>
              </w:rPr>
              <w:t>本项目固废产生情况表</w:t>
            </w:r>
          </w:p>
          <w:tbl>
            <w:tblPr>
              <w:tblStyle w:val="131"/>
              <w:tblW w:w="819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72"/>
              <w:gridCol w:w="857"/>
              <w:gridCol w:w="465"/>
              <w:gridCol w:w="927"/>
              <w:gridCol w:w="436"/>
              <w:gridCol w:w="1043"/>
              <w:gridCol w:w="747"/>
              <w:gridCol w:w="619"/>
              <w:gridCol w:w="812"/>
              <w:gridCol w:w="988"/>
              <w:gridCol w:w="928"/>
            </w:tblGrid>
            <w:tr w14:paraId="58C076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13" w:hRule="atLeast"/>
                <w:jc w:val="center"/>
              </w:trPr>
              <w:tc>
                <w:tcPr>
                  <w:tcW w:w="372" w:type="dxa"/>
                  <w:tcBorders>
                    <w:tl2br w:val="nil"/>
                    <w:tr2bl w:val="nil"/>
                  </w:tcBorders>
                  <w:textDirection w:val="tbRlV"/>
                  <w:vAlign w:val="center"/>
                </w:tcPr>
                <w:p w14:paraId="518F10A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序 号</w:t>
                  </w:r>
                </w:p>
              </w:tc>
              <w:tc>
                <w:tcPr>
                  <w:tcW w:w="857" w:type="dxa"/>
                  <w:tcBorders>
                    <w:tl2br w:val="nil"/>
                    <w:tr2bl w:val="nil"/>
                  </w:tcBorders>
                  <w:vAlign w:val="center"/>
                </w:tcPr>
                <w:p w14:paraId="3A9650F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固废名称</w:t>
                  </w:r>
                </w:p>
              </w:tc>
              <w:tc>
                <w:tcPr>
                  <w:tcW w:w="465" w:type="dxa"/>
                  <w:tcBorders>
                    <w:tl2br w:val="nil"/>
                    <w:tr2bl w:val="nil"/>
                  </w:tcBorders>
                  <w:vAlign w:val="center"/>
                </w:tcPr>
                <w:p w14:paraId="68E2438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属性</w:t>
                  </w:r>
                </w:p>
              </w:tc>
              <w:tc>
                <w:tcPr>
                  <w:tcW w:w="927" w:type="dxa"/>
                  <w:tcBorders>
                    <w:tl2br w:val="nil"/>
                    <w:tr2bl w:val="nil"/>
                  </w:tcBorders>
                  <w:vAlign w:val="center"/>
                </w:tcPr>
                <w:p w14:paraId="0A5A1F1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产生工序</w:t>
                  </w:r>
                </w:p>
              </w:tc>
              <w:tc>
                <w:tcPr>
                  <w:tcW w:w="436" w:type="dxa"/>
                  <w:tcBorders>
                    <w:tl2br w:val="nil"/>
                    <w:tr2bl w:val="nil"/>
                  </w:tcBorders>
                  <w:vAlign w:val="center"/>
                </w:tcPr>
                <w:p w14:paraId="117862D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形态</w:t>
                  </w:r>
                </w:p>
              </w:tc>
              <w:tc>
                <w:tcPr>
                  <w:tcW w:w="1043" w:type="dxa"/>
                  <w:tcBorders>
                    <w:tl2br w:val="nil"/>
                    <w:tr2bl w:val="nil"/>
                  </w:tcBorders>
                  <w:vAlign w:val="center"/>
                </w:tcPr>
                <w:p w14:paraId="728A9AE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主要成分</w:t>
                  </w:r>
                </w:p>
              </w:tc>
              <w:tc>
                <w:tcPr>
                  <w:tcW w:w="747" w:type="dxa"/>
                  <w:tcBorders>
                    <w:tl2br w:val="nil"/>
                    <w:tr2bl w:val="nil"/>
                  </w:tcBorders>
                  <w:vAlign w:val="center"/>
                </w:tcPr>
                <w:p w14:paraId="7922348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危险特性鉴别方法</w:t>
                  </w:r>
                </w:p>
              </w:tc>
              <w:tc>
                <w:tcPr>
                  <w:tcW w:w="619" w:type="dxa"/>
                  <w:tcBorders>
                    <w:tl2br w:val="nil"/>
                    <w:tr2bl w:val="nil"/>
                  </w:tcBorders>
                  <w:vAlign w:val="center"/>
                </w:tcPr>
                <w:p w14:paraId="327A387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危险特性</w:t>
                  </w:r>
                </w:p>
              </w:tc>
              <w:tc>
                <w:tcPr>
                  <w:tcW w:w="812" w:type="dxa"/>
                  <w:tcBorders>
                    <w:tl2br w:val="nil"/>
                    <w:tr2bl w:val="nil"/>
                  </w:tcBorders>
                  <w:vAlign w:val="center"/>
                </w:tcPr>
                <w:p w14:paraId="0D4ADC6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废物类别</w:t>
                  </w:r>
                </w:p>
              </w:tc>
              <w:tc>
                <w:tcPr>
                  <w:tcW w:w="988" w:type="dxa"/>
                  <w:tcBorders>
                    <w:tl2br w:val="nil"/>
                    <w:tr2bl w:val="nil"/>
                  </w:tcBorders>
                  <w:vAlign w:val="center"/>
                </w:tcPr>
                <w:p w14:paraId="1B4875F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废物代码</w:t>
                  </w:r>
                </w:p>
              </w:tc>
              <w:tc>
                <w:tcPr>
                  <w:tcW w:w="928" w:type="dxa"/>
                  <w:tcBorders>
                    <w:tl2br w:val="nil"/>
                    <w:tr2bl w:val="nil"/>
                  </w:tcBorders>
                  <w:vAlign w:val="center"/>
                </w:tcPr>
                <w:p w14:paraId="06362F2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default" w:ascii="Times New Roman" w:hAnsi="Times New Roman" w:eastAsia="宋体" w:cs="Times New Roman"/>
                      <w:b/>
                      <w:bCs/>
                      <w:color w:val="000000" w:themeColor="text1"/>
                      <w:spacing w:val="4"/>
                      <w:sz w:val="21"/>
                      <w:szCs w:val="21"/>
                    </w:rPr>
                    <w:t>产生量</w:t>
                  </w:r>
                </w:p>
                <w:p w14:paraId="4586809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000000" w:themeColor="text1"/>
                      <w:spacing w:val="4"/>
                      <w:sz w:val="21"/>
                      <w:szCs w:val="21"/>
                    </w:rPr>
                  </w:pPr>
                  <w:r>
                    <w:rPr>
                      <w:rFonts w:hint="eastAsia" w:ascii="Times New Roman" w:hAnsi="Times New Roman" w:cs="Times New Roman"/>
                      <w:b/>
                      <w:bCs/>
                      <w:color w:val="000000" w:themeColor="text1"/>
                      <w:spacing w:val="4"/>
                      <w:sz w:val="21"/>
                      <w:szCs w:val="21"/>
                      <w:lang w:eastAsia="zh-CN"/>
                    </w:rPr>
                    <w:t>(</w:t>
                  </w:r>
                  <w:r>
                    <w:rPr>
                      <w:rFonts w:hint="default" w:ascii="Times New Roman" w:hAnsi="Times New Roman" w:eastAsia="宋体" w:cs="Times New Roman"/>
                      <w:b/>
                      <w:bCs/>
                      <w:color w:val="000000" w:themeColor="text1"/>
                      <w:spacing w:val="4"/>
                      <w:sz w:val="21"/>
                      <w:szCs w:val="21"/>
                    </w:rPr>
                    <w:t>t/a</w:t>
                  </w:r>
                  <w:r>
                    <w:rPr>
                      <w:rFonts w:hint="eastAsia" w:ascii="Times New Roman" w:hAnsi="Times New Roman" w:cs="Times New Roman"/>
                      <w:b/>
                      <w:bCs/>
                      <w:color w:val="000000" w:themeColor="text1"/>
                      <w:spacing w:val="4"/>
                      <w:sz w:val="21"/>
                      <w:szCs w:val="21"/>
                      <w:lang w:eastAsia="zh-CN"/>
                    </w:rPr>
                    <w:t>)</w:t>
                  </w:r>
                </w:p>
              </w:tc>
            </w:tr>
            <w:tr w14:paraId="23AC91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372" w:type="dxa"/>
                  <w:tcBorders>
                    <w:tl2br w:val="nil"/>
                    <w:tr2bl w:val="nil"/>
                  </w:tcBorders>
                  <w:vAlign w:val="center"/>
                </w:tcPr>
                <w:p w14:paraId="609FBAA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1</w:t>
                  </w:r>
                </w:p>
              </w:tc>
              <w:tc>
                <w:tcPr>
                  <w:tcW w:w="857" w:type="dxa"/>
                  <w:tcBorders>
                    <w:tl2br w:val="nil"/>
                    <w:tr2bl w:val="nil"/>
                  </w:tcBorders>
                  <w:vAlign w:val="center"/>
                </w:tcPr>
                <w:p w14:paraId="2A71686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废包装袋</w:t>
                  </w:r>
                </w:p>
              </w:tc>
              <w:tc>
                <w:tcPr>
                  <w:tcW w:w="465" w:type="dxa"/>
                  <w:vMerge w:val="restart"/>
                  <w:tcBorders>
                    <w:tl2br w:val="nil"/>
                    <w:tr2bl w:val="nil"/>
                  </w:tcBorders>
                  <w:vAlign w:val="center"/>
                </w:tcPr>
                <w:p w14:paraId="05A5875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712EC4C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5B2C890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一般固废</w:t>
                  </w:r>
                </w:p>
              </w:tc>
              <w:tc>
                <w:tcPr>
                  <w:tcW w:w="927" w:type="dxa"/>
                  <w:tcBorders>
                    <w:tl2br w:val="nil"/>
                    <w:tr2bl w:val="nil"/>
                  </w:tcBorders>
                  <w:vAlign w:val="center"/>
                </w:tcPr>
                <w:p w14:paraId="2F87170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原料包装</w:t>
                  </w:r>
                </w:p>
              </w:tc>
              <w:tc>
                <w:tcPr>
                  <w:tcW w:w="436" w:type="dxa"/>
                  <w:tcBorders>
                    <w:tl2br w:val="nil"/>
                    <w:tr2bl w:val="nil"/>
                  </w:tcBorders>
                  <w:vAlign w:val="center"/>
                </w:tcPr>
                <w:p w14:paraId="1DD8F59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固态</w:t>
                  </w:r>
                </w:p>
              </w:tc>
              <w:tc>
                <w:tcPr>
                  <w:tcW w:w="1043" w:type="dxa"/>
                  <w:tcBorders>
                    <w:tl2br w:val="nil"/>
                    <w:tr2bl w:val="nil"/>
                  </w:tcBorders>
                  <w:vAlign w:val="center"/>
                </w:tcPr>
                <w:p w14:paraId="14D2823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eastAsia="zh-CN"/>
                    </w:rPr>
                  </w:pPr>
                  <w:r>
                    <w:rPr>
                      <w:rFonts w:hint="eastAsia" w:ascii="Times New Roman" w:hAnsi="Times New Roman" w:cs="Times New Roman"/>
                      <w:color w:val="000000" w:themeColor="text1"/>
                      <w:spacing w:val="4"/>
                      <w:sz w:val="21"/>
                      <w:szCs w:val="21"/>
                      <w:lang w:val="en-US" w:eastAsia="zh-CN"/>
                    </w:rPr>
                    <w:t>塑料</w:t>
                  </w:r>
                </w:p>
              </w:tc>
              <w:tc>
                <w:tcPr>
                  <w:tcW w:w="747" w:type="dxa"/>
                  <w:vMerge w:val="restart"/>
                  <w:tcBorders>
                    <w:tl2br w:val="nil"/>
                    <w:tr2bl w:val="nil"/>
                  </w:tcBorders>
                  <w:vAlign w:val="center"/>
                </w:tcPr>
                <w:p w14:paraId="6162C16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7DED925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固体废物分类与代码目录</w:t>
                  </w:r>
                </w:p>
              </w:tc>
              <w:tc>
                <w:tcPr>
                  <w:tcW w:w="619" w:type="dxa"/>
                  <w:tcBorders>
                    <w:tl2br w:val="nil"/>
                    <w:tr2bl w:val="nil"/>
                  </w:tcBorders>
                  <w:vAlign w:val="center"/>
                </w:tcPr>
                <w:p w14:paraId="1A0FFCB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61BE7FD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w:t>
                  </w:r>
                </w:p>
              </w:tc>
              <w:tc>
                <w:tcPr>
                  <w:tcW w:w="812" w:type="dxa"/>
                  <w:tcBorders>
                    <w:tl2br w:val="nil"/>
                    <w:tr2bl w:val="nil"/>
                  </w:tcBorders>
                  <w:vAlign w:val="center"/>
                </w:tcPr>
                <w:p w14:paraId="6DAD73F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SW59</w:t>
                  </w:r>
                </w:p>
              </w:tc>
              <w:tc>
                <w:tcPr>
                  <w:tcW w:w="988" w:type="dxa"/>
                  <w:tcBorders>
                    <w:tl2br w:val="nil"/>
                    <w:tr2bl w:val="nil"/>
                  </w:tcBorders>
                  <w:vAlign w:val="center"/>
                </w:tcPr>
                <w:p w14:paraId="0C7879C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900-099-S59</w:t>
                  </w:r>
                </w:p>
              </w:tc>
              <w:tc>
                <w:tcPr>
                  <w:tcW w:w="928" w:type="dxa"/>
                  <w:tcBorders>
                    <w:tl2br w:val="nil"/>
                    <w:tr2bl w:val="nil"/>
                  </w:tcBorders>
                  <w:vAlign w:val="center"/>
                </w:tcPr>
                <w:p w14:paraId="0B78992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0.2</w:t>
                  </w:r>
                </w:p>
              </w:tc>
            </w:tr>
            <w:tr w14:paraId="148A8C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372" w:type="dxa"/>
                  <w:tcBorders>
                    <w:tl2br w:val="nil"/>
                    <w:tr2bl w:val="nil"/>
                  </w:tcBorders>
                  <w:vAlign w:val="center"/>
                </w:tcPr>
                <w:p w14:paraId="055FA09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2</w:t>
                  </w:r>
                </w:p>
              </w:tc>
              <w:tc>
                <w:tcPr>
                  <w:tcW w:w="857" w:type="dxa"/>
                  <w:tcBorders>
                    <w:tl2br w:val="nil"/>
                    <w:tr2bl w:val="nil"/>
                  </w:tcBorders>
                  <w:vAlign w:val="center"/>
                </w:tcPr>
                <w:p w14:paraId="3E875B6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不合格品以及边角料</w:t>
                  </w:r>
                </w:p>
              </w:tc>
              <w:tc>
                <w:tcPr>
                  <w:tcW w:w="465" w:type="dxa"/>
                  <w:vMerge w:val="continue"/>
                  <w:tcBorders>
                    <w:tl2br w:val="nil"/>
                    <w:tr2bl w:val="nil"/>
                  </w:tcBorders>
                  <w:vAlign w:val="center"/>
                </w:tcPr>
                <w:p w14:paraId="65D794A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346F833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切粒、脱水、筛分</w:t>
                  </w:r>
                </w:p>
              </w:tc>
              <w:tc>
                <w:tcPr>
                  <w:tcW w:w="436" w:type="dxa"/>
                  <w:tcBorders>
                    <w:tl2br w:val="nil"/>
                    <w:tr2bl w:val="nil"/>
                  </w:tcBorders>
                  <w:vAlign w:val="center"/>
                </w:tcPr>
                <w:p w14:paraId="0583972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固态</w:t>
                  </w:r>
                </w:p>
              </w:tc>
              <w:tc>
                <w:tcPr>
                  <w:tcW w:w="1043" w:type="dxa"/>
                  <w:tcBorders>
                    <w:tl2br w:val="nil"/>
                    <w:tr2bl w:val="nil"/>
                  </w:tcBorders>
                  <w:vAlign w:val="center"/>
                </w:tcPr>
                <w:p w14:paraId="2E16C10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塑料</w:t>
                  </w:r>
                </w:p>
              </w:tc>
              <w:tc>
                <w:tcPr>
                  <w:tcW w:w="747" w:type="dxa"/>
                  <w:vMerge w:val="continue"/>
                  <w:tcBorders>
                    <w:tl2br w:val="nil"/>
                    <w:tr2bl w:val="nil"/>
                  </w:tcBorders>
                  <w:vAlign w:val="center"/>
                </w:tcPr>
                <w:p w14:paraId="73B247A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5DFD287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w:t>
                  </w:r>
                </w:p>
              </w:tc>
              <w:tc>
                <w:tcPr>
                  <w:tcW w:w="812" w:type="dxa"/>
                  <w:tcBorders>
                    <w:tl2br w:val="nil"/>
                    <w:tr2bl w:val="nil"/>
                  </w:tcBorders>
                  <w:vAlign w:val="center"/>
                </w:tcPr>
                <w:p w14:paraId="17A8919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SW17</w:t>
                  </w:r>
                </w:p>
              </w:tc>
              <w:tc>
                <w:tcPr>
                  <w:tcW w:w="988" w:type="dxa"/>
                  <w:tcBorders>
                    <w:tl2br w:val="nil"/>
                    <w:tr2bl w:val="nil"/>
                  </w:tcBorders>
                  <w:vAlign w:val="center"/>
                </w:tcPr>
                <w:p w14:paraId="13B6B78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900-0</w:t>
                  </w:r>
                  <w:r>
                    <w:rPr>
                      <w:rFonts w:hint="eastAsia" w:ascii="Times New Roman" w:hAnsi="Times New Roman" w:eastAsia="宋体" w:cs="Times New Roman"/>
                      <w:color w:val="000000" w:themeColor="text1"/>
                      <w:spacing w:val="4"/>
                      <w:sz w:val="21"/>
                      <w:szCs w:val="21"/>
                      <w:lang w:val="en-US" w:eastAsia="zh-CN"/>
                    </w:rPr>
                    <w:t>03</w:t>
                  </w:r>
                  <w:r>
                    <w:rPr>
                      <w:rFonts w:hint="default" w:ascii="Times New Roman" w:hAnsi="Times New Roman" w:eastAsia="宋体" w:cs="Times New Roman"/>
                      <w:color w:val="000000" w:themeColor="text1"/>
                      <w:spacing w:val="4"/>
                      <w:sz w:val="21"/>
                      <w:szCs w:val="21"/>
                    </w:rPr>
                    <w:t>-S17</w:t>
                  </w:r>
                </w:p>
              </w:tc>
              <w:tc>
                <w:tcPr>
                  <w:tcW w:w="928" w:type="dxa"/>
                  <w:tcBorders>
                    <w:tl2br w:val="nil"/>
                    <w:tr2bl w:val="nil"/>
                  </w:tcBorders>
                  <w:vAlign w:val="center"/>
                </w:tcPr>
                <w:p w14:paraId="24717F9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p>
              </w:tc>
            </w:tr>
            <w:tr w14:paraId="06946B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54" w:hRule="atLeast"/>
                <w:jc w:val="center"/>
              </w:trPr>
              <w:tc>
                <w:tcPr>
                  <w:tcW w:w="372" w:type="dxa"/>
                  <w:tcBorders>
                    <w:tl2br w:val="nil"/>
                    <w:tr2bl w:val="nil"/>
                  </w:tcBorders>
                  <w:vAlign w:val="center"/>
                </w:tcPr>
                <w:p w14:paraId="3A1158D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p>
              </w:tc>
              <w:tc>
                <w:tcPr>
                  <w:tcW w:w="857" w:type="dxa"/>
                  <w:tcBorders>
                    <w:tl2br w:val="nil"/>
                    <w:tr2bl w:val="nil"/>
                  </w:tcBorders>
                  <w:vAlign w:val="center"/>
                </w:tcPr>
                <w:p w14:paraId="30E1B59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布袋除尘器</w:t>
                  </w:r>
                </w:p>
                <w:p w14:paraId="5230C6D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收集的粉尘</w:t>
                  </w:r>
                </w:p>
              </w:tc>
              <w:tc>
                <w:tcPr>
                  <w:tcW w:w="465" w:type="dxa"/>
                  <w:vMerge w:val="continue"/>
                  <w:tcBorders>
                    <w:tl2br w:val="nil"/>
                    <w:tr2bl w:val="nil"/>
                  </w:tcBorders>
                  <w:vAlign w:val="center"/>
                </w:tcPr>
                <w:p w14:paraId="53A79E2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246E9AF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废气治理设施</w:t>
                  </w:r>
                </w:p>
              </w:tc>
              <w:tc>
                <w:tcPr>
                  <w:tcW w:w="436" w:type="dxa"/>
                  <w:tcBorders>
                    <w:tl2br w:val="nil"/>
                    <w:tr2bl w:val="nil"/>
                  </w:tcBorders>
                  <w:vAlign w:val="center"/>
                </w:tcPr>
                <w:p w14:paraId="3EFABFA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固态</w:t>
                  </w:r>
                </w:p>
              </w:tc>
              <w:tc>
                <w:tcPr>
                  <w:tcW w:w="1043" w:type="dxa"/>
                  <w:tcBorders>
                    <w:tl2br w:val="nil"/>
                    <w:tr2bl w:val="nil"/>
                  </w:tcBorders>
                  <w:vAlign w:val="center"/>
                </w:tcPr>
                <w:p w14:paraId="186AFC3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水泥、砂、钙粉、添加剂</w:t>
                  </w:r>
                </w:p>
              </w:tc>
              <w:tc>
                <w:tcPr>
                  <w:tcW w:w="747" w:type="dxa"/>
                  <w:vMerge w:val="continue"/>
                  <w:tcBorders>
                    <w:tl2br w:val="nil"/>
                    <w:tr2bl w:val="nil"/>
                  </w:tcBorders>
                  <w:vAlign w:val="center"/>
                </w:tcPr>
                <w:p w14:paraId="0CFA2B2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3CA511C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6AD2F56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w:t>
                  </w:r>
                </w:p>
              </w:tc>
              <w:tc>
                <w:tcPr>
                  <w:tcW w:w="812" w:type="dxa"/>
                  <w:tcBorders>
                    <w:tl2br w:val="nil"/>
                    <w:tr2bl w:val="nil"/>
                  </w:tcBorders>
                  <w:vAlign w:val="center"/>
                </w:tcPr>
                <w:p w14:paraId="65173A7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SW59</w:t>
                  </w:r>
                </w:p>
              </w:tc>
              <w:tc>
                <w:tcPr>
                  <w:tcW w:w="988" w:type="dxa"/>
                  <w:tcBorders>
                    <w:tl2br w:val="nil"/>
                    <w:tr2bl w:val="nil"/>
                  </w:tcBorders>
                  <w:vAlign w:val="center"/>
                </w:tcPr>
                <w:p w14:paraId="13CAE53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900-099-S59</w:t>
                  </w:r>
                </w:p>
              </w:tc>
              <w:tc>
                <w:tcPr>
                  <w:tcW w:w="928" w:type="dxa"/>
                  <w:tcBorders>
                    <w:tl2br w:val="nil"/>
                    <w:tr2bl w:val="nil"/>
                  </w:tcBorders>
                  <w:vAlign w:val="center"/>
                </w:tcPr>
                <w:p w14:paraId="7FDFEF4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15.53</w:t>
                  </w:r>
                </w:p>
              </w:tc>
            </w:tr>
            <w:tr w14:paraId="73E933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372" w:type="dxa"/>
                  <w:tcBorders>
                    <w:tl2br w:val="nil"/>
                    <w:tr2bl w:val="nil"/>
                  </w:tcBorders>
                  <w:vAlign w:val="center"/>
                </w:tcPr>
                <w:p w14:paraId="4862A8B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4</w:t>
                  </w:r>
                </w:p>
                <w:p w14:paraId="34078BF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p>
              </w:tc>
              <w:tc>
                <w:tcPr>
                  <w:tcW w:w="857" w:type="dxa"/>
                  <w:tcBorders>
                    <w:tl2br w:val="nil"/>
                    <w:tr2bl w:val="nil"/>
                  </w:tcBorders>
                  <w:vAlign w:val="center"/>
                </w:tcPr>
                <w:p w14:paraId="186D48A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废布袋</w:t>
                  </w:r>
                </w:p>
              </w:tc>
              <w:tc>
                <w:tcPr>
                  <w:tcW w:w="465" w:type="dxa"/>
                  <w:vMerge w:val="continue"/>
                  <w:tcBorders>
                    <w:tl2br w:val="nil"/>
                    <w:tr2bl w:val="nil"/>
                  </w:tcBorders>
                  <w:vAlign w:val="center"/>
                </w:tcPr>
                <w:p w14:paraId="2D24CD5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1C06043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废气治理设施</w:t>
                  </w:r>
                </w:p>
              </w:tc>
              <w:tc>
                <w:tcPr>
                  <w:tcW w:w="436" w:type="dxa"/>
                  <w:tcBorders>
                    <w:tl2br w:val="nil"/>
                    <w:tr2bl w:val="nil"/>
                  </w:tcBorders>
                  <w:vAlign w:val="center"/>
                </w:tcPr>
                <w:p w14:paraId="5500D41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固态</w:t>
                  </w:r>
                </w:p>
              </w:tc>
              <w:tc>
                <w:tcPr>
                  <w:tcW w:w="1043" w:type="dxa"/>
                  <w:tcBorders>
                    <w:tl2br w:val="nil"/>
                    <w:tr2bl w:val="nil"/>
                  </w:tcBorders>
                  <w:vAlign w:val="center"/>
                </w:tcPr>
                <w:p w14:paraId="7B213AF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水泥、砂、钙粉、添加剂、布袋</w:t>
                  </w:r>
                </w:p>
              </w:tc>
              <w:tc>
                <w:tcPr>
                  <w:tcW w:w="747" w:type="dxa"/>
                  <w:vMerge w:val="continue"/>
                  <w:tcBorders>
                    <w:tl2br w:val="nil"/>
                    <w:tr2bl w:val="nil"/>
                  </w:tcBorders>
                  <w:vAlign w:val="center"/>
                </w:tcPr>
                <w:p w14:paraId="04B0FCB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1185EC3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w:t>
                  </w:r>
                </w:p>
              </w:tc>
              <w:tc>
                <w:tcPr>
                  <w:tcW w:w="812" w:type="dxa"/>
                  <w:tcBorders>
                    <w:tl2br w:val="nil"/>
                    <w:tr2bl w:val="nil"/>
                  </w:tcBorders>
                  <w:vAlign w:val="center"/>
                </w:tcPr>
                <w:p w14:paraId="18177C5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SW59</w:t>
                  </w:r>
                </w:p>
              </w:tc>
              <w:tc>
                <w:tcPr>
                  <w:tcW w:w="988" w:type="dxa"/>
                  <w:tcBorders>
                    <w:tl2br w:val="nil"/>
                    <w:tr2bl w:val="nil"/>
                  </w:tcBorders>
                  <w:vAlign w:val="center"/>
                </w:tcPr>
                <w:p w14:paraId="40671B1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900-009-S59</w:t>
                  </w:r>
                </w:p>
              </w:tc>
              <w:tc>
                <w:tcPr>
                  <w:tcW w:w="928" w:type="dxa"/>
                  <w:tcBorders>
                    <w:tl2br w:val="nil"/>
                    <w:tr2bl w:val="nil"/>
                  </w:tcBorders>
                  <w:vAlign w:val="center"/>
                </w:tcPr>
                <w:p w14:paraId="165827E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eastAsia="宋体" w:cs="Times New Roman"/>
                      <w:color w:val="000000" w:themeColor="text1"/>
                      <w:spacing w:val="4"/>
                      <w:sz w:val="21"/>
                      <w:szCs w:val="21"/>
                      <w:lang w:val="en-US" w:eastAsia="zh-CN"/>
                    </w:rPr>
                    <w:t>5</w:t>
                  </w:r>
                </w:p>
              </w:tc>
            </w:tr>
            <w:tr w14:paraId="73095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2" w:hRule="atLeast"/>
                <w:jc w:val="center"/>
              </w:trPr>
              <w:tc>
                <w:tcPr>
                  <w:tcW w:w="372" w:type="dxa"/>
                  <w:tcBorders>
                    <w:tl2br w:val="nil"/>
                    <w:tr2bl w:val="nil"/>
                  </w:tcBorders>
                  <w:vAlign w:val="center"/>
                </w:tcPr>
                <w:p w14:paraId="183206B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eastAsia" w:ascii="Times New Roman" w:hAnsi="Times New Roman" w:cs="Times New Roman"/>
                      <w:color w:val="000000" w:themeColor="text1"/>
                      <w:spacing w:val="4"/>
                      <w:sz w:val="21"/>
                      <w:szCs w:val="21"/>
                      <w:lang w:val="en-US" w:eastAsia="zh-CN"/>
                    </w:rPr>
                    <w:t>5</w:t>
                  </w:r>
                </w:p>
              </w:tc>
              <w:tc>
                <w:tcPr>
                  <w:tcW w:w="857" w:type="dxa"/>
                  <w:tcBorders>
                    <w:tl2br w:val="nil"/>
                    <w:tr2bl w:val="nil"/>
                  </w:tcBorders>
                  <w:vAlign w:val="center"/>
                </w:tcPr>
                <w:p w14:paraId="6701F3E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eastAsia="zh-CN"/>
                    </w:rPr>
                  </w:pPr>
                  <w:r>
                    <w:rPr>
                      <w:rFonts w:hint="eastAsia" w:ascii="Times New Roman" w:hAnsi="Times New Roman" w:cs="Times New Roman"/>
                      <w:color w:val="000000" w:themeColor="text1"/>
                      <w:spacing w:val="4"/>
                      <w:sz w:val="21"/>
                      <w:szCs w:val="21"/>
                      <w:lang w:eastAsia="zh-CN"/>
                    </w:rPr>
                    <w:t>废润滑油</w:t>
                  </w:r>
                </w:p>
              </w:tc>
              <w:tc>
                <w:tcPr>
                  <w:tcW w:w="465" w:type="dxa"/>
                  <w:vMerge w:val="restart"/>
                  <w:tcBorders>
                    <w:tl2br w:val="nil"/>
                    <w:tr2bl w:val="nil"/>
                  </w:tcBorders>
                  <w:vAlign w:val="center"/>
                </w:tcPr>
                <w:p w14:paraId="2E53D98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p w14:paraId="3DF0DFA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危险废物</w:t>
                  </w:r>
                </w:p>
              </w:tc>
              <w:tc>
                <w:tcPr>
                  <w:tcW w:w="927" w:type="dxa"/>
                  <w:tcBorders>
                    <w:tl2br w:val="nil"/>
                    <w:tr2bl w:val="nil"/>
                  </w:tcBorders>
                  <w:vAlign w:val="center"/>
                </w:tcPr>
                <w:p w14:paraId="1C022E0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设备维护</w:t>
                  </w:r>
                </w:p>
              </w:tc>
              <w:tc>
                <w:tcPr>
                  <w:tcW w:w="436" w:type="dxa"/>
                  <w:tcBorders>
                    <w:tl2br w:val="nil"/>
                    <w:tr2bl w:val="nil"/>
                  </w:tcBorders>
                  <w:vAlign w:val="center"/>
                </w:tcPr>
                <w:p w14:paraId="2802A4F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液态</w:t>
                  </w:r>
                </w:p>
              </w:tc>
              <w:tc>
                <w:tcPr>
                  <w:tcW w:w="1043" w:type="dxa"/>
                  <w:tcBorders>
                    <w:tl2br w:val="nil"/>
                    <w:tr2bl w:val="nil"/>
                  </w:tcBorders>
                  <w:vAlign w:val="center"/>
                </w:tcPr>
                <w:p w14:paraId="76432F4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矿物油、杂质</w:t>
                  </w:r>
                </w:p>
              </w:tc>
              <w:tc>
                <w:tcPr>
                  <w:tcW w:w="747" w:type="dxa"/>
                  <w:vMerge w:val="restart"/>
                  <w:tcBorders>
                    <w:tl2br w:val="nil"/>
                    <w:tr2bl w:val="nil"/>
                  </w:tcBorders>
                  <w:vAlign w:val="center"/>
                </w:tcPr>
                <w:p w14:paraId="199418A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国家危险废物名录（2025 年</w:t>
                  </w:r>
                </w:p>
                <w:p w14:paraId="2DDA922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版）</w:t>
                  </w:r>
                </w:p>
              </w:tc>
              <w:tc>
                <w:tcPr>
                  <w:tcW w:w="619" w:type="dxa"/>
                  <w:tcBorders>
                    <w:tl2br w:val="nil"/>
                    <w:tr2bl w:val="nil"/>
                  </w:tcBorders>
                  <w:vAlign w:val="center"/>
                </w:tcPr>
                <w:p w14:paraId="0250B43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T，I</w:t>
                  </w:r>
                </w:p>
              </w:tc>
              <w:tc>
                <w:tcPr>
                  <w:tcW w:w="812" w:type="dxa"/>
                  <w:tcBorders>
                    <w:tl2br w:val="nil"/>
                    <w:tr2bl w:val="nil"/>
                  </w:tcBorders>
                  <w:vAlign w:val="center"/>
                </w:tcPr>
                <w:p w14:paraId="3F3D8A8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HW08</w:t>
                  </w:r>
                </w:p>
              </w:tc>
              <w:tc>
                <w:tcPr>
                  <w:tcW w:w="988" w:type="dxa"/>
                  <w:tcBorders>
                    <w:tl2br w:val="nil"/>
                    <w:tr2bl w:val="nil"/>
                  </w:tcBorders>
                  <w:vAlign w:val="center"/>
                </w:tcPr>
                <w:p w14:paraId="386A087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w:t>
                  </w:r>
                  <w:r>
                    <w:rPr>
                      <w:rFonts w:hint="eastAsia" w:ascii="Times New Roman" w:hAnsi="Times New Roman" w:eastAsia="宋体" w:cs="Times New Roman"/>
                      <w:color w:val="000000" w:themeColor="text1"/>
                      <w:spacing w:val="4"/>
                      <w:sz w:val="21"/>
                      <w:szCs w:val="21"/>
                      <w:lang w:val="en-US" w:eastAsia="zh-CN"/>
                    </w:rPr>
                    <w:t>214</w:t>
                  </w:r>
                  <w:r>
                    <w:rPr>
                      <w:rFonts w:hint="default" w:ascii="Times New Roman" w:hAnsi="Times New Roman" w:eastAsia="宋体" w:cs="Times New Roman"/>
                      <w:color w:val="000000" w:themeColor="text1"/>
                      <w:spacing w:val="4"/>
                      <w:sz w:val="21"/>
                      <w:szCs w:val="21"/>
                    </w:rPr>
                    <w:t>-08</w:t>
                  </w:r>
                </w:p>
              </w:tc>
              <w:tc>
                <w:tcPr>
                  <w:tcW w:w="928" w:type="dxa"/>
                  <w:tcBorders>
                    <w:tl2br w:val="nil"/>
                    <w:tr2bl w:val="nil"/>
                  </w:tcBorders>
                  <w:vAlign w:val="center"/>
                </w:tcPr>
                <w:p w14:paraId="6831BC1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r>
            <w:tr w14:paraId="1A753E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82" w:hRule="atLeast"/>
                <w:jc w:val="center"/>
              </w:trPr>
              <w:tc>
                <w:tcPr>
                  <w:tcW w:w="372" w:type="dxa"/>
                  <w:tcBorders>
                    <w:tl2br w:val="nil"/>
                    <w:tr2bl w:val="nil"/>
                  </w:tcBorders>
                  <w:vAlign w:val="center"/>
                </w:tcPr>
                <w:p w14:paraId="12A2F7A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6</w:t>
                  </w:r>
                </w:p>
              </w:tc>
              <w:tc>
                <w:tcPr>
                  <w:tcW w:w="857" w:type="dxa"/>
                  <w:tcBorders>
                    <w:tl2br w:val="nil"/>
                    <w:tr2bl w:val="nil"/>
                  </w:tcBorders>
                  <w:vAlign w:val="center"/>
                </w:tcPr>
                <w:p w14:paraId="4190367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eastAsia="zh-CN"/>
                    </w:rPr>
                  </w:pPr>
                  <w:r>
                    <w:rPr>
                      <w:rFonts w:hint="eastAsia" w:ascii="Times New Roman" w:hAnsi="Times New Roman" w:cs="Times New Roman"/>
                      <w:color w:val="000000" w:themeColor="text1"/>
                      <w:spacing w:val="4"/>
                      <w:sz w:val="21"/>
                      <w:szCs w:val="21"/>
                      <w:lang w:eastAsia="zh-CN"/>
                    </w:rPr>
                    <w:t>废润滑油桶</w:t>
                  </w:r>
                </w:p>
              </w:tc>
              <w:tc>
                <w:tcPr>
                  <w:tcW w:w="465" w:type="dxa"/>
                  <w:vMerge w:val="continue"/>
                  <w:tcBorders>
                    <w:tl2br w:val="nil"/>
                    <w:tr2bl w:val="nil"/>
                  </w:tcBorders>
                  <w:vAlign w:val="center"/>
                </w:tcPr>
                <w:p w14:paraId="2B6B02F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7A1B3C5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设备维护</w:t>
                  </w:r>
                </w:p>
              </w:tc>
              <w:tc>
                <w:tcPr>
                  <w:tcW w:w="436" w:type="dxa"/>
                  <w:tcBorders>
                    <w:tl2br w:val="nil"/>
                    <w:tr2bl w:val="nil"/>
                  </w:tcBorders>
                  <w:vAlign w:val="center"/>
                </w:tcPr>
                <w:p w14:paraId="6CAD3A8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固态</w:t>
                  </w:r>
                </w:p>
              </w:tc>
              <w:tc>
                <w:tcPr>
                  <w:tcW w:w="1043" w:type="dxa"/>
                  <w:tcBorders>
                    <w:tl2br w:val="nil"/>
                    <w:tr2bl w:val="nil"/>
                  </w:tcBorders>
                  <w:vAlign w:val="center"/>
                </w:tcPr>
                <w:p w14:paraId="6C5F91E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矿物油、铁桶</w:t>
                  </w:r>
                </w:p>
              </w:tc>
              <w:tc>
                <w:tcPr>
                  <w:tcW w:w="747" w:type="dxa"/>
                  <w:vMerge w:val="continue"/>
                  <w:tcBorders>
                    <w:tl2br w:val="nil"/>
                    <w:tr2bl w:val="nil"/>
                  </w:tcBorders>
                  <w:vAlign w:val="center"/>
                </w:tcPr>
                <w:p w14:paraId="0E63285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3D2ADFA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T，I</w:t>
                  </w:r>
                </w:p>
              </w:tc>
              <w:tc>
                <w:tcPr>
                  <w:tcW w:w="812" w:type="dxa"/>
                  <w:tcBorders>
                    <w:tl2br w:val="nil"/>
                    <w:tr2bl w:val="nil"/>
                  </w:tcBorders>
                  <w:vAlign w:val="center"/>
                </w:tcPr>
                <w:p w14:paraId="665E1EA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HW08</w:t>
                  </w:r>
                </w:p>
              </w:tc>
              <w:tc>
                <w:tcPr>
                  <w:tcW w:w="988" w:type="dxa"/>
                  <w:tcBorders>
                    <w:tl2br w:val="nil"/>
                    <w:tr2bl w:val="nil"/>
                  </w:tcBorders>
                  <w:vAlign w:val="center"/>
                </w:tcPr>
                <w:p w14:paraId="7EC003B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900-249-08</w:t>
                  </w:r>
                </w:p>
              </w:tc>
              <w:tc>
                <w:tcPr>
                  <w:tcW w:w="928" w:type="dxa"/>
                  <w:tcBorders>
                    <w:tl2br w:val="nil"/>
                    <w:tr2bl w:val="nil"/>
                  </w:tcBorders>
                  <w:vAlign w:val="center"/>
                </w:tcPr>
                <w:p w14:paraId="72C336E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r>
            <w:tr w14:paraId="1E15EC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372" w:type="dxa"/>
                  <w:tcBorders>
                    <w:tl2br w:val="nil"/>
                    <w:tr2bl w:val="nil"/>
                  </w:tcBorders>
                  <w:vAlign w:val="center"/>
                </w:tcPr>
                <w:p w14:paraId="7628FC7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7</w:t>
                  </w:r>
                </w:p>
              </w:tc>
              <w:tc>
                <w:tcPr>
                  <w:tcW w:w="857" w:type="dxa"/>
                  <w:tcBorders>
                    <w:tl2br w:val="nil"/>
                    <w:tr2bl w:val="nil"/>
                  </w:tcBorders>
                  <w:vAlign w:val="center"/>
                </w:tcPr>
                <w:p w14:paraId="1372A54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废冷凝液</w:t>
                  </w:r>
                </w:p>
              </w:tc>
              <w:tc>
                <w:tcPr>
                  <w:tcW w:w="465" w:type="dxa"/>
                  <w:vMerge w:val="continue"/>
                  <w:tcBorders>
                    <w:tl2br w:val="nil"/>
                    <w:tr2bl w:val="nil"/>
                  </w:tcBorders>
                  <w:vAlign w:val="center"/>
                </w:tcPr>
                <w:p w14:paraId="4830B40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06285E3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废气处理</w:t>
                  </w:r>
                </w:p>
              </w:tc>
              <w:tc>
                <w:tcPr>
                  <w:tcW w:w="436" w:type="dxa"/>
                  <w:tcBorders>
                    <w:tl2br w:val="nil"/>
                    <w:tr2bl w:val="nil"/>
                  </w:tcBorders>
                  <w:vAlign w:val="center"/>
                </w:tcPr>
                <w:p w14:paraId="593AC66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液态</w:t>
                  </w:r>
                </w:p>
              </w:tc>
              <w:tc>
                <w:tcPr>
                  <w:tcW w:w="1043" w:type="dxa"/>
                  <w:tcBorders>
                    <w:tl2br w:val="nil"/>
                    <w:tr2bl w:val="nil"/>
                  </w:tcBorders>
                  <w:vAlign w:val="center"/>
                </w:tcPr>
                <w:p w14:paraId="7674B6E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有机物</w:t>
                  </w:r>
                </w:p>
              </w:tc>
              <w:tc>
                <w:tcPr>
                  <w:tcW w:w="747" w:type="dxa"/>
                  <w:vMerge w:val="continue"/>
                  <w:tcBorders>
                    <w:tl2br w:val="nil"/>
                    <w:tr2bl w:val="nil"/>
                  </w:tcBorders>
                  <w:vAlign w:val="center"/>
                </w:tcPr>
                <w:p w14:paraId="414CA47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3CFB099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T</w:t>
                  </w:r>
                </w:p>
              </w:tc>
              <w:tc>
                <w:tcPr>
                  <w:tcW w:w="812" w:type="dxa"/>
                  <w:tcBorders>
                    <w:tl2br w:val="nil"/>
                    <w:tr2bl w:val="nil"/>
                  </w:tcBorders>
                  <w:vAlign w:val="center"/>
                </w:tcPr>
                <w:p w14:paraId="30933C4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HW45</w:t>
                  </w:r>
                </w:p>
              </w:tc>
              <w:tc>
                <w:tcPr>
                  <w:tcW w:w="988" w:type="dxa"/>
                  <w:tcBorders>
                    <w:tl2br w:val="nil"/>
                    <w:tr2bl w:val="nil"/>
                  </w:tcBorders>
                  <w:vAlign w:val="center"/>
                </w:tcPr>
                <w:p w14:paraId="58F66A3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261-085-45</w:t>
                  </w:r>
                </w:p>
              </w:tc>
              <w:tc>
                <w:tcPr>
                  <w:tcW w:w="928" w:type="dxa"/>
                  <w:tcBorders>
                    <w:tl2br w:val="nil"/>
                    <w:tr2bl w:val="nil"/>
                  </w:tcBorders>
                  <w:vAlign w:val="center"/>
                </w:tcPr>
                <w:p w14:paraId="69E6DDC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2.187</w:t>
                  </w:r>
                </w:p>
              </w:tc>
            </w:tr>
            <w:tr w14:paraId="00B5D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7" w:hRule="atLeast"/>
                <w:jc w:val="center"/>
              </w:trPr>
              <w:tc>
                <w:tcPr>
                  <w:tcW w:w="372" w:type="dxa"/>
                  <w:tcBorders>
                    <w:tl2br w:val="nil"/>
                    <w:tr2bl w:val="nil"/>
                  </w:tcBorders>
                  <w:vAlign w:val="center"/>
                </w:tcPr>
                <w:p w14:paraId="655E46B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8</w:t>
                  </w:r>
                </w:p>
              </w:tc>
              <w:tc>
                <w:tcPr>
                  <w:tcW w:w="857" w:type="dxa"/>
                  <w:tcBorders>
                    <w:tl2br w:val="nil"/>
                    <w:tr2bl w:val="nil"/>
                  </w:tcBorders>
                  <w:vAlign w:val="center"/>
                </w:tcPr>
                <w:p w14:paraId="5353031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废活性炭</w:t>
                  </w:r>
                </w:p>
              </w:tc>
              <w:tc>
                <w:tcPr>
                  <w:tcW w:w="465" w:type="dxa"/>
                  <w:vMerge w:val="continue"/>
                  <w:tcBorders>
                    <w:tl2br w:val="nil"/>
                    <w:tr2bl w:val="nil"/>
                  </w:tcBorders>
                  <w:vAlign w:val="center"/>
                </w:tcPr>
                <w:p w14:paraId="5312A2B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927" w:type="dxa"/>
                  <w:tcBorders>
                    <w:tl2br w:val="nil"/>
                    <w:tr2bl w:val="nil"/>
                  </w:tcBorders>
                  <w:vAlign w:val="center"/>
                </w:tcPr>
                <w:p w14:paraId="4CDF26C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eastAsia" w:ascii="Times New Roman" w:hAnsi="Times New Roman" w:eastAsia="宋体" w:cs="Times New Roman"/>
                      <w:color w:val="000000" w:themeColor="text1"/>
                      <w:spacing w:val="4"/>
                      <w:sz w:val="21"/>
                      <w:szCs w:val="21"/>
                      <w:lang w:val="en-US" w:eastAsia="zh-CN"/>
                    </w:rPr>
                    <w:t>废气处理</w:t>
                  </w:r>
                </w:p>
              </w:tc>
              <w:tc>
                <w:tcPr>
                  <w:tcW w:w="436" w:type="dxa"/>
                  <w:tcBorders>
                    <w:tl2br w:val="nil"/>
                    <w:tr2bl w:val="nil"/>
                  </w:tcBorders>
                  <w:vAlign w:val="center"/>
                </w:tcPr>
                <w:p w14:paraId="42A823D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固态</w:t>
                  </w:r>
                </w:p>
              </w:tc>
              <w:tc>
                <w:tcPr>
                  <w:tcW w:w="1043" w:type="dxa"/>
                  <w:tcBorders>
                    <w:tl2br w:val="nil"/>
                    <w:tr2bl w:val="nil"/>
                  </w:tcBorders>
                  <w:vAlign w:val="center"/>
                </w:tcPr>
                <w:p w14:paraId="11C1805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eastAsia" w:ascii="Times New Roman" w:hAnsi="Times New Roman" w:eastAsia="宋体" w:cs="Times New Roman"/>
                      <w:color w:val="000000" w:themeColor="text1"/>
                      <w:spacing w:val="4"/>
                      <w:sz w:val="21"/>
                      <w:szCs w:val="21"/>
                      <w:lang w:val="en-US" w:eastAsia="zh-CN"/>
                    </w:rPr>
                    <w:t>有机物</w:t>
                  </w:r>
                </w:p>
              </w:tc>
              <w:tc>
                <w:tcPr>
                  <w:tcW w:w="747" w:type="dxa"/>
                  <w:vMerge w:val="continue"/>
                  <w:tcBorders>
                    <w:tl2br w:val="nil"/>
                    <w:tr2bl w:val="nil"/>
                  </w:tcBorders>
                  <w:vAlign w:val="center"/>
                </w:tcPr>
                <w:p w14:paraId="2E8618C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p>
              </w:tc>
              <w:tc>
                <w:tcPr>
                  <w:tcW w:w="619" w:type="dxa"/>
                  <w:tcBorders>
                    <w:tl2br w:val="nil"/>
                    <w:tr2bl w:val="nil"/>
                  </w:tcBorders>
                  <w:vAlign w:val="center"/>
                </w:tcPr>
                <w:p w14:paraId="4507A36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T</w:t>
                  </w:r>
                </w:p>
              </w:tc>
              <w:tc>
                <w:tcPr>
                  <w:tcW w:w="812" w:type="dxa"/>
                  <w:tcBorders>
                    <w:tl2br w:val="nil"/>
                    <w:tr2bl w:val="nil"/>
                  </w:tcBorders>
                  <w:vAlign w:val="center"/>
                </w:tcPr>
                <w:p w14:paraId="6EADC3F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HW49</w:t>
                  </w:r>
                </w:p>
              </w:tc>
              <w:tc>
                <w:tcPr>
                  <w:tcW w:w="988" w:type="dxa"/>
                  <w:tcBorders>
                    <w:tl2br w:val="nil"/>
                    <w:tr2bl w:val="nil"/>
                  </w:tcBorders>
                  <w:vAlign w:val="center"/>
                </w:tcPr>
                <w:p w14:paraId="16D1094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900-039-49</w:t>
                  </w:r>
                </w:p>
              </w:tc>
              <w:tc>
                <w:tcPr>
                  <w:tcW w:w="928" w:type="dxa"/>
                  <w:tcBorders>
                    <w:tl2br w:val="nil"/>
                    <w:tr2bl w:val="nil"/>
                  </w:tcBorders>
                  <w:vAlign w:val="center"/>
                </w:tcPr>
                <w:p w14:paraId="5B186BD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3.105</w:t>
                  </w:r>
                </w:p>
              </w:tc>
            </w:tr>
          </w:tbl>
          <w:p w14:paraId="589E70D4">
            <w:pPr>
              <w:tabs>
                <w:tab w:val="left" w:pos="0"/>
              </w:tabs>
              <w:adjustRightInd w:val="0"/>
              <w:snapToGrid w:val="0"/>
              <w:spacing w:line="240" w:lineRule="auto"/>
              <w:ind w:firstLine="0" w:firstLineChars="0"/>
              <w:jc w:val="center"/>
              <w:rPr>
                <w:rFonts w:hint="default" w:ascii="Times New Roman" w:hAnsi="Times New Roman" w:eastAsia="宋体" w:cs="Times New Roman"/>
                <w:b/>
                <w:color w:val="000000" w:themeColor="text1"/>
                <w:kern w:val="0"/>
                <w:sz w:val="21"/>
                <w:szCs w:val="21"/>
              </w:rPr>
            </w:pPr>
          </w:p>
          <w:p w14:paraId="0E309EBD">
            <w:pPr>
              <w:tabs>
                <w:tab w:val="left" w:pos="0"/>
              </w:tabs>
              <w:adjustRightInd w:val="0"/>
              <w:snapToGrid w:val="0"/>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ascii="Times New Roman" w:hAnsi="Times New Roman" w:eastAsia="宋体" w:cs="Times New Roman"/>
                <w:b/>
                <w:color w:val="000000" w:themeColor="text1"/>
                <w:kern w:val="0"/>
                <w:sz w:val="21"/>
                <w:szCs w:val="21"/>
                <w:lang w:val="en-US" w:eastAsia="zh-CN"/>
              </w:rPr>
              <w:t>2</w:t>
            </w:r>
            <w:r>
              <w:rPr>
                <w:rFonts w:hint="eastAsia" w:cs="Times New Roman"/>
                <w:b/>
                <w:color w:val="000000" w:themeColor="text1"/>
                <w:kern w:val="0"/>
                <w:sz w:val="21"/>
                <w:szCs w:val="21"/>
                <w:lang w:val="en-US" w:eastAsia="zh-CN"/>
              </w:rPr>
              <w:t>5</w:t>
            </w:r>
            <w:r>
              <w:rPr>
                <w:rFonts w:hint="default" w:ascii="Times New Roman" w:hAnsi="Times New Roman" w:eastAsia="宋体" w:cs="Times New Roman"/>
                <w:b/>
                <w:color w:val="000000" w:themeColor="text1"/>
                <w:sz w:val="21"/>
                <w:szCs w:val="21"/>
              </w:rPr>
              <w:t xml:space="preserve">  </w:t>
            </w:r>
            <w:r>
              <w:rPr>
                <w:rFonts w:hint="eastAsia" w:cs="Times New Roman"/>
                <w:b/>
                <w:color w:val="000000" w:themeColor="text1"/>
                <w:sz w:val="21"/>
                <w:szCs w:val="21"/>
                <w:lang w:val="en-US" w:eastAsia="zh-CN"/>
              </w:rPr>
              <w:t xml:space="preserve"> </w:t>
            </w:r>
            <w:r>
              <w:rPr>
                <w:rFonts w:hint="default" w:ascii="Times New Roman" w:hAnsi="Times New Roman" w:eastAsia="宋体" w:cs="Times New Roman"/>
                <w:b/>
                <w:color w:val="000000" w:themeColor="text1"/>
                <w:sz w:val="21"/>
                <w:szCs w:val="21"/>
              </w:rPr>
              <w:t>危险固废产生、处理及排放情况</w:t>
            </w:r>
          </w:p>
          <w:tbl>
            <w:tblPr>
              <w:tblStyle w:val="3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4"/>
              <w:gridCol w:w="1674"/>
              <w:gridCol w:w="710"/>
              <w:gridCol w:w="1303"/>
              <w:gridCol w:w="1118"/>
              <w:gridCol w:w="933"/>
              <w:gridCol w:w="1398"/>
            </w:tblGrid>
            <w:tr w14:paraId="7B3BCD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5" w:type="pct"/>
                  <w:vAlign w:val="center"/>
                </w:tcPr>
                <w:p w14:paraId="0324E7B8">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危险废</w:t>
                  </w:r>
                </w:p>
                <w:p w14:paraId="6D1653AF">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物名称</w:t>
                  </w:r>
                </w:p>
              </w:tc>
              <w:tc>
                <w:tcPr>
                  <w:tcW w:w="1030" w:type="pct"/>
                  <w:vAlign w:val="center"/>
                </w:tcPr>
                <w:p w14:paraId="6E542EC6">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危险废</w:t>
                  </w:r>
                </w:p>
                <w:p w14:paraId="7CFE009D">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物代码</w:t>
                  </w:r>
                </w:p>
              </w:tc>
              <w:tc>
                <w:tcPr>
                  <w:tcW w:w="437" w:type="pct"/>
                  <w:vAlign w:val="center"/>
                </w:tcPr>
                <w:p w14:paraId="55A9D872">
                  <w:pPr>
                    <w:pStyle w:val="55"/>
                    <w:ind w:left="0"/>
                    <w:rPr>
                      <w:rFonts w:hint="eastAsia" w:ascii="Times New Roman" w:hAnsi="Times New Roman" w:eastAsia="宋体" w:cs="Times New Roman"/>
                      <w:b/>
                      <w:bCs/>
                      <w:color w:val="000000" w:themeColor="text1"/>
                      <w:sz w:val="21"/>
                      <w:szCs w:val="21"/>
                      <w:lang w:eastAsia="zh-CN"/>
                    </w:rPr>
                  </w:pPr>
                  <w:r>
                    <w:rPr>
                      <w:rFonts w:hint="default" w:ascii="Times New Roman" w:hAnsi="Times New Roman" w:eastAsia="宋体" w:cs="Times New Roman"/>
                      <w:b/>
                      <w:bCs/>
                      <w:color w:val="000000" w:themeColor="text1"/>
                      <w:sz w:val="21"/>
                      <w:szCs w:val="21"/>
                    </w:rPr>
                    <w:t>产生量</w:t>
                  </w:r>
                  <w:r>
                    <w:rPr>
                      <w:rFonts w:hint="eastAsia" w:ascii="Times New Roman" w:hAnsi="Times New Roman" w:eastAsia="宋体" w:cs="Times New Roman"/>
                      <w:b/>
                      <w:bCs/>
                      <w:color w:val="000000" w:themeColor="text1"/>
                      <w:sz w:val="21"/>
                      <w:szCs w:val="21"/>
                      <w:lang w:eastAsia="zh-CN"/>
                    </w:rPr>
                    <w:t>（</w:t>
                  </w:r>
                  <w:r>
                    <w:rPr>
                      <w:rFonts w:hint="eastAsia" w:ascii="Times New Roman" w:hAnsi="Times New Roman" w:eastAsia="宋体" w:cs="Times New Roman"/>
                      <w:b/>
                      <w:bCs/>
                      <w:color w:val="000000" w:themeColor="text1"/>
                      <w:sz w:val="21"/>
                      <w:szCs w:val="21"/>
                      <w:lang w:val="en-US" w:eastAsia="zh-CN"/>
                    </w:rPr>
                    <w:t>t/a</w:t>
                  </w:r>
                  <w:r>
                    <w:rPr>
                      <w:rFonts w:hint="eastAsia" w:ascii="Times New Roman" w:hAnsi="Times New Roman" w:eastAsia="宋体" w:cs="Times New Roman"/>
                      <w:b/>
                      <w:bCs/>
                      <w:color w:val="000000" w:themeColor="text1"/>
                      <w:sz w:val="21"/>
                      <w:szCs w:val="21"/>
                      <w:lang w:eastAsia="zh-CN"/>
                    </w:rPr>
                    <w:t>）</w:t>
                  </w:r>
                </w:p>
              </w:tc>
              <w:tc>
                <w:tcPr>
                  <w:tcW w:w="802" w:type="pct"/>
                  <w:vAlign w:val="center"/>
                </w:tcPr>
                <w:p w14:paraId="78CF7FD2">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产生工</w:t>
                  </w:r>
                </w:p>
                <w:p w14:paraId="6389AFEE">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序及装置</w:t>
                  </w:r>
                </w:p>
              </w:tc>
              <w:tc>
                <w:tcPr>
                  <w:tcW w:w="688" w:type="pct"/>
                  <w:vAlign w:val="center"/>
                </w:tcPr>
                <w:p w14:paraId="183CAD16">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形态</w:t>
                  </w:r>
                </w:p>
              </w:tc>
              <w:tc>
                <w:tcPr>
                  <w:tcW w:w="574" w:type="pct"/>
                  <w:vAlign w:val="center"/>
                </w:tcPr>
                <w:p w14:paraId="1AA05102">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产废</w:t>
                  </w:r>
                </w:p>
                <w:p w14:paraId="0C370CD5">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周期</w:t>
                  </w:r>
                </w:p>
              </w:tc>
              <w:tc>
                <w:tcPr>
                  <w:tcW w:w="861" w:type="pct"/>
                  <w:vAlign w:val="center"/>
                </w:tcPr>
                <w:p w14:paraId="72BA2C54">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污染防</w:t>
                  </w:r>
                </w:p>
                <w:p w14:paraId="52068BA1">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治措施</w:t>
                  </w:r>
                </w:p>
              </w:tc>
            </w:tr>
            <w:tr w14:paraId="20B71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5" w:type="pct"/>
                  <w:vAlign w:val="center"/>
                </w:tcPr>
                <w:p w14:paraId="7B4748A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pacing w:val="4"/>
                      <w:sz w:val="21"/>
                      <w:szCs w:val="21"/>
                      <w:lang w:eastAsia="zh-CN"/>
                    </w:rPr>
                    <w:t>废润滑油</w:t>
                  </w:r>
                </w:p>
              </w:tc>
              <w:tc>
                <w:tcPr>
                  <w:tcW w:w="1030" w:type="pct"/>
                  <w:vAlign w:val="center"/>
                </w:tcPr>
                <w:p w14:paraId="680FF48B">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HW</w:t>
                  </w:r>
                  <w:r>
                    <w:rPr>
                      <w:rFonts w:hint="eastAsia" w:ascii="Times New Roman" w:hAnsi="Times New Roman" w:eastAsia="宋体" w:cs="Times New Roman"/>
                      <w:color w:val="000000" w:themeColor="text1"/>
                      <w:sz w:val="21"/>
                      <w:szCs w:val="21"/>
                      <w:lang w:val="en-US" w:eastAsia="zh-CN"/>
                    </w:rPr>
                    <w:t>08</w:t>
                  </w:r>
                </w:p>
                <w:p w14:paraId="4DD46B59">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900-2</w:t>
                  </w:r>
                  <w:r>
                    <w:rPr>
                      <w:rFonts w:hint="eastAsia" w:ascii="Times New Roman" w:hAnsi="Times New Roman" w:eastAsia="宋体" w:cs="Times New Roman"/>
                      <w:color w:val="000000" w:themeColor="text1"/>
                      <w:spacing w:val="4"/>
                      <w:sz w:val="21"/>
                      <w:szCs w:val="21"/>
                      <w:lang w:val="en-US" w:eastAsia="zh-CN"/>
                    </w:rPr>
                    <w:t>14</w:t>
                  </w:r>
                  <w:r>
                    <w:rPr>
                      <w:rFonts w:hint="default" w:ascii="Times New Roman" w:hAnsi="Times New Roman" w:eastAsia="宋体" w:cs="Times New Roman"/>
                      <w:color w:val="000000" w:themeColor="text1"/>
                      <w:spacing w:val="4"/>
                      <w:sz w:val="21"/>
                      <w:szCs w:val="21"/>
                    </w:rPr>
                    <w:t>-08</w:t>
                  </w:r>
                </w:p>
              </w:tc>
              <w:tc>
                <w:tcPr>
                  <w:tcW w:w="437" w:type="pct"/>
                  <w:vAlign w:val="center"/>
                </w:tcPr>
                <w:p w14:paraId="5E03EF7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c>
                <w:tcPr>
                  <w:tcW w:w="802" w:type="pct"/>
                  <w:vAlign w:val="center"/>
                </w:tcPr>
                <w:p w14:paraId="76D4EF71">
                  <w:pPr>
                    <w:pStyle w:val="55"/>
                    <w:ind w:left="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设备维修保养</w:t>
                  </w:r>
                </w:p>
              </w:tc>
              <w:tc>
                <w:tcPr>
                  <w:tcW w:w="688" w:type="pct"/>
                  <w:vAlign w:val="center"/>
                </w:tcPr>
                <w:p w14:paraId="649ED714">
                  <w:pPr>
                    <w:pStyle w:val="55"/>
                    <w:ind w:left="0"/>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z w:val="21"/>
                      <w:szCs w:val="21"/>
                      <w:lang w:val="en-US" w:eastAsia="zh-CN"/>
                    </w:rPr>
                    <w:t>液态</w:t>
                  </w:r>
                </w:p>
              </w:tc>
              <w:tc>
                <w:tcPr>
                  <w:tcW w:w="574" w:type="pct"/>
                  <w:vAlign w:val="center"/>
                </w:tcPr>
                <w:p w14:paraId="1542C9CD">
                  <w:pPr>
                    <w:pStyle w:val="55"/>
                    <w:ind w:left="0"/>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180</w:t>
                  </w:r>
                  <w:r>
                    <w:rPr>
                      <w:rFonts w:hint="default" w:ascii="Times New Roman" w:hAnsi="Times New Roman" w:eastAsia="宋体" w:cs="Times New Roman"/>
                      <w:color w:val="000000" w:themeColor="text1"/>
                      <w:sz w:val="21"/>
                      <w:szCs w:val="21"/>
                    </w:rPr>
                    <w:t>d</w:t>
                  </w:r>
                </w:p>
              </w:tc>
              <w:tc>
                <w:tcPr>
                  <w:tcW w:w="861" w:type="pct"/>
                  <w:vMerge w:val="restart"/>
                  <w:vAlign w:val="center"/>
                </w:tcPr>
                <w:p w14:paraId="18B918E3">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交由有危废处理资质的单位处理</w:t>
                  </w:r>
                </w:p>
              </w:tc>
            </w:tr>
            <w:tr w14:paraId="60499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5" w:type="pct"/>
                  <w:vAlign w:val="center"/>
                </w:tcPr>
                <w:p w14:paraId="1921295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pacing w:val="4"/>
                      <w:sz w:val="21"/>
                      <w:szCs w:val="21"/>
                      <w:lang w:eastAsia="zh-CN"/>
                    </w:rPr>
                    <w:t>废润滑油桶</w:t>
                  </w:r>
                </w:p>
              </w:tc>
              <w:tc>
                <w:tcPr>
                  <w:tcW w:w="1030" w:type="pct"/>
                  <w:vAlign w:val="center"/>
                </w:tcPr>
                <w:p w14:paraId="22EC2322">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HW</w:t>
                  </w:r>
                  <w:r>
                    <w:rPr>
                      <w:rFonts w:hint="eastAsia" w:ascii="Times New Roman" w:hAnsi="Times New Roman" w:eastAsia="宋体" w:cs="Times New Roman"/>
                      <w:color w:val="000000" w:themeColor="text1"/>
                      <w:sz w:val="21"/>
                      <w:szCs w:val="21"/>
                      <w:lang w:val="en-US" w:eastAsia="zh-CN"/>
                    </w:rPr>
                    <w:t>08</w:t>
                  </w:r>
                </w:p>
                <w:p w14:paraId="3F02856F">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900-249-08</w:t>
                  </w:r>
                </w:p>
              </w:tc>
              <w:tc>
                <w:tcPr>
                  <w:tcW w:w="437" w:type="pct"/>
                  <w:vAlign w:val="center"/>
                </w:tcPr>
                <w:p w14:paraId="733E07C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c>
                <w:tcPr>
                  <w:tcW w:w="802" w:type="pct"/>
                  <w:vAlign w:val="center"/>
                </w:tcPr>
                <w:p w14:paraId="53EEFDC1">
                  <w:pPr>
                    <w:pStyle w:val="55"/>
                    <w:ind w:left="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设备维修保养</w:t>
                  </w:r>
                </w:p>
              </w:tc>
              <w:tc>
                <w:tcPr>
                  <w:tcW w:w="688" w:type="pct"/>
                  <w:vAlign w:val="center"/>
                </w:tcPr>
                <w:p w14:paraId="3FD054F2">
                  <w:pPr>
                    <w:pStyle w:val="55"/>
                    <w:ind w:left="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固态</w:t>
                  </w:r>
                </w:p>
              </w:tc>
              <w:tc>
                <w:tcPr>
                  <w:tcW w:w="574" w:type="pct"/>
                  <w:vAlign w:val="center"/>
                </w:tcPr>
                <w:p w14:paraId="19DA59E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180</w:t>
                  </w:r>
                  <w:r>
                    <w:rPr>
                      <w:rFonts w:hint="default" w:cs="Times New Roman"/>
                      <w:color w:val="000000" w:themeColor="text1"/>
                      <w:sz w:val="21"/>
                      <w:szCs w:val="21"/>
                      <w:lang w:val="en-US" w:eastAsia="zh-CN"/>
                    </w:rPr>
                    <w:t>d</w:t>
                  </w:r>
                </w:p>
              </w:tc>
              <w:tc>
                <w:tcPr>
                  <w:tcW w:w="861" w:type="pct"/>
                  <w:vMerge w:val="continue"/>
                  <w:vAlign w:val="center"/>
                </w:tcPr>
                <w:p w14:paraId="14BEE4DD">
                  <w:pPr>
                    <w:pStyle w:val="55"/>
                    <w:ind w:left="0"/>
                    <w:rPr>
                      <w:rFonts w:hint="default" w:ascii="Times New Roman" w:hAnsi="Times New Roman" w:eastAsia="宋体" w:cs="Times New Roman"/>
                      <w:color w:val="000000" w:themeColor="text1"/>
                    </w:rPr>
                  </w:pPr>
                </w:p>
              </w:tc>
            </w:tr>
            <w:tr w14:paraId="71861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5" w:type="pct"/>
                  <w:vAlign w:val="center"/>
                </w:tcPr>
                <w:p w14:paraId="34330A3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4"/>
                      <w:sz w:val="21"/>
                      <w:szCs w:val="21"/>
                      <w:lang w:val="en-US" w:eastAsia="zh-CN"/>
                    </w:rPr>
                    <w:t>废冷凝液</w:t>
                  </w:r>
                </w:p>
              </w:tc>
              <w:tc>
                <w:tcPr>
                  <w:tcW w:w="1030" w:type="pct"/>
                  <w:vAlign w:val="center"/>
                </w:tcPr>
                <w:p w14:paraId="3D2D07F6">
                  <w:pPr>
                    <w:pStyle w:val="55"/>
                    <w:ind w:left="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HW45</w:t>
                  </w:r>
                </w:p>
                <w:p w14:paraId="2B4914F1">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261-085-45</w:t>
                  </w:r>
                </w:p>
              </w:tc>
              <w:tc>
                <w:tcPr>
                  <w:tcW w:w="437" w:type="pct"/>
                  <w:vAlign w:val="center"/>
                </w:tcPr>
                <w:p w14:paraId="08B5884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2.187</w:t>
                  </w:r>
                </w:p>
              </w:tc>
              <w:tc>
                <w:tcPr>
                  <w:tcW w:w="802" w:type="pct"/>
                  <w:vAlign w:val="center"/>
                </w:tcPr>
                <w:p w14:paraId="76767951">
                  <w:pPr>
                    <w:pStyle w:val="55"/>
                    <w:ind w:left="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废气处理</w:t>
                  </w:r>
                </w:p>
              </w:tc>
              <w:tc>
                <w:tcPr>
                  <w:tcW w:w="688" w:type="pct"/>
                  <w:vAlign w:val="center"/>
                </w:tcPr>
                <w:p w14:paraId="00EB21E5">
                  <w:pPr>
                    <w:pStyle w:val="55"/>
                    <w:ind w:left="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液态</w:t>
                  </w:r>
                </w:p>
              </w:tc>
              <w:tc>
                <w:tcPr>
                  <w:tcW w:w="574" w:type="pct"/>
                  <w:vAlign w:val="center"/>
                </w:tcPr>
                <w:p w14:paraId="4B7465B7">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180</w:t>
                  </w:r>
                  <w:r>
                    <w:rPr>
                      <w:rFonts w:hint="default" w:cs="Times New Roman"/>
                      <w:color w:val="000000" w:themeColor="text1"/>
                      <w:sz w:val="21"/>
                      <w:szCs w:val="21"/>
                      <w:lang w:val="en-US" w:eastAsia="zh-CN"/>
                    </w:rPr>
                    <w:t>d</w:t>
                  </w:r>
                </w:p>
              </w:tc>
              <w:tc>
                <w:tcPr>
                  <w:tcW w:w="861" w:type="pct"/>
                  <w:vMerge w:val="continue"/>
                  <w:vAlign w:val="center"/>
                </w:tcPr>
                <w:p w14:paraId="040760A9">
                  <w:pPr>
                    <w:pStyle w:val="55"/>
                    <w:ind w:left="0"/>
                    <w:rPr>
                      <w:rFonts w:hint="default" w:ascii="Times New Roman" w:hAnsi="Times New Roman" w:eastAsia="宋体" w:cs="Times New Roman"/>
                      <w:color w:val="000000" w:themeColor="text1"/>
                    </w:rPr>
                  </w:pPr>
                </w:p>
              </w:tc>
            </w:tr>
            <w:tr w14:paraId="53ECC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05" w:type="pct"/>
                  <w:vAlign w:val="center"/>
                </w:tcPr>
                <w:p w14:paraId="5EA90B0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废活性炭</w:t>
                  </w:r>
                </w:p>
              </w:tc>
              <w:tc>
                <w:tcPr>
                  <w:tcW w:w="1030" w:type="pct"/>
                  <w:vAlign w:val="center"/>
                </w:tcPr>
                <w:p w14:paraId="7197578D">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HW49</w:t>
                  </w:r>
                </w:p>
                <w:p w14:paraId="683B1E14">
                  <w:pPr>
                    <w:pStyle w:val="55"/>
                    <w:ind w:left="0"/>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900-039-49</w:t>
                  </w:r>
                </w:p>
              </w:tc>
              <w:tc>
                <w:tcPr>
                  <w:tcW w:w="437" w:type="pct"/>
                  <w:vAlign w:val="center"/>
                </w:tcPr>
                <w:p w14:paraId="6AEF758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3.105</w:t>
                  </w:r>
                </w:p>
              </w:tc>
              <w:tc>
                <w:tcPr>
                  <w:tcW w:w="802" w:type="pct"/>
                  <w:vAlign w:val="center"/>
                </w:tcPr>
                <w:p w14:paraId="60E3FB75">
                  <w:pPr>
                    <w:pStyle w:val="55"/>
                    <w:ind w:left="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废气处理</w:t>
                  </w:r>
                </w:p>
              </w:tc>
              <w:tc>
                <w:tcPr>
                  <w:tcW w:w="688" w:type="pct"/>
                  <w:vAlign w:val="center"/>
                </w:tcPr>
                <w:p w14:paraId="58B83CA0">
                  <w:pPr>
                    <w:pStyle w:val="55"/>
                    <w:ind w:left="0"/>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z w:val="21"/>
                      <w:szCs w:val="21"/>
                      <w:lang w:val="en-US" w:eastAsia="zh-CN"/>
                    </w:rPr>
                    <w:t>固态</w:t>
                  </w:r>
                </w:p>
              </w:tc>
              <w:tc>
                <w:tcPr>
                  <w:tcW w:w="574" w:type="pct"/>
                  <w:vAlign w:val="center"/>
                </w:tcPr>
                <w:p w14:paraId="2BB7A85F">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180</w:t>
                  </w:r>
                  <w:r>
                    <w:rPr>
                      <w:rFonts w:hint="default" w:cs="Times New Roman"/>
                      <w:color w:val="000000" w:themeColor="text1"/>
                      <w:sz w:val="21"/>
                      <w:szCs w:val="21"/>
                      <w:lang w:val="en-US" w:eastAsia="zh-CN"/>
                    </w:rPr>
                    <w:t>d</w:t>
                  </w:r>
                </w:p>
              </w:tc>
              <w:tc>
                <w:tcPr>
                  <w:tcW w:w="861" w:type="pct"/>
                  <w:vMerge w:val="continue"/>
                  <w:vAlign w:val="center"/>
                </w:tcPr>
                <w:p w14:paraId="036797E2">
                  <w:pPr>
                    <w:pStyle w:val="55"/>
                    <w:ind w:left="0"/>
                    <w:rPr>
                      <w:rFonts w:hint="default" w:ascii="Times New Roman" w:hAnsi="Times New Roman" w:eastAsia="宋体" w:cs="Times New Roman"/>
                      <w:color w:val="000000" w:themeColor="text1"/>
                    </w:rPr>
                  </w:pPr>
                </w:p>
              </w:tc>
            </w:tr>
          </w:tbl>
          <w:p w14:paraId="7FE8E6F5">
            <w:pPr>
              <w:numPr>
                <w:ilvl w:val="0"/>
                <w:numId w:val="0"/>
              </w:numPr>
              <w:ind w:firstLine="474" w:firstLineChars="200"/>
              <w:rPr>
                <w:rFonts w:hint="default" w:ascii="Times New Roman" w:hAnsi="Times New Roman" w:eastAsia="宋体" w:cs="Times New Roman"/>
                <w:bCs/>
                <w:color w:val="000000" w:themeColor="text1"/>
              </w:rPr>
            </w:pPr>
            <w:r>
              <w:rPr>
                <w:rFonts w:hint="eastAsia" w:ascii="Times New Roman" w:hAnsi="Times New Roman" w:eastAsia="宋体" w:cs="Times New Roman"/>
                <w:b/>
                <w:bCs/>
                <w:color w:val="000000" w:themeColor="text1"/>
                <w:spacing w:val="-2"/>
                <w:lang w:val="en-US" w:eastAsia="zh-CN"/>
              </w:rPr>
              <w:t>4.2</w:t>
            </w:r>
            <w:r>
              <w:rPr>
                <w:rFonts w:ascii="Times New Roman" w:hAnsi="Times New Roman" w:eastAsia="宋体" w:cs="Times New Roman"/>
                <w:b/>
                <w:bCs/>
                <w:color w:val="000000" w:themeColor="text1"/>
                <w:spacing w:val="-2"/>
              </w:rPr>
              <w:t>固废</w:t>
            </w:r>
            <w:r>
              <w:rPr>
                <w:b/>
                <w:bCs/>
                <w:color w:val="000000" w:themeColor="text1"/>
                <w:spacing w:val="-2"/>
              </w:rPr>
              <w:t>污染防治措施及可行性分析</w:t>
            </w:r>
          </w:p>
          <w:p w14:paraId="132CD521">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4.2.1 收集过程污染防治措施分析</w:t>
            </w:r>
          </w:p>
          <w:p w14:paraId="016BF5D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本项目涉及的危废收集过程，包括两个方面，一是在危险废物产生节点将危险废物集中到适当的包装容器中或运输车辆上的活动；二是将已包装或装到运输车辆上的危险废物集中到厂内危废暂存库的内部转运。</w:t>
            </w:r>
          </w:p>
          <w:p w14:paraId="1D25D9C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危险废物收集和转运作业人员应根据工作需要配备必要的个人防护装备，如手套、防护镜、防护服、防毒面具或口罩等。</w:t>
            </w:r>
          </w:p>
          <w:p w14:paraId="61BA1452">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在危险废物的收集和转运过程中，应采取相应的安全防护和污染防治措施，包括防爆、防火、防中毒、防感染、防泄漏、防飞扬、防雨或</w:t>
            </w:r>
            <w:r>
              <w:rPr>
                <w:rFonts w:hint="eastAsia" w:cs="Times New Roman"/>
                <w:color w:val="000000" w:themeColor="text1"/>
                <w:lang w:eastAsia="zh-CN"/>
              </w:rPr>
              <w:t>其他</w:t>
            </w:r>
            <w:r>
              <w:rPr>
                <w:rFonts w:hint="eastAsia" w:ascii="Times New Roman" w:hAnsi="Times New Roman" w:eastAsia="宋体" w:cs="Times New Roman"/>
                <w:color w:val="000000" w:themeColor="text1"/>
              </w:rPr>
              <w:t>防止污染环境的措施。</w:t>
            </w:r>
          </w:p>
          <w:p w14:paraId="3BF60048">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危险废物收集时应根据危险废物的种类、数量、危险特性、物理形态运输要求等因素确定包装形式，包装材质要与危险废物相容，性质不相容的危险废物不应混合包装。</w:t>
            </w:r>
          </w:p>
          <w:p w14:paraId="1BD08D9C">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危险废物转运作业应满足如下要求：</w:t>
            </w:r>
          </w:p>
          <w:p w14:paraId="2CE055B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（1）危险废物转运应尽量避开办公区和生活区，综合考虑后确定转运路线。</w:t>
            </w:r>
          </w:p>
          <w:p w14:paraId="1FB50F5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（2）危险废物转运作业应采用专用的工具。</w:t>
            </w:r>
          </w:p>
          <w:p w14:paraId="0809566D">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（3）危险废物转运过程应确保无危险废物遗失在转运路线上，转运结束后应对转运工具进行清理。</w:t>
            </w:r>
          </w:p>
          <w:p w14:paraId="2F3A8009">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4.2.2 贮存场所污染防治措施分析</w:t>
            </w:r>
          </w:p>
          <w:p w14:paraId="173170DA">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（1）一般工业固废</w:t>
            </w:r>
          </w:p>
          <w:p w14:paraId="7F644780">
            <w:pPr>
              <w:ind w:firstLine="480"/>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w:t>
            </w:r>
            <w:r>
              <w:rPr>
                <w:rFonts w:hint="eastAsia" w:ascii="Times New Roman" w:hAnsi="Times New Roman" w:eastAsia="宋体" w:cs="Times New Roman"/>
                <w:color w:val="000000" w:themeColor="text1"/>
                <w:lang w:val="en-US" w:eastAsia="zh-CN"/>
              </w:rPr>
              <w:t>已</w:t>
            </w:r>
            <w:r>
              <w:rPr>
                <w:rFonts w:hint="eastAsia" w:ascii="Times New Roman" w:hAnsi="Times New Roman" w:eastAsia="宋体" w:cs="Times New Roman"/>
                <w:color w:val="000000" w:themeColor="text1"/>
              </w:rPr>
              <w:t>建1座一般固废仓库，面积约</w:t>
            </w:r>
            <w:r>
              <w:rPr>
                <w:rFonts w:hint="eastAsia" w:cs="Times New Roman"/>
                <w:color w:val="000000" w:themeColor="text1"/>
                <w:lang w:val="en-US" w:eastAsia="zh-CN"/>
              </w:rPr>
              <w:t>2</w:t>
            </w:r>
            <w:r>
              <w:rPr>
                <w:rFonts w:hint="eastAsia" w:ascii="Times New Roman" w:hAnsi="Times New Roman" w:eastAsia="宋体" w:cs="Times New Roman"/>
                <w:color w:val="000000" w:themeColor="text1"/>
              </w:rPr>
              <w:t>0m</w:t>
            </w:r>
            <w:r>
              <w:rPr>
                <w:rFonts w:hint="eastAsia" w:ascii="Times New Roman" w:hAnsi="Times New Roman" w:eastAsia="宋体" w:cs="Times New Roman"/>
                <w:color w:val="000000" w:themeColor="text1"/>
                <w:vertAlign w:val="superscript"/>
              </w:rPr>
              <w:t>2</w:t>
            </w:r>
            <w:r>
              <w:rPr>
                <w:rFonts w:hint="eastAsia" w:ascii="Times New Roman" w:hAnsi="Times New Roman" w:eastAsia="宋体" w:cs="Times New Roman"/>
                <w:color w:val="000000" w:themeColor="text1"/>
              </w:rPr>
              <w:t>，建设符合《一般工业固体废物贮存和填埋污染控制标准》（GB 18599-2020）中相关要求。企业运营过程中，一般工业固废贮存、处置场运行管理要求如下：</w:t>
            </w:r>
          </w:p>
          <w:p w14:paraId="458790E8">
            <w:pPr>
              <w:ind w:firstLine="480"/>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①一般工业固体废物贮存场所的建设类型必须与堆放的一般工业固体废物的类别相一致，禁止危险废物和生活垃圾混入。</w:t>
            </w:r>
          </w:p>
          <w:p w14:paraId="18183764">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②贮存场所使用单位，应建立检查维护制度。定期检查维护堤、坝、挡土墙、导流渠等设施，发现有损坏可能或异常，应及时采取必要措施，以保障正常运行。</w:t>
            </w:r>
          </w:p>
          <w:p w14:paraId="66E048AA">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③贮存场所使用单位，应建立档案制度。应将入场的一般工业固体废物的种类、数量等资料详细记录在案，长期保存，供随时查阅。</w:t>
            </w:r>
          </w:p>
          <w:p w14:paraId="6FA4AB75">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④一般固废需设置管理台账，详细记录一般固废的产生时间、产生量、转移记录、贮存量、外售处理量、处理时间等信息，并与采购单位签订外售协议，做到渠道可追溯。</w:t>
            </w:r>
          </w:p>
          <w:p w14:paraId="24E5972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⑤一般固废应明确其贮存管理要求和利用处置方式、去向。接收单位必须具备相应的利用处置能力。</w:t>
            </w:r>
          </w:p>
          <w:p w14:paraId="1E47D13F">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⑥加强监督管理，贮存、处置场应按 GB 15562.2设置环境保护图形标志。</w:t>
            </w:r>
          </w:p>
          <w:p w14:paraId="14EEFA90">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（2）危险废物</w:t>
            </w:r>
          </w:p>
          <w:p w14:paraId="68EF16D9">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本项目依托现有危废暂存库，面积约</w:t>
            </w:r>
            <w:r>
              <w:rPr>
                <w:rFonts w:hint="eastAsia" w:ascii="Times New Roman" w:hAnsi="Times New Roman" w:eastAsia="宋体" w:cs="Times New Roman"/>
                <w:color w:val="000000" w:themeColor="text1"/>
                <w:lang w:val="en-US" w:eastAsia="zh-CN"/>
              </w:rPr>
              <w:t>50</w:t>
            </w:r>
            <w:r>
              <w:rPr>
                <w:rFonts w:hint="eastAsia" w:ascii="Times New Roman" w:hAnsi="Times New Roman" w:eastAsia="宋体" w:cs="Times New Roman"/>
                <w:color w:val="000000" w:themeColor="text1"/>
              </w:rPr>
              <w:t>m</w:t>
            </w:r>
            <w:r>
              <w:rPr>
                <w:rFonts w:hint="eastAsia" w:ascii="Times New Roman" w:hAnsi="Times New Roman" w:eastAsia="宋体" w:cs="Times New Roman"/>
                <w:color w:val="000000" w:themeColor="text1"/>
                <w:vertAlign w:val="superscript"/>
              </w:rPr>
              <w:t>2</w:t>
            </w:r>
            <w:r>
              <w:rPr>
                <w:rFonts w:hint="eastAsia" w:ascii="Times New Roman" w:hAnsi="Times New Roman" w:eastAsia="宋体" w:cs="Times New Roman"/>
                <w:color w:val="000000" w:themeColor="text1"/>
              </w:rPr>
              <w:t>，建设符合《危险废物贮存污染控制标准》（GB 18597-2023）文件中相关要求。主要措施如下：</w:t>
            </w:r>
          </w:p>
          <w:p w14:paraId="7AAE5EE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①贮存设施必须按《环境保护图形标志》（GB 15562-1995）（含 2023修改单）、《危险废物识别标志设置技术规范》（HJ 1276-2022）等规定设置警示标志；</w:t>
            </w:r>
          </w:p>
          <w:p w14:paraId="53E91DB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②贮存设施周围应设置围墙或</w:t>
            </w:r>
            <w:r>
              <w:rPr>
                <w:rFonts w:hint="eastAsia" w:cs="Times New Roman"/>
                <w:color w:val="000000" w:themeColor="text1"/>
                <w:lang w:eastAsia="zh-CN"/>
              </w:rPr>
              <w:t>其他</w:t>
            </w:r>
            <w:r>
              <w:rPr>
                <w:rFonts w:hint="eastAsia" w:ascii="Times New Roman" w:hAnsi="Times New Roman" w:eastAsia="宋体" w:cs="Times New Roman"/>
                <w:color w:val="000000" w:themeColor="text1"/>
              </w:rPr>
              <w:t>防护栅栏；</w:t>
            </w:r>
          </w:p>
          <w:p w14:paraId="00AEE164">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③贮存设施必须设置防渗、防雨、防漏等防范措施；</w:t>
            </w:r>
          </w:p>
          <w:p w14:paraId="78633F35">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④贮存设施应配备通讯设备、照明设施、安全防护服装及工具，并设有应急防护设施；</w:t>
            </w:r>
          </w:p>
          <w:p w14:paraId="443C1677">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⑤贮存设施内清理出来的泄漏物，一律按危险废物处理；</w:t>
            </w:r>
          </w:p>
          <w:p w14:paraId="4E1408EB">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⑥贮存区内禁止混放不相容危险废物；</w:t>
            </w:r>
          </w:p>
          <w:p w14:paraId="1A579906">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⑦贮存容器必须有明显标志，具有耐腐蚀、耐压、密封和不与所贮存的废物发生</w:t>
            </w:r>
            <w:r>
              <w:rPr>
                <w:rFonts w:hint="eastAsia" w:cs="Times New Roman"/>
                <w:color w:val="000000" w:themeColor="text1"/>
                <w:lang w:eastAsia="zh-CN"/>
              </w:rPr>
              <w:t>反应</w:t>
            </w:r>
            <w:r>
              <w:rPr>
                <w:rFonts w:hint="eastAsia" w:ascii="Times New Roman" w:hAnsi="Times New Roman" w:eastAsia="宋体" w:cs="Times New Roman"/>
                <w:color w:val="000000" w:themeColor="text1"/>
              </w:rPr>
              <w:t>等特性。</w:t>
            </w:r>
          </w:p>
          <w:p w14:paraId="0D0BD54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⑧基础防渗层为至少1m厚粘土层（渗透系数≤10</w:t>
            </w:r>
            <w:r>
              <w:rPr>
                <w:rFonts w:hint="eastAsia" w:ascii="Times New Roman" w:hAnsi="Times New Roman" w:eastAsia="宋体" w:cs="Times New Roman"/>
                <w:color w:val="000000" w:themeColor="text1"/>
                <w:vertAlign w:val="superscript"/>
              </w:rPr>
              <w:t>-7</w:t>
            </w:r>
            <w:r>
              <w:rPr>
                <w:rFonts w:hint="eastAsia" w:ascii="Times New Roman" w:hAnsi="Times New Roman" w:eastAsia="宋体" w:cs="Times New Roman"/>
                <w:color w:val="000000" w:themeColor="text1"/>
              </w:rPr>
              <w:t>cm/s），或2mm 厚高密度聚乙烯，或至少2mm厚的其他人工材料，渗透系数≤10</w:t>
            </w:r>
            <w:r>
              <w:rPr>
                <w:rFonts w:hint="eastAsia" w:ascii="Times New Roman" w:hAnsi="Times New Roman" w:eastAsia="宋体" w:cs="Times New Roman"/>
                <w:color w:val="000000" w:themeColor="text1"/>
                <w:vertAlign w:val="superscript"/>
              </w:rPr>
              <w:t>-10</w:t>
            </w:r>
            <w:r>
              <w:rPr>
                <w:rFonts w:hint="eastAsia" w:ascii="Times New Roman" w:hAnsi="Times New Roman" w:eastAsia="宋体" w:cs="Times New Roman"/>
                <w:color w:val="000000" w:themeColor="text1"/>
              </w:rPr>
              <w:t>cm/s。</w:t>
            </w:r>
          </w:p>
          <w:p w14:paraId="1E81EE94">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⑨存放容器应设有防漏裙脚或储漏盘。</w:t>
            </w:r>
          </w:p>
          <w:p w14:paraId="7C676163">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4.2.3 危险废物运输过程污染防治措施分析</w:t>
            </w:r>
          </w:p>
          <w:p w14:paraId="4A6D68AC">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本项目危险废物运输需严格按照《危险废物收集贮存运输技术规范》（HJ 2025-2012）进行。</w:t>
            </w:r>
          </w:p>
          <w:p w14:paraId="654B25EA">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内部运输：危险废物在企业内部的转移是指在危险废物产生节点根据危险废物的种类、数量、危险特性、物理形态、运输要求等因素确定包装形式，并将其集中到适当的包装容器中，运至厂内危废暂存库暂存。</w:t>
            </w:r>
          </w:p>
          <w:p w14:paraId="638CD6EC">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外部运输：即从厂区运输至有资质处置单位的过程，由处置单位委托具备危险品运输资质的车队运营，采用汽车公路运输方式。运输车辆的配备及管理根据相关规范进行，并取得危险废物专业运输资质。</w:t>
            </w:r>
          </w:p>
          <w:p w14:paraId="736A30DE">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危险废物运输中应做到以下几点：</w:t>
            </w:r>
          </w:p>
          <w:p w14:paraId="5FFDEC26">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（1）危险废物的运输车辆须经主管单位检查，并持有有关单位签发的许可证，负责运输的司机应通过培训，持有证明文件。</w:t>
            </w:r>
          </w:p>
          <w:p w14:paraId="39C59B3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（2）承载危险废物的车辆须有明显的标志或适当的危险符号，以引起注意。</w:t>
            </w:r>
          </w:p>
          <w:p w14:paraId="64D05DF0">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（3）载有危险废物的车辆在公路上行驶时，需持有运输许可证，其上应注明废物来源、性质和运往地点。</w:t>
            </w:r>
          </w:p>
          <w:p w14:paraId="13B7DF73">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固体废物严格按照上述措施处理处置和利用后，对周围环境及人体不会产生影响，也不会造成二次污染，所采取的治理措施是可行。</w:t>
            </w:r>
          </w:p>
          <w:p w14:paraId="7B19D869">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cs="Times New Roman"/>
                <w:b/>
                <w:bCs/>
                <w:color w:val="000000" w:themeColor="text1"/>
                <w:spacing w:val="-2"/>
              </w:rPr>
            </w:pPr>
            <w:r>
              <w:rPr>
                <w:rFonts w:ascii="Times New Roman" w:hAnsi="Times New Roman" w:eastAsia="宋体" w:cs="Times New Roman"/>
                <w:b/>
                <w:bCs/>
                <w:color w:val="000000" w:themeColor="text1"/>
                <w:spacing w:val="-2"/>
              </w:rPr>
              <w:t>4.2.4  危险废物贮存场所容量分析</w:t>
            </w:r>
          </w:p>
          <w:p w14:paraId="62D6A61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企业</w:t>
            </w:r>
            <w:r>
              <w:rPr>
                <w:rFonts w:hint="eastAsia" w:ascii="Times New Roman" w:hAnsi="Times New Roman" w:eastAsia="宋体" w:cs="Times New Roman"/>
                <w:color w:val="000000" w:themeColor="text1"/>
                <w:lang w:val="en-US" w:eastAsia="zh-CN"/>
              </w:rPr>
              <w:t>拟新建</w:t>
            </w:r>
            <w:r>
              <w:rPr>
                <w:rFonts w:hint="eastAsia" w:ascii="Times New Roman" w:hAnsi="Times New Roman" w:eastAsia="宋体" w:cs="Times New Roman"/>
                <w:color w:val="000000" w:themeColor="text1"/>
              </w:rPr>
              <w:t>1座危废暂存库，面积约10m</w:t>
            </w:r>
            <w:r>
              <w:rPr>
                <w:rFonts w:hint="eastAsia" w:ascii="Times New Roman" w:hAnsi="Times New Roman" w:eastAsia="宋体" w:cs="Times New Roman"/>
                <w:color w:val="000000" w:themeColor="text1"/>
                <w:vertAlign w:val="superscript"/>
              </w:rPr>
              <w:t>2</w:t>
            </w:r>
            <w:r>
              <w:rPr>
                <w:rFonts w:hint="eastAsia" w:ascii="Times New Roman" w:hAnsi="Times New Roman" w:eastAsia="宋体" w:cs="Times New Roman"/>
                <w:color w:val="000000" w:themeColor="text1"/>
              </w:rPr>
              <w:t>，用于贮存危废种类为废</w:t>
            </w:r>
            <w:r>
              <w:rPr>
                <w:rFonts w:hint="eastAsia" w:ascii="Times New Roman" w:hAnsi="Times New Roman" w:eastAsia="宋体" w:cs="Times New Roman"/>
                <w:color w:val="000000" w:themeColor="text1"/>
                <w:lang w:val="en-US" w:eastAsia="zh-CN"/>
              </w:rPr>
              <w:t>润滑油、废润滑油桶、废活性炭、废冷凝液</w:t>
            </w:r>
            <w:r>
              <w:rPr>
                <w:rFonts w:hint="eastAsia" w:ascii="Times New Roman" w:hAnsi="Times New Roman" w:eastAsia="宋体" w:cs="Times New Roman"/>
                <w:color w:val="000000" w:themeColor="text1"/>
              </w:rPr>
              <w:t>。</w:t>
            </w:r>
          </w:p>
          <w:p w14:paraId="1584977D">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color w:val="000000" w:themeColor="text1"/>
              </w:rPr>
            </w:pPr>
            <w:r>
              <w:rPr>
                <w:rFonts w:hint="eastAsia" w:ascii="Times New Roman" w:hAnsi="Times New Roman" w:eastAsia="宋体" w:cs="Times New Roman"/>
                <w:color w:val="000000" w:themeColor="text1"/>
              </w:rPr>
              <w:t>本项目建成后厂区危险废物贮存场所（设施）贮存能力详见下表所示。</w:t>
            </w:r>
          </w:p>
          <w:p w14:paraId="1992D125">
            <w:pPr>
              <w:keepNext w:val="0"/>
              <w:keepLines w:val="0"/>
              <w:pageBreakBefore w:val="0"/>
              <w:widowControl w:val="0"/>
              <w:tabs>
                <w:tab w:val="left" w:pos="4476"/>
              </w:tabs>
              <w:kinsoku/>
              <w:wordWrap/>
              <w:overflowPunct/>
              <w:topLinePunct w:val="0"/>
              <w:autoSpaceDE/>
              <w:autoSpaceDN/>
              <w:bidi w:val="0"/>
              <w:adjustRightInd/>
              <w:snapToGrid/>
              <w:spacing w:before="157" w:beforeLines="50" w:line="240" w:lineRule="auto"/>
              <w:ind w:left="0" w:leftChars="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rPr>
            </w:pPr>
            <w:r>
              <w:rPr>
                <w:rFonts w:hint="eastAsia" w:ascii="Times New Roman" w:hAnsi="Times New Roman" w:eastAsia="宋体" w:cs="Times New Roman"/>
                <w:b/>
                <w:bCs/>
                <w:color w:val="000000" w:themeColor="text1"/>
                <w:sz w:val="21"/>
                <w:szCs w:val="21"/>
                <w:lang w:val="en-US" w:eastAsia="zh-CN"/>
              </w:rPr>
              <w:t>表4-2</w:t>
            </w:r>
            <w:r>
              <w:rPr>
                <w:rFonts w:hint="eastAsia" w:cs="Times New Roman"/>
                <w:b/>
                <w:bCs/>
                <w:color w:val="000000" w:themeColor="text1"/>
                <w:sz w:val="21"/>
                <w:szCs w:val="21"/>
                <w:lang w:val="en-US" w:eastAsia="zh-CN"/>
              </w:rPr>
              <w:t>6</w:t>
            </w:r>
            <w:r>
              <w:rPr>
                <w:rFonts w:hint="eastAsia" w:ascii="Times New Roman" w:hAnsi="Times New Roman" w:eastAsia="宋体" w:cs="Times New Roman"/>
                <w:b/>
                <w:bCs/>
                <w:color w:val="000000" w:themeColor="text1"/>
                <w:sz w:val="21"/>
                <w:szCs w:val="21"/>
                <w:lang w:val="en-US" w:eastAsia="zh-CN"/>
              </w:rPr>
              <w:t xml:space="preserve">   本项目建成后厂区危险废物贮存场所（设施）贮存能力分析表</w:t>
            </w:r>
          </w:p>
          <w:p w14:paraId="664A0B52">
            <w:pPr>
              <w:spacing w:line="34" w:lineRule="exact"/>
              <w:rPr>
                <w:color w:val="000000" w:themeColor="text1"/>
              </w:rPr>
            </w:pPr>
          </w:p>
          <w:tbl>
            <w:tblPr>
              <w:tblStyle w:val="131"/>
              <w:tblW w:w="819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605"/>
              <w:gridCol w:w="658"/>
              <w:gridCol w:w="856"/>
              <w:gridCol w:w="812"/>
              <w:gridCol w:w="598"/>
              <w:gridCol w:w="401"/>
              <w:gridCol w:w="701"/>
              <w:gridCol w:w="890"/>
              <w:gridCol w:w="745"/>
              <w:gridCol w:w="507"/>
            </w:tblGrid>
            <w:tr w14:paraId="1EF79F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10" w:hRule="atLeast"/>
                <w:jc w:val="center"/>
              </w:trPr>
              <w:tc>
                <w:tcPr>
                  <w:tcW w:w="422" w:type="dxa"/>
                  <w:tcBorders>
                    <w:tl2br w:val="nil"/>
                    <w:tr2bl w:val="nil"/>
                  </w:tcBorders>
                  <w:vAlign w:val="center"/>
                </w:tcPr>
                <w:p w14:paraId="77E5F408">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2"/>
                      <w:sz w:val="21"/>
                      <w:szCs w:val="21"/>
                    </w:rPr>
                    <w:t>序号</w:t>
                  </w:r>
                </w:p>
              </w:tc>
              <w:tc>
                <w:tcPr>
                  <w:tcW w:w="1605" w:type="dxa"/>
                  <w:tcBorders>
                    <w:tl2br w:val="nil"/>
                    <w:tr2bl w:val="nil"/>
                  </w:tcBorders>
                  <w:vAlign w:val="center"/>
                </w:tcPr>
                <w:p w14:paraId="678831BE">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9"/>
                      <w:sz w:val="21"/>
                      <w:szCs w:val="21"/>
                    </w:rPr>
                    <w:t>危险废物名称</w:t>
                  </w:r>
                </w:p>
              </w:tc>
              <w:tc>
                <w:tcPr>
                  <w:tcW w:w="658" w:type="dxa"/>
                  <w:tcBorders>
                    <w:tl2br w:val="nil"/>
                    <w:tr2bl w:val="nil"/>
                  </w:tcBorders>
                  <w:vAlign w:val="center"/>
                </w:tcPr>
                <w:p w14:paraId="79A366CC">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7"/>
                      <w:sz w:val="21"/>
                      <w:szCs w:val="21"/>
                    </w:rPr>
                    <w:t>产废周期</w:t>
                  </w:r>
                </w:p>
              </w:tc>
              <w:tc>
                <w:tcPr>
                  <w:tcW w:w="856" w:type="dxa"/>
                  <w:tcBorders>
                    <w:tl2br w:val="nil"/>
                    <w:tr2bl w:val="nil"/>
                  </w:tcBorders>
                  <w:vAlign w:val="center"/>
                </w:tcPr>
                <w:p w14:paraId="539FB10C">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8"/>
                      <w:sz w:val="21"/>
                      <w:szCs w:val="21"/>
                    </w:rPr>
                    <w:t>产生量（t/a）</w:t>
                  </w:r>
                </w:p>
              </w:tc>
              <w:tc>
                <w:tcPr>
                  <w:tcW w:w="812" w:type="dxa"/>
                  <w:tcBorders>
                    <w:tl2br w:val="nil"/>
                    <w:tr2bl w:val="nil"/>
                  </w:tcBorders>
                  <w:vAlign w:val="center"/>
                </w:tcPr>
                <w:p w14:paraId="273CD134">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21"/>
                      <w:sz w:val="21"/>
                      <w:szCs w:val="21"/>
                    </w:rPr>
                    <w:t>贮存场所（设</w:t>
                  </w:r>
                  <w:r>
                    <w:rPr>
                      <w:rFonts w:hint="default" w:ascii="Times New Roman" w:hAnsi="Times New Roman" w:eastAsia="宋体" w:cs="Times New Roman"/>
                      <w:b/>
                      <w:bCs/>
                      <w:color w:val="000000" w:themeColor="text1"/>
                      <w:spacing w:val="-7"/>
                      <w:sz w:val="21"/>
                      <w:szCs w:val="21"/>
                    </w:rPr>
                    <w:t>施）名称</w:t>
                  </w:r>
                </w:p>
              </w:tc>
              <w:tc>
                <w:tcPr>
                  <w:tcW w:w="598" w:type="dxa"/>
                  <w:tcBorders>
                    <w:tl2br w:val="nil"/>
                    <w:tr2bl w:val="nil"/>
                  </w:tcBorders>
                  <w:vAlign w:val="center"/>
                </w:tcPr>
                <w:p w14:paraId="606A421B">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20"/>
                      <w:sz w:val="21"/>
                      <w:szCs w:val="21"/>
                    </w:rPr>
                    <w:t>占地面</w:t>
                  </w:r>
                  <w:r>
                    <w:rPr>
                      <w:rFonts w:hint="default" w:ascii="Times New Roman" w:hAnsi="Times New Roman" w:eastAsia="宋体" w:cs="Times New Roman"/>
                      <w:b/>
                      <w:bCs/>
                      <w:color w:val="000000" w:themeColor="text1"/>
                      <w:spacing w:val="-8"/>
                      <w:sz w:val="21"/>
                      <w:szCs w:val="21"/>
                    </w:rPr>
                    <w:t>积（m</w:t>
                  </w:r>
                  <w:r>
                    <w:rPr>
                      <w:rFonts w:hint="eastAsia" w:ascii="Times New Roman" w:hAnsi="Times New Roman" w:eastAsia="宋体" w:cs="Times New Roman"/>
                      <w:b/>
                      <w:bCs/>
                      <w:color w:val="000000" w:themeColor="text1"/>
                      <w:spacing w:val="-8"/>
                      <w:sz w:val="21"/>
                      <w:szCs w:val="21"/>
                      <w:vertAlign w:val="superscript"/>
                      <w:lang w:val="en-US" w:eastAsia="zh-CN"/>
                    </w:rPr>
                    <w:t>2</w:t>
                  </w:r>
                  <w:r>
                    <w:rPr>
                      <w:rFonts w:hint="default" w:ascii="Times New Roman" w:hAnsi="Times New Roman" w:eastAsia="宋体" w:cs="Times New Roman"/>
                      <w:b/>
                      <w:bCs/>
                      <w:color w:val="000000" w:themeColor="text1"/>
                      <w:spacing w:val="-20"/>
                      <w:sz w:val="21"/>
                      <w:szCs w:val="21"/>
                    </w:rPr>
                    <w:t>）</w:t>
                  </w:r>
                </w:p>
              </w:tc>
              <w:tc>
                <w:tcPr>
                  <w:tcW w:w="401" w:type="dxa"/>
                  <w:tcBorders>
                    <w:tl2br w:val="nil"/>
                    <w:tr2bl w:val="nil"/>
                  </w:tcBorders>
                  <w:vAlign w:val="center"/>
                </w:tcPr>
                <w:p w14:paraId="4C1B353C">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3"/>
                      <w:sz w:val="21"/>
                      <w:szCs w:val="21"/>
                    </w:rPr>
                    <w:t>贮存</w:t>
                  </w:r>
                </w:p>
                <w:p w14:paraId="247322FE">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3"/>
                      <w:sz w:val="21"/>
                      <w:szCs w:val="21"/>
                    </w:rPr>
                    <w:t>方式</w:t>
                  </w:r>
                </w:p>
              </w:tc>
              <w:tc>
                <w:tcPr>
                  <w:tcW w:w="701" w:type="dxa"/>
                  <w:tcBorders>
                    <w:tl2br w:val="nil"/>
                    <w:tr2bl w:val="nil"/>
                  </w:tcBorders>
                  <w:vAlign w:val="center"/>
                </w:tcPr>
                <w:p w14:paraId="058338DA">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9"/>
                      <w:sz w:val="21"/>
                      <w:szCs w:val="21"/>
                    </w:rPr>
                    <w:t>贮存（转</w:t>
                  </w:r>
                </w:p>
                <w:p w14:paraId="292F5083">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7"/>
                      <w:sz w:val="21"/>
                      <w:szCs w:val="21"/>
                    </w:rPr>
                    <w:t>运）周期</w:t>
                  </w:r>
                </w:p>
              </w:tc>
              <w:tc>
                <w:tcPr>
                  <w:tcW w:w="890" w:type="dxa"/>
                  <w:tcBorders>
                    <w:tl2br w:val="nil"/>
                    <w:tr2bl w:val="nil"/>
                  </w:tcBorders>
                  <w:vAlign w:val="center"/>
                </w:tcPr>
                <w:p w14:paraId="03A4A48E">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8"/>
                      <w:sz w:val="21"/>
                      <w:szCs w:val="21"/>
                    </w:rPr>
                    <w:t>最大贮存量</w:t>
                  </w:r>
                  <w:r>
                    <w:rPr>
                      <w:rFonts w:hint="default" w:ascii="Times New Roman" w:hAnsi="Times New Roman" w:eastAsia="宋体" w:cs="Times New Roman"/>
                      <w:b/>
                      <w:bCs/>
                      <w:color w:val="000000" w:themeColor="text1"/>
                      <w:spacing w:val="-10"/>
                      <w:sz w:val="21"/>
                      <w:szCs w:val="21"/>
                    </w:rPr>
                    <w:t>（t）</w:t>
                  </w:r>
                </w:p>
              </w:tc>
              <w:tc>
                <w:tcPr>
                  <w:tcW w:w="745" w:type="dxa"/>
                  <w:tcBorders>
                    <w:tl2br w:val="nil"/>
                    <w:tr2bl w:val="nil"/>
                  </w:tcBorders>
                  <w:vAlign w:val="center"/>
                </w:tcPr>
                <w:p w14:paraId="2989487F">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8"/>
                      <w:sz w:val="21"/>
                      <w:szCs w:val="21"/>
                    </w:rPr>
                    <w:t>所需贮存面</w:t>
                  </w:r>
                  <w:r>
                    <w:rPr>
                      <w:rFonts w:hint="default" w:ascii="Times New Roman" w:hAnsi="Times New Roman" w:eastAsia="宋体" w:cs="Times New Roman"/>
                      <w:b/>
                      <w:bCs/>
                      <w:color w:val="000000" w:themeColor="text1"/>
                      <w:spacing w:val="-7"/>
                      <w:sz w:val="21"/>
                      <w:szCs w:val="21"/>
                    </w:rPr>
                    <w:t>积（m</w:t>
                  </w:r>
                  <w:r>
                    <w:rPr>
                      <w:rFonts w:hint="eastAsia" w:ascii="Times New Roman" w:hAnsi="Times New Roman" w:cs="Times New Roman"/>
                      <w:b/>
                      <w:bCs/>
                      <w:color w:val="000000" w:themeColor="text1"/>
                      <w:spacing w:val="-7"/>
                      <w:sz w:val="21"/>
                      <w:szCs w:val="21"/>
                      <w:vertAlign w:val="superscript"/>
                      <w:lang w:val="en-US" w:eastAsia="zh-CN"/>
                    </w:rPr>
                    <w:t>2</w:t>
                  </w:r>
                  <w:r>
                    <w:rPr>
                      <w:rFonts w:hint="default" w:ascii="Times New Roman" w:hAnsi="Times New Roman" w:eastAsia="宋体" w:cs="Times New Roman"/>
                      <w:b/>
                      <w:bCs/>
                      <w:color w:val="000000" w:themeColor="text1"/>
                      <w:spacing w:val="-7"/>
                      <w:sz w:val="21"/>
                      <w:szCs w:val="21"/>
                    </w:rPr>
                    <w:t>）</w:t>
                  </w:r>
                </w:p>
              </w:tc>
              <w:tc>
                <w:tcPr>
                  <w:tcW w:w="507" w:type="dxa"/>
                  <w:tcBorders>
                    <w:tl2br w:val="nil"/>
                    <w:tr2bl w:val="nil"/>
                  </w:tcBorders>
                  <w:vAlign w:val="center"/>
                </w:tcPr>
                <w:p w14:paraId="285D018A">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bCs/>
                      <w:color w:val="000000" w:themeColor="text1"/>
                      <w:spacing w:val="-6"/>
                      <w:sz w:val="21"/>
                      <w:szCs w:val="21"/>
                    </w:rPr>
                    <w:t>是否满足需求</w:t>
                  </w:r>
                </w:p>
              </w:tc>
            </w:tr>
            <w:tr w14:paraId="22033B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422" w:type="dxa"/>
                  <w:tcBorders>
                    <w:tl2br w:val="nil"/>
                    <w:tr2bl w:val="nil"/>
                  </w:tcBorders>
                  <w:vAlign w:val="center"/>
                </w:tcPr>
                <w:p w14:paraId="086ECF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1</w:t>
                  </w:r>
                </w:p>
              </w:tc>
              <w:tc>
                <w:tcPr>
                  <w:tcW w:w="1605" w:type="dxa"/>
                  <w:tcBorders>
                    <w:tl2br w:val="nil"/>
                    <w:tr2bl w:val="nil"/>
                  </w:tcBorders>
                  <w:vAlign w:val="center"/>
                </w:tcPr>
                <w:p w14:paraId="2E857414">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7"/>
                      <w:sz w:val="21"/>
                      <w:szCs w:val="21"/>
                    </w:rPr>
                    <w:t>废</w:t>
                  </w:r>
                  <w:r>
                    <w:rPr>
                      <w:rFonts w:hint="eastAsia" w:ascii="Times New Roman" w:hAnsi="Times New Roman" w:eastAsia="宋体" w:cs="Times New Roman"/>
                      <w:color w:val="000000" w:themeColor="text1"/>
                      <w:spacing w:val="7"/>
                      <w:sz w:val="21"/>
                      <w:szCs w:val="21"/>
                      <w:lang w:val="en-US" w:eastAsia="zh-CN"/>
                    </w:rPr>
                    <w:t>润滑油</w:t>
                  </w:r>
                </w:p>
              </w:tc>
              <w:tc>
                <w:tcPr>
                  <w:tcW w:w="658" w:type="dxa"/>
                  <w:tcBorders>
                    <w:tl2br w:val="nil"/>
                    <w:tr2bl w:val="nil"/>
                  </w:tcBorders>
                  <w:vAlign w:val="center"/>
                </w:tcPr>
                <w:p w14:paraId="371B80AA">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rPr>
                    <w:t>个月</w:t>
                  </w:r>
                </w:p>
              </w:tc>
              <w:tc>
                <w:tcPr>
                  <w:tcW w:w="856" w:type="dxa"/>
                  <w:tcBorders>
                    <w:tl2br w:val="nil"/>
                    <w:tr2bl w:val="nil"/>
                  </w:tcBorders>
                  <w:vAlign w:val="center"/>
                </w:tcPr>
                <w:p w14:paraId="0B09854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c>
                <w:tcPr>
                  <w:tcW w:w="812" w:type="dxa"/>
                  <w:vMerge w:val="restart"/>
                  <w:tcBorders>
                    <w:tl2br w:val="nil"/>
                    <w:tr2bl w:val="nil"/>
                  </w:tcBorders>
                  <w:vAlign w:val="center"/>
                </w:tcPr>
                <w:p w14:paraId="71B9E679">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7"/>
                      <w:sz w:val="21"/>
                      <w:szCs w:val="21"/>
                    </w:rPr>
                    <w:t>危废暂存库</w:t>
                  </w:r>
                </w:p>
              </w:tc>
              <w:tc>
                <w:tcPr>
                  <w:tcW w:w="598" w:type="dxa"/>
                  <w:vMerge w:val="restart"/>
                  <w:tcBorders>
                    <w:tl2br w:val="nil"/>
                    <w:tr2bl w:val="nil"/>
                  </w:tcBorders>
                  <w:vAlign w:val="center"/>
                </w:tcPr>
                <w:p w14:paraId="6455BC6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pacing w:val="-3"/>
                      <w:sz w:val="21"/>
                      <w:szCs w:val="21"/>
                      <w:lang w:val="en-US" w:eastAsia="zh-CN"/>
                    </w:rPr>
                    <w:t>10</w:t>
                  </w:r>
                </w:p>
              </w:tc>
              <w:tc>
                <w:tcPr>
                  <w:tcW w:w="401" w:type="dxa"/>
                  <w:tcBorders>
                    <w:tl2br w:val="nil"/>
                    <w:tr2bl w:val="nil"/>
                  </w:tcBorders>
                  <w:vAlign w:val="center"/>
                </w:tcPr>
                <w:p w14:paraId="5A0BFB74">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桶装</w:t>
                  </w:r>
                </w:p>
              </w:tc>
              <w:tc>
                <w:tcPr>
                  <w:tcW w:w="701" w:type="dxa"/>
                  <w:tcBorders>
                    <w:tl2br w:val="nil"/>
                    <w:tr2bl w:val="nil"/>
                  </w:tcBorders>
                  <w:vAlign w:val="center"/>
                </w:tcPr>
                <w:p w14:paraId="3A52ADF5">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rPr>
                    <w:t>个月</w:t>
                  </w:r>
                </w:p>
              </w:tc>
              <w:tc>
                <w:tcPr>
                  <w:tcW w:w="890" w:type="dxa"/>
                  <w:tcBorders>
                    <w:tl2br w:val="nil"/>
                    <w:tr2bl w:val="nil"/>
                  </w:tcBorders>
                  <w:vAlign w:val="center"/>
                </w:tcPr>
                <w:p w14:paraId="50125F3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0.05</w:t>
                  </w:r>
                </w:p>
              </w:tc>
              <w:tc>
                <w:tcPr>
                  <w:tcW w:w="745" w:type="dxa"/>
                  <w:tcBorders>
                    <w:tl2br w:val="nil"/>
                    <w:tr2bl w:val="nil"/>
                  </w:tcBorders>
                  <w:vAlign w:val="center"/>
                </w:tcPr>
                <w:p w14:paraId="47512EA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w:t>
                  </w:r>
                </w:p>
              </w:tc>
              <w:tc>
                <w:tcPr>
                  <w:tcW w:w="507" w:type="dxa"/>
                  <w:tcBorders>
                    <w:tl2br w:val="nil"/>
                    <w:tr2bl w:val="nil"/>
                  </w:tcBorders>
                  <w:vAlign w:val="center"/>
                </w:tcPr>
                <w:p w14:paraId="288EAE00">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满足</w:t>
                  </w:r>
                </w:p>
              </w:tc>
            </w:tr>
            <w:tr w14:paraId="7FF2CA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422" w:type="dxa"/>
                  <w:tcBorders>
                    <w:tl2br w:val="nil"/>
                    <w:tr2bl w:val="nil"/>
                  </w:tcBorders>
                  <w:vAlign w:val="center"/>
                </w:tcPr>
                <w:p w14:paraId="65E0B68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2</w:t>
                  </w:r>
                </w:p>
              </w:tc>
              <w:tc>
                <w:tcPr>
                  <w:tcW w:w="1605" w:type="dxa"/>
                  <w:tcBorders>
                    <w:tl2br w:val="nil"/>
                    <w:tr2bl w:val="nil"/>
                  </w:tcBorders>
                  <w:vAlign w:val="center"/>
                </w:tcPr>
                <w:p w14:paraId="56849BC1">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pacing w:val="7"/>
                      <w:sz w:val="21"/>
                      <w:szCs w:val="21"/>
                    </w:rPr>
                    <w:t>废</w:t>
                  </w:r>
                  <w:r>
                    <w:rPr>
                      <w:rFonts w:hint="eastAsia" w:ascii="Times New Roman" w:hAnsi="Times New Roman" w:eastAsia="宋体" w:cs="Times New Roman"/>
                      <w:color w:val="000000" w:themeColor="text1"/>
                      <w:spacing w:val="7"/>
                      <w:sz w:val="21"/>
                      <w:szCs w:val="21"/>
                      <w:lang w:val="en-US" w:eastAsia="zh-CN"/>
                    </w:rPr>
                    <w:t>润滑油桶</w:t>
                  </w:r>
                </w:p>
              </w:tc>
              <w:tc>
                <w:tcPr>
                  <w:tcW w:w="658" w:type="dxa"/>
                  <w:tcBorders>
                    <w:tl2br w:val="nil"/>
                    <w:tr2bl w:val="nil"/>
                  </w:tcBorders>
                  <w:vAlign w:val="center"/>
                </w:tcPr>
                <w:p w14:paraId="0EF48D98">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lang w:val="en-US" w:eastAsia="zh-CN"/>
                    </w:rPr>
                    <w:t>个月</w:t>
                  </w:r>
                </w:p>
              </w:tc>
              <w:tc>
                <w:tcPr>
                  <w:tcW w:w="856" w:type="dxa"/>
                  <w:tcBorders>
                    <w:tl2br w:val="nil"/>
                    <w:tr2bl w:val="nil"/>
                  </w:tcBorders>
                  <w:vAlign w:val="center"/>
                </w:tcPr>
                <w:p w14:paraId="0A6E579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pacing w:val="3"/>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c>
                <w:tcPr>
                  <w:tcW w:w="812" w:type="dxa"/>
                  <w:vMerge w:val="continue"/>
                  <w:tcBorders>
                    <w:tl2br w:val="nil"/>
                    <w:tr2bl w:val="nil"/>
                  </w:tcBorders>
                  <w:vAlign w:val="center"/>
                </w:tcPr>
                <w:p w14:paraId="6A421B2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598" w:type="dxa"/>
                  <w:vMerge w:val="continue"/>
                  <w:tcBorders>
                    <w:tl2br w:val="nil"/>
                    <w:tr2bl w:val="nil"/>
                  </w:tcBorders>
                  <w:vAlign w:val="center"/>
                </w:tcPr>
                <w:p w14:paraId="466DD151">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401" w:type="dxa"/>
                  <w:tcBorders>
                    <w:tl2br w:val="nil"/>
                    <w:tr2bl w:val="nil"/>
                  </w:tcBorders>
                  <w:vAlign w:val="center"/>
                </w:tcPr>
                <w:p w14:paraId="1ED6995E">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3"/>
                      <w:sz w:val="21"/>
                      <w:szCs w:val="21"/>
                    </w:rPr>
                    <w:t>桶装</w:t>
                  </w:r>
                </w:p>
              </w:tc>
              <w:tc>
                <w:tcPr>
                  <w:tcW w:w="701" w:type="dxa"/>
                  <w:tcBorders>
                    <w:tl2br w:val="nil"/>
                    <w:tr2bl w:val="nil"/>
                  </w:tcBorders>
                  <w:vAlign w:val="center"/>
                </w:tcPr>
                <w:p w14:paraId="72278F8B">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rPr>
                    <w:t>个月</w:t>
                  </w:r>
                </w:p>
              </w:tc>
              <w:tc>
                <w:tcPr>
                  <w:tcW w:w="890" w:type="dxa"/>
                  <w:tcBorders>
                    <w:tl2br w:val="nil"/>
                    <w:tr2bl w:val="nil"/>
                  </w:tcBorders>
                  <w:vAlign w:val="center"/>
                </w:tcPr>
                <w:p w14:paraId="0FB0F3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0.025</w:t>
                  </w:r>
                </w:p>
              </w:tc>
              <w:tc>
                <w:tcPr>
                  <w:tcW w:w="745" w:type="dxa"/>
                  <w:tcBorders>
                    <w:tl2br w:val="nil"/>
                    <w:tr2bl w:val="nil"/>
                  </w:tcBorders>
                  <w:vAlign w:val="center"/>
                </w:tcPr>
                <w:p w14:paraId="0B0C4F5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w:t>
                  </w:r>
                </w:p>
              </w:tc>
              <w:tc>
                <w:tcPr>
                  <w:tcW w:w="507" w:type="dxa"/>
                  <w:tcBorders>
                    <w:tl2br w:val="nil"/>
                    <w:tr2bl w:val="nil"/>
                  </w:tcBorders>
                  <w:vAlign w:val="center"/>
                </w:tcPr>
                <w:p w14:paraId="77789CB7">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满足</w:t>
                  </w:r>
                </w:p>
              </w:tc>
            </w:tr>
            <w:tr w14:paraId="2FB3D4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1" w:hRule="atLeast"/>
                <w:jc w:val="center"/>
              </w:trPr>
              <w:tc>
                <w:tcPr>
                  <w:tcW w:w="422" w:type="dxa"/>
                  <w:tcBorders>
                    <w:tl2br w:val="nil"/>
                    <w:tr2bl w:val="nil"/>
                  </w:tcBorders>
                  <w:vAlign w:val="center"/>
                </w:tcPr>
                <w:p w14:paraId="1F7BB233">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3</w:t>
                  </w:r>
                </w:p>
              </w:tc>
              <w:tc>
                <w:tcPr>
                  <w:tcW w:w="1605" w:type="dxa"/>
                  <w:tcBorders>
                    <w:tl2br w:val="nil"/>
                    <w:tr2bl w:val="nil"/>
                  </w:tcBorders>
                  <w:vAlign w:val="center"/>
                </w:tcPr>
                <w:p w14:paraId="7117E65D">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pacing w:val="7"/>
                      <w:sz w:val="21"/>
                      <w:szCs w:val="21"/>
                    </w:rPr>
                    <w:t>废</w:t>
                  </w:r>
                  <w:r>
                    <w:rPr>
                      <w:rFonts w:hint="eastAsia" w:ascii="Times New Roman" w:hAnsi="Times New Roman" w:eastAsia="宋体" w:cs="Times New Roman"/>
                      <w:color w:val="000000" w:themeColor="text1"/>
                      <w:spacing w:val="7"/>
                      <w:sz w:val="21"/>
                      <w:szCs w:val="21"/>
                      <w:lang w:val="en-US" w:eastAsia="zh-CN"/>
                    </w:rPr>
                    <w:t>冷凝液</w:t>
                  </w:r>
                </w:p>
              </w:tc>
              <w:tc>
                <w:tcPr>
                  <w:tcW w:w="658" w:type="dxa"/>
                  <w:tcBorders>
                    <w:tl2br w:val="nil"/>
                    <w:tr2bl w:val="nil"/>
                  </w:tcBorders>
                  <w:vAlign w:val="center"/>
                </w:tcPr>
                <w:p w14:paraId="595D2DFD">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lang w:val="en-US" w:eastAsia="zh-CN"/>
                    </w:rPr>
                    <w:t>个月</w:t>
                  </w:r>
                </w:p>
              </w:tc>
              <w:tc>
                <w:tcPr>
                  <w:tcW w:w="856" w:type="dxa"/>
                  <w:tcBorders>
                    <w:tl2br w:val="nil"/>
                    <w:tr2bl w:val="nil"/>
                  </w:tcBorders>
                  <w:vAlign w:val="center"/>
                </w:tcPr>
                <w:p w14:paraId="78D593A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2.187</w:t>
                  </w:r>
                </w:p>
              </w:tc>
              <w:tc>
                <w:tcPr>
                  <w:tcW w:w="812" w:type="dxa"/>
                  <w:vMerge w:val="continue"/>
                  <w:tcBorders>
                    <w:tl2br w:val="nil"/>
                    <w:tr2bl w:val="nil"/>
                  </w:tcBorders>
                  <w:vAlign w:val="center"/>
                </w:tcPr>
                <w:p w14:paraId="40E83CF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598" w:type="dxa"/>
                  <w:vMerge w:val="continue"/>
                  <w:tcBorders>
                    <w:tl2br w:val="nil"/>
                    <w:tr2bl w:val="nil"/>
                  </w:tcBorders>
                  <w:vAlign w:val="center"/>
                </w:tcPr>
                <w:p w14:paraId="54B8867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401" w:type="dxa"/>
                  <w:tcBorders>
                    <w:tl2br w:val="nil"/>
                    <w:tr2bl w:val="nil"/>
                  </w:tcBorders>
                  <w:vAlign w:val="center"/>
                </w:tcPr>
                <w:p w14:paraId="064DC9B3">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pacing w:val="4"/>
                      <w:sz w:val="21"/>
                      <w:szCs w:val="21"/>
                      <w:lang w:val="en-US" w:eastAsia="zh-CN"/>
                    </w:rPr>
                    <w:t>桶装</w:t>
                  </w:r>
                </w:p>
              </w:tc>
              <w:tc>
                <w:tcPr>
                  <w:tcW w:w="701" w:type="dxa"/>
                  <w:tcBorders>
                    <w:tl2br w:val="nil"/>
                    <w:tr2bl w:val="nil"/>
                  </w:tcBorders>
                  <w:vAlign w:val="center"/>
                </w:tcPr>
                <w:p w14:paraId="70ABAD02">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rPr>
                    <w:t>个月</w:t>
                  </w:r>
                </w:p>
              </w:tc>
              <w:tc>
                <w:tcPr>
                  <w:tcW w:w="890" w:type="dxa"/>
                  <w:tcBorders>
                    <w:tl2br w:val="nil"/>
                    <w:tr2bl w:val="nil"/>
                  </w:tcBorders>
                  <w:vAlign w:val="center"/>
                </w:tcPr>
                <w:p w14:paraId="742213E6">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0.54675</w:t>
                  </w:r>
                </w:p>
              </w:tc>
              <w:tc>
                <w:tcPr>
                  <w:tcW w:w="745" w:type="dxa"/>
                  <w:tcBorders>
                    <w:tl2br w:val="nil"/>
                    <w:tr2bl w:val="nil"/>
                  </w:tcBorders>
                  <w:vAlign w:val="center"/>
                </w:tcPr>
                <w:p w14:paraId="588FF50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w:t>
                  </w:r>
                </w:p>
              </w:tc>
              <w:tc>
                <w:tcPr>
                  <w:tcW w:w="507" w:type="dxa"/>
                  <w:tcBorders>
                    <w:tl2br w:val="nil"/>
                    <w:tr2bl w:val="nil"/>
                  </w:tcBorders>
                  <w:vAlign w:val="center"/>
                </w:tcPr>
                <w:p w14:paraId="2408DEB4">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满足</w:t>
                  </w:r>
                </w:p>
              </w:tc>
            </w:tr>
            <w:tr w14:paraId="6D7DBC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422" w:type="dxa"/>
                  <w:tcBorders>
                    <w:tl2br w:val="nil"/>
                    <w:tr2bl w:val="nil"/>
                  </w:tcBorders>
                  <w:vAlign w:val="center"/>
                </w:tcPr>
                <w:p w14:paraId="7079C0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1"/>
                      <w:sz w:val="21"/>
                      <w:szCs w:val="21"/>
                    </w:rPr>
                    <w:t>4</w:t>
                  </w:r>
                </w:p>
              </w:tc>
              <w:tc>
                <w:tcPr>
                  <w:tcW w:w="1605" w:type="dxa"/>
                  <w:tcBorders>
                    <w:tl2br w:val="nil"/>
                    <w:tr2bl w:val="nil"/>
                  </w:tcBorders>
                  <w:vAlign w:val="center"/>
                </w:tcPr>
                <w:p w14:paraId="26E85000">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7"/>
                      <w:sz w:val="21"/>
                      <w:szCs w:val="21"/>
                    </w:rPr>
                    <w:t>废活性炭</w:t>
                  </w:r>
                </w:p>
              </w:tc>
              <w:tc>
                <w:tcPr>
                  <w:tcW w:w="658" w:type="dxa"/>
                  <w:tcBorders>
                    <w:tl2br w:val="nil"/>
                    <w:tr2bl w:val="nil"/>
                  </w:tcBorders>
                  <w:vAlign w:val="center"/>
                </w:tcPr>
                <w:p w14:paraId="2C21E34B">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lang w:val="en-US" w:eastAsia="zh-CN"/>
                    </w:rPr>
                    <w:t>个月</w:t>
                  </w:r>
                </w:p>
              </w:tc>
              <w:tc>
                <w:tcPr>
                  <w:tcW w:w="856" w:type="dxa"/>
                  <w:tcBorders>
                    <w:tl2br w:val="nil"/>
                    <w:tr2bl w:val="nil"/>
                  </w:tcBorders>
                  <w:vAlign w:val="center"/>
                </w:tcPr>
                <w:p w14:paraId="383AD20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3"/>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3.105</w:t>
                  </w:r>
                </w:p>
              </w:tc>
              <w:tc>
                <w:tcPr>
                  <w:tcW w:w="812" w:type="dxa"/>
                  <w:vMerge w:val="continue"/>
                  <w:tcBorders>
                    <w:tl2br w:val="nil"/>
                    <w:tr2bl w:val="nil"/>
                  </w:tcBorders>
                  <w:vAlign w:val="center"/>
                </w:tcPr>
                <w:p w14:paraId="63A5CB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598" w:type="dxa"/>
                  <w:vMerge w:val="continue"/>
                  <w:tcBorders>
                    <w:tl2br w:val="nil"/>
                    <w:tr2bl w:val="nil"/>
                  </w:tcBorders>
                  <w:vAlign w:val="center"/>
                </w:tcPr>
                <w:p w14:paraId="658802D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p>
              </w:tc>
              <w:tc>
                <w:tcPr>
                  <w:tcW w:w="401" w:type="dxa"/>
                  <w:tcBorders>
                    <w:tl2br w:val="nil"/>
                    <w:tr2bl w:val="nil"/>
                  </w:tcBorders>
                  <w:vAlign w:val="center"/>
                </w:tcPr>
                <w:p w14:paraId="74C2D4AB">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袋装</w:t>
                  </w:r>
                </w:p>
              </w:tc>
              <w:tc>
                <w:tcPr>
                  <w:tcW w:w="701" w:type="dxa"/>
                  <w:tcBorders>
                    <w:tl2br w:val="nil"/>
                    <w:tr2bl w:val="nil"/>
                  </w:tcBorders>
                  <w:vAlign w:val="center"/>
                </w:tcPr>
                <w:p w14:paraId="0E1F58CD">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3"/>
                      <w:sz w:val="21"/>
                      <w:szCs w:val="21"/>
                      <w:lang w:val="en-US" w:eastAsia="zh-CN"/>
                    </w:rPr>
                    <w:t>3</w:t>
                  </w:r>
                  <w:r>
                    <w:rPr>
                      <w:rFonts w:hint="default" w:ascii="Times New Roman" w:hAnsi="Times New Roman" w:eastAsia="宋体" w:cs="Times New Roman"/>
                      <w:color w:val="000000" w:themeColor="text1"/>
                      <w:spacing w:val="3"/>
                      <w:sz w:val="21"/>
                      <w:szCs w:val="21"/>
                    </w:rPr>
                    <w:t>个月</w:t>
                  </w:r>
                </w:p>
              </w:tc>
              <w:tc>
                <w:tcPr>
                  <w:tcW w:w="890" w:type="dxa"/>
                  <w:tcBorders>
                    <w:tl2br w:val="nil"/>
                    <w:tr2bl w:val="nil"/>
                  </w:tcBorders>
                  <w:vAlign w:val="center"/>
                </w:tcPr>
                <w:p w14:paraId="4E58029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0.77625</w:t>
                  </w:r>
                </w:p>
              </w:tc>
              <w:tc>
                <w:tcPr>
                  <w:tcW w:w="745" w:type="dxa"/>
                  <w:tcBorders>
                    <w:tl2br w:val="nil"/>
                    <w:tr2bl w:val="nil"/>
                  </w:tcBorders>
                  <w:vAlign w:val="center"/>
                </w:tcPr>
                <w:p w14:paraId="5657469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3</w:t>
                  </w:r>
                </w:p>
              </w:tc>
              <w:tc>
                <w:tcPr>
                  <w:tcW w:w="507" w:type="dxa"/>
                  <w:tcBorders>
                    <w:tl2br w:val="nil"/>
                    <w:tr2bl w:val="nil"/>
                  </w:tcBorders>
                  <w:vAlign w:val="center"/>
                </w:tcPr>
                <w:p w14:paraId="2926B39C">
                  <w:pPr>
                    <w:pStyle w:val="170"/>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满足</w:t>
                  </w:r>
                </w:p>
              </w:tc>
            </w:tr>
          </w:tbl>
          <w:p w14:paraId="6EA55887">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根据上表中各类危险废物贮存（转运）周期和贮存所需面积分析，厂区内现有的1座危废暂存库能够满足本项目建成后全厂的危险废物暂存需求。本项目产生的危险废物依托现有危废暂存库是可行的。</w:t>
            </w:r>
          </w:p>
          <w:p w14:paraId="35E259FA">
            <w:pPr>
              <w:numPr>
                <w:ilvl w:val="0"/>
                <w:numId w:val="0"/>
              </w:numPr>
              <w:tabs>
                <w:tab w:val="left" w:pos="393"/>
              </w:tabs>
              <w:ind w:leftChars="200"/>
              <w:rPr>
                <w:rFonts w:hint="eastAsia" w:ascii="Times New Roman" w:hAnsi="Times New Roman" w:eastAsia="宋体" w:cs="Times New Roman"/>
                <w:b/>
                <w:bCs/>
                <w:color w:val="000000" w:themeColor="text1"/>
                <w:lang w:val="en-US" w:eastAsia="zh-CN"/>
              </w:rPr>
            </w:pPr>
            <w:r>
              <w:rPr>
                <w:rFonts w:hint="eastAsia" w:ascii="Times New Roman" w:hAnsi="Times New Roman" w:eastAsia="宋体" w:cs="Times New Roman"/>
                <w:b/>
                <w:bCs/>
                <w:color w:val="000000" w:themeColor="text1"/>
                <w:lang w:val="en-US" w:eastAsia="zh-CN"/>
              </w:rPr>
              <w:t>4.3  固废环境管理要求</w:t>
            </w:r>
          </w:p>
          <w:p w14:paraId="0DD7EC6B">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（1）固废暂存场所运行管理人员，应参加岗位培训，合格后上岗；</w:t>
            </w:r>
          </w:p>
          <w:p w14:paraId="79F30417">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（2）建立各种固废的全部档案，从废物特性、数量、倾倒位置、来源、去向等一切文件资料，必须按国家档案管理条例进行整理与管理，保证完整无缺；</w:t>
            </w:r>
          </w:p>
          <w:p w14:paraId="7752FC49">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（3）贮存期限不得超过1年，确需延长期限的，必须报经当地或原批准经营许可证的环保主管部门批准；</w:t>
            </w:r>
          </w:p>
          <w:p w14:paraId="6E2A31B6">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4）企业应及时准确进行危险废物网上动态申报，建立危险废物产生贮存、利用、处置与转移台账，如实记录危险废物产生、贮存、利用、处置与转移情况，并依据《工业危险废物产生单位规范化管理指标》和《危险废物经营单位规范化管理指标》中相关要求进行危险废物环境管理；</w:t>
            </w:r>
          </w:p>
          <w:p w14:paraId="063D9446">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（5）企业危险废物的转移应根据《危险废物转移联单管理办法》规定执行，禁止在转移过程中将危险废物排放至外环境中；</w:t>
            </w:r>
          </w:p>
          <w:p w14:paraId="5F2BF227">
            <w:pPr>
              <w:ind w:firstLine="480"/>
              <w:rPr>
                <w:rFonts w:ascii="Times New Roman" w:hAnsi="Times New Roman" w:eastAsia="宋体" w:cs="Times New Roman"/>
                <w:color w:val="000000" w:themeColor="text1"/>
              </w:rPr>
            </w:pPr>
            <w:r>
              <w:rPr>
                <w:rFonts w:ascii="Times New Roman" w:hAnsi="Times New Roman" w:eastAsia="宋体" w:cs="Times New Roman"/>
                <w:color w:val="000000" w:themeColor="text1"/>
              </w:rPr>
              <w:t>（6）危险废物产生单位和经营单位均应在关键位置设置在线视频监控。在视频监控系统管理上，企业应指定专人专职维护视频监控设施运行，定期巡视并做好相应的监控运行、维修、使用记录，保持摄像头表面整洁</w:t>
            </w:r>
            <w:r>
              <w:rPr>
                <w:rFonts w:hint="eastAsia" w:cs="Times New Roman"/>
                <w:color w:val="000000" w:themeColor="text1"/>
                <w:lang w:eastAsia="zh-CN"/>
              </w:rPr>
              <w:t>干净</w:t>
            </w:r>
            <w:r>
              <w:rPr>
                <w:rFonts w:ascii="Times New Roman" w:hAnsi="Times New Roman" w:eastAsia="宋体" w:cs="Times New Roman"/>
                <w:color w:val="000000" w:themeColor="text1"/>
              </w:rPr>
              <w:t>、监控拍摄位置正确、监控设施完好无损，确保视频传输图像</w:t>
            </w:r>
            <w:r>
              <w:rPr>
                <w:rFonts w:hint="eastAsia" w:cs="Times New Roman"/>
                <w:color w:val="000000" w:themeColor="text1"/>
                <w:lang w:eastAsia="zh-CN"/>
              </w:rPr>
              <w:t>清</w:t>
            </w:r>
            <w:r>
              <w:rPr>
                <w:rFonts w:ascii="Times New Roman" w:hAnsi="Times New Roman" w:eastAsia="宋体" w:cs="Times New Roman"/>
                <w:color w:val="000000" w:themeColor="text1"/>
              </w:rPr>
              <w:t>晰、监控设备正常稳定运行。因维修、更换等原因导致监控设备不能正常运行的，应采取人工摄像等应急措施，确保视频监控不间断。</w:t>
            </w:r>
          </w:p>
          <w:p w14:paraId="1A1444CF">
            <w:pPr>
              <w:pStyle w:val="150"/>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0" w:firstLineChars="0"/>
              <w:textAlignment w:val="auto"/>
              <w:rPr>
                <w:color w:val="000000" w:themeColor="text1"/>
                <w:sz w:val="21"/>
                <w:szCs w:val="21"/>
              </w:rPr>
            </w:pPr>
            <w:r>
              <w:rPr>
                <w:color w:val="000000" w:themeColor="text1"/>
                <w:sz w:val="21"/>
                <w:szCs w:val="21"/>
              </w:rPr>
              <w:t>表4-</w:t>
            </w:r>
            <w:r>
              <w:rPr>
                <w:rFonts w:hint="eastAsia"/>
                <w:color w:val="000000" w:themeColor="text1"/>
                <w:sz w:val="21"/>
                <w:szCs w:val="21"/>
                <w:lang w:val="en-US" w:eastAsia="zh-CN"/>
              </w:rPr>
              <w:t>27</w:t>
            </w:r>
            <w:r>
              <w:rPr>
                <w:color w:val="000000" w:themeColor="text1"/>
                <w:sz w:val="21"/>
                <w:szCs w:val="21"/>
              </w:rPr>
              <w:t xml:space="preserve">   </w:t>
            </w:r>
            <w:r>
              <w:rPr>
                <w:rFonts w:hint="eastAsia"/>
                <w:color w:val="000000" w:themeColor="text1"/>
                <w:sz w:val="21"/>
                <w:szCs w:val="21"/>
                <w:lang w:val="en-US" w:eastAsia="zh-CN"/>
              </w:rPr>
              <w:t>扩建项目</w:t>
            </w:r>
            <w:r>
              <w:rPr>
                <w:color w:val="000000" w:themeColor="text1"/>
                <w:sz w:val="21"/>
                <w:szCs w:val="21"/>
              </w:rPr>
              <w:t>三废排放汇总表</w:t>
            </w:r>
          </w:p>
          <w:tbl>
            <w:tblPr>
              <w:tblStyle w:val="33"/>
              <w:tblW w:w="80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830"/>
              <w:gridCol w:w="1484"/>
              <w:gridCol w:w="1665"/>
              <w:gridCol w:w="1549"/>
            </w:tblGrid>
            <w:tr w14:paraId="16FCD4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31" w:type="dxa"/>
                  <w:noWrap w:val="0"/>
                  <w:vAlign w:val="center"/>
                </w:tcPr>
                <w:p w14:paraId="5BAA3B16">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污染物类型</w:t>
                  </w:r>
                </w:p>
              </w:tc>
              <w:tc>
                <w:tcPr>
                  <w:tcW w:w="1830" w:type="dxa"/>
                  <w:noWrap w:val="0"/>
                  <w:vAlign w:val="center"/>
                </w:tcPr>
                <w:p w14:paraId="75B64E68">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污染物名称</w:t>
                  </w:r>
                </w:p>
              </w:tc>
              <w:tc>
                <w:tcPr>
                  <w:tcW w:w="1484" w:type="dxa"/>
                  <w:noWrap w:val="0"/>
                  <w:vAlign w:val="center"/>
                </w:tcPr>
                <w:p w14:paraId="625F722F">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产生量</w:t>
                  </w:r>
                </w:p>
                <w:p w14:paraId="68280332">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eastAsia"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t/a</w:t>
                  </w:r>
                  <w:r>
                    <w:rPr>
                      <w:rFonts w:hint="eastAsia" w:eastAsia="宋体" w:cs="Times New Roman"/>
                      <w:b/>
                      <w:bCs/>
                      <w:color w:val="000000" w:themeColor="text1"/>
                      <w:sz w:val="21"/>
                      <w:szCs w:val="21"/>
                      <w:lang w:eastAsia="zh-CN"/>
                    </w:rPr>
                    <w:t>)</w:t>
                  </w:r>
                </w:p>
              </w:tc>
              <w:tc>
                <w:tcPr>
                  <w:tcW w:w="1665" w:type="dxa"/>
                  <w:noWrap w:val="0"/>
                  <w:vAlign w:val="center"/>
                </w:tcPr>
                <w:p w14:paraId="2A156415">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削减量</w:t>
                  </w:r>
                </w:p>
                <w:p w14:paraId="232F1E01">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eastAsia" w:eastAsia="宋体"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t/a</w:t>
                  </w:r>
                  <w:r>
                    <w:rPr>
                      <w:rFonts w:hint="eastAsia" w:eastAsia="宋体" w:cs="Times New Roman"/>
                      <w:b/>
                      <w:bCs/>
                      <w:color w:val="000000" w:themeColor="text1"/>
                      <w:sz w:val="21"/>
                      <w:szCs w:val="21"/>
                      <w:lang w:eastAsia="zh-CN"/>
                    </w:rPr>
                    <w:t>)</w:t>
                  </w:r>
                </w:p>
              </w:tc>
              <w:tc>
                <w:tcPr>
                  <w:tcW w:w="1549" w:type="dxa"/>
                  <w:noWrap w:val="0"/>
                  <w:vAlign w:val="center"/>
                </w:tcPr>
                <w:p w14:paraId="2DBBA8D9">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最终排放量（t/a）</w:t>
                  </w:r>
                </w:p>
              </w:tc>
            </w:tr>
            <w:tr w14:paraId="07E23C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restart"/>
                  <w:noWrap w:val="0"/>
                  <w:vAlign w:val="center"/>
                </w:tcPr>
                <w:p w14:paraId="09175991">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w:t>
                  </w:r>
                </w:p>
              </w:tc>
              <w:tc>
                <w:tcPr>
                  <w:tcW w:w="1830" w:type="dxa"/>
                  <w:noWrap w:val="0"/>
                  <w:vAlign w:val="center"/>
                </w:tcPr>
                <w:p w14:paraId="3BB79897">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484" w:type="dxa"/>
                  <w:noWrap w:val="0"/>
                  <w:vAlign w:val="center"/>
                </w:tcPr>
                <w:p w14:paraId="39BBBBD4">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135</w:t>
                  </w:r>
                </w:p>
              </w:tc>
              <w:tc>
                <w:tcPr>
                  <w:tcW w:w="1665" w:type="dxa"/>
                  <w:noWrap w:val="0"/>
                  <w:vAlign w:val="center"/>
                </w:tcPr>
                <w:p w14:paraId="30F79199">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eastAsia="宋体" w:cs="Times New Roman"/>
                      <w:color w:val="000000" w:themeColor="text1"/>
                      <w:sz w:val="21"/>
                      <w:szCs w:val="21"/>
                      <w:lang w:val="en-US" w:eastAsia="zh-CN"/>
                    </w:rPr>
                    <w:t>0</w:t>
                  </w:r>
                </w:p>
              </w:tc>
              <w:tc>
                <w:tcPr>
                  <w:tcW w:w="1549" w:type="dxa"/>
                  <w:noWrap w:val="0"/>
                  <w:vAlign w:val="center"/>
                </w:tcPr>
                <w:p w14:paraId="59561F6D">
                  <w:pPr>
                    <w:keepLines w:val="0"/>
                    <w:pageBreakBefore w:val="0"/>
                    <w:widowControl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135</w:t>
                  </w:r>
                </w:p>
              </w:tc>
            </w:tr>
            <w:tr w14:paraId="33A3A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3E174212">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7D9E5250">
                  <w:pPr>
                    <w:pStyle w:val="100"/>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Cs w:val="21"/>
                      <w:lang w:val="en-US" w:eastAsia="zh-CN"/>
                    </w:rPr>
                    <w:t>pH</w:t>
                  </w:r>
                </w:p>
              </w:tc>
              <w:tc>
                <w:tcPr>
                  <w:tcW w:w="1484" w:type="dxa"/>
                  <w:noWrap w:val="0"/>
                  <w:vAlign w:val="center"/>
                </w:tcPr>
                <w:p w14:paraId="2893CB2B">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665" w:type="dxa"/>
                  <w:noWrap w:val="0"/>
                  <w:vAlign w:val="center"/>
                </w:tcPr>
                <w:p w14:paraId="6BA942B6">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c>
                <w:tcPr>
                  <w:tcW w:w="1549" w:type="dxa"/>
                  <w:noWrap w:val="0"/>
                  <w:vAlign w:val="center"/>
                </w:tcPr>
                <w:p w14:paraId="53E9CA06">
                  <w:pPr>
                    <w:keepLines w:val="0"/>
                    <w:pageBreakBefore w:val="0"/>
                    <w:widowControl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w:t>
                  </w:r>
                </w:p>
              </w:tc>
            </w:tr>
            <w:tr w14:paraId="59B7AA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5064F45A">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3994DE57">
                  <w:pPr>
                    <w:pStyle w:val="100"/>
                    <w:ind w:firstLine="0" w:firstLineChars="0"/>
                    <w:rPr>
                      <w:rFonts w:hint="default" w:ascii="Times New Roman" w:hAnsi="Times New Roman" w:eastAsia="宋体" w:cs="Times New Roman"/>
                      <w:color w:val="000000" w:themeColor="text1"/>
                      <w:sz w:val="21"/>
                      <w:szCs w:val="21"/>
                    </w:rPr>
                  </w:pPr>
                  <w:r>
                    <w:rPr>
                      <w:rFonts w:hint="eastAsia" w:cs="Times New Roman"/>
                      <w:color w:val="000000" w:themeColor="text1"/>
                      <w:szCs w:val="21"/>
                      <w:lang w:val="en-US" w:eastAsia="zh-CN"/>
                    </w:rPr>
                    <w:t>COD</w:t>
                  </w:r>
                  <w:r>
                    <w:rPr>
                      <w:rFonts w:hint="eastAsia" w:cs="Times New Roman"/>
                      <w:color w:val="000000" w:themeColor="text1"/>
                      <w:szCs w:val="21"/>
                      <w:vertAlign w:val="subscript"/>
                      <w:lang w:val="en-US" w:eastAsia="zh-CN"/>
                    </w:rPr>
                    <w:t>cr</w:t>
                  </w:r>
                </w:p>
              </w:tc>
              <w:tc>
                <w:tcPr>
                  <w:tcW w:w="1484" w:type="dxa"/>
                  <w:noWrap w:val="0"/>
                  <w:vAlign w:val="bottom"/>
                </w:tcPr>
                <w:p w14:paraId="1E3B7717">
                  <w:pPr>
                    <w:pStyle w:val="100"/>
                    <w:tabs>
                      <w:tab w:val="center" w:pos="1084"/>
                      <w:tab w:val="right" w:pos="2049"/>
                    </w:tabs>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0.054</w:t>
                  </w:r>
                </w:p>
              </w:tc>
              <w:tc>
                <w:tcPr>
                  <w:tcW w:w="1665" w:type="dxa"/>
                  <w:noWrap w:val="0"/>
                  <w:vAlign w:val="center"/>
                </w:tcPr>
                <w:p w14:paraId="06EF0779">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0.046</w:t>
                  </w:r>
                </w:p>
              </w:tc>
              <w:tc>
                <w:tcPr>
                  <w:tcW w:w="1549" w:type="dxa"/>
                  <w:noWrap w:val="0"/>
                  <w:vAlign w:val="center"/>
                </w:tcPr>
                <w:p w14:paraId="787A1AEF">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0.008</w:t>
                  </w:r>
                </w:p>
              </w:tc>
            </w:tr>
            <w:tr w14:paraId="3F2BAE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1B8DF574">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638E3AB8">
                  <w:pPr>
                    <w:pStyle w:val="100"/>
                    <w:ind w:firstLine="0" w:firstLineChars="0"/>
                    <w:rPr>
                      <w:rFonts w:hint="default" w:ascii="Times New Roman" w:hAnsi="Times New Roman" w:eastAsia="宋体" w:cs="Times New Roman"/>
                      <w:color w:val="000000" w:themeColor="text1"/>
                      <w:sz w:val="21"/>
                      <w:szCs w:val="21"/>
                      <w:lang w:val="en-US"/>
                    </w:rPr>
                  </w:pPr>
                  <w:r>
                    <w:rPr>
                      <w:rFonts w:hint="eastAsia" w:cs="Times New Roman"/>
                      <w:color w:val="000000" w:themeColor="text1"/>
                      <w:szCs w:val="21"/>
                      <w:lang w:val="en-US" w:eastAsia="zh-CN"/>
                    </w:rPr>
                    <w:t>BOD</w:t>
                  </w:r>
                </w:p>
              </w:tc>
              <w:tc>
                <w:tcPr>
                  <w:tcW w:w="1484" w:type="dxa"/>
                  <w:noWrap w:val="0"/>
                  <w:vAlign w:val="bottom"/>
                </w:tcPr>
                <w:p w14:paraId="54A4279D">
                  <w:pPr>
                    <w:pStyle w:val="100"/>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0.041</w:t>
                  </w:r>
                </w:p>
              </w:tc>
              <w:tc>
                <w:tcPr>
                  <w:tcW w:w="1665" w:type="dxa"/>
                  <w:noWrap w:val="0"/>
                  <w:vAlign w:val="center"/>
                </w:tcPr>
                <w:p w14:paraId="347C5FF4">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0.038</w:t>
                  </w:r>
                </w:p>
              </w:tc>
              <w:tc>
                <w:tcPr>
                  <w:tcW w:w="1549" w:type="dxa"/>
                  <w:noWrap w:val="0"/>
                  <w:vAlign w:val="center"/>
                </w:tcPr>
                <w:p w14:paraId="28B4F2BC">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r>
            <w:tr w14:paraId="449CC0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7B2CFBFE">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72395698">
                  <w:pPr>
                    <w:pStyle w:val="100"/>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Cs w:val="21"/>
                    </w:rPr>
                    <w:t>SS</w:t>
                  </w:r>
                </w:p>
              </w:tc>
              <w:tc>
                <w:tcPr>
                  <w:tcW w:w="1484" w:type="dxa"/>
                  <w:noWrap w:val="0"/>
                  <w:vAlign w:val="bottom"/>
                </w:tcPr>
                <w:p w14:paraId="42731A91">
                  <w:pPr>
                    <w:pStyle w:val="100"/>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0.075</w:t>
                  </w:r>
                </w:p>
              </w:tc>
              <w:tc>
                <w:tcPr>
                  <w:tcW w:w="1665" w:type="dxa"/>
                  <w:noWrap w:val="0"/>
                  <w:vAlign w:val="center"/>
                </w:tcPr>
                <w:p w14:paraId="0285B35C">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0.072</w:t>
                  </w:r>
                </w:p>
              </w:tc>
              <w:tc>
                <w:tcPr>
                  <w:tcW w:w="1549" w:type="dxa"/>
                  <w:noWrap w:val="0"/>
                  <w:vAlign w:val="center"/>
                </w:tcPr>
                <w:p w14:paraId="0D5BFC12">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r>
            <w:tr w14:paraId="2ED80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restart"/>
                  <w:noWrap w:val="0"/>
                  <w:vAlign w:val="center"/>
                </w:tcPr>
                <w:p w14:paraId="30AB82DF">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1830" w:type="dxa"/>
                  <w:noWrap w:val="0"/>
                  <w:vAlign w:val="center"/>
                </w:tcPr>
                <w:p w14:paraId="0C89B66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TVOC</w:t>
                  </w:r>
                </w:p>
              </w:tc>
              <w:tc>
                <w:tcPr>
                  <w:tcW w:w="1484" w:type="dxa"/>
                  <w:noWrap w:val="0"/>
                  <w:vAlign w:val="center"/>
                </w:tcPr>
                <w:p w14:paraId="22A40F9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4.05</w:t>
                  </w:r>
                </w:p>
              </w:tc>
              <w:tc>
                <w:tcPr>
                  <w:tcW w:w="1665" w:type="dxa"/>
                  <w:noWrap w:val="0"/>
                  <w:vAlign w:val="center"/>
                </w:tcPr>
                <w:p w14:paraId="099878ED">
                  <w:pPr>
                    <w:keepLines w:val="0"/>
                    <w:pageBreakBefore w:val="0"/>
                    <w:widowControl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2.592</w:t>
                  </w:r>
                </w:p>
              </w:tc>
              <w:tc>
                <w:tcPr>
                  <w:tcW w:w="1549" w:type="dxa"/>
                  <w:noWrap w:val="0"/>
                  <w:vAlign w:val="center"/>
                </w:tcPr>
                <w:p w14:paraId="0BAD7B1A">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1.458</w:t>
                  </w:r>
                </w:p>
              </w:tc>
            </w:tr>
            <w:tr w14:paraId="24942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3D200829">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5B86B316">
                  <w:pPr>
                    <w:pStyle w:val="77"/>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p>
              </w:tc>
              <w:tc>
                <w:tcPr>
                  <w:tcW w:w="1484" w:type="dxa"/>
                  <w:noWrap w:val="0"/>
                  <w:vAlign w:val="center"/>
                </w:tcPr>
                <w:p w14:paraId="7C6CD106">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16.877</w:t>
                  </w:r>
                </w:p>
              </w:tc>
              <w:tc>
                <w:tcPr>
                  <w:tcW w:w="1665" w:type="dxa"/>
                  <w:noWrap w:val="0"/>
                  <w:vAlign w:val="center"/>
                </w:tcPr>
                <w:p w14:paraId="44178077">
                  <w:pPr>
                    <w:keepLines w:val="0"/>
                    <w:pageBreakBefore w:val="0"/>
                    <w:widowControl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15.891</w:t>
                  </w:r>
                </w:p>
              </w:tc>
              <w:tc>
                <w:tcPr>
                  <w:tcW w:w="1549" w:type="dxa"/>
                  <w:noWrap w:val="0"/>
                  <w:vAlign w:val="center"/>
                </w:tcPr>
                <w:p w14:paraId="7E162E88">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0.986</w:t>
                  </w:r>
                </w:p>
              </w:tc>
            </w:tr>
            <w:tr w14:paraId="3AF10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4F7901FA">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6CAF895F">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SO</w:t>
                  </w:r>
                  <w:r>
                    <w:rPr>
                      <w:rFonts w:hint="eastAsia" w:ascii="Times New Roman" w:hAnsi="Times New Roman" w:eastAsia="宋体" w:cs="Times New Roman"/>
                      <w:color w:val="000000" w:themeColor="text1"/>
                      <w:sz w:val="21"/>
                      <w:szCs w:val="21"/>
                      <w:vertAlign w:val="subscript"/>
                      <w:lang w:val="en-US" w:eastAsia="zh-CN"/>
                    </w:rPr>
                    <w:t>2</w:t>
                  </w:r>
                </w:p>
              </w:tc>
              <w:tc>
                <w:tcPr>
                  <w:tcW w:w="1484" w:type="dxa"/>
                  <w:noWrap w:val="0"/>
                  <w:vAlign w:val="center"/>
                </w:tcPr>
                <w:p w14:paraId="3247D8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0.016</w:t>
                  </w:r>
                </w:p>
              </w:tc>
              <w:tc>
                <w:tcPr>
                  <w:tcW w:w="1665" w:type="dxa"/>
                  <w:noWrap w:val="0"/>
                  <w:vAlign w:val="center"/>
                </w:tcPr>
                <w:p w14:paraId="2AF986B9">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1549" w:type="dxa"/>
                  <w:noWrap w:val="0"/>
                  <w:vAlign w:val="center"/>
                </w:tcPr>
                <w:p w14:paraId="2C6DCAD9">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0.016</w:t>
                  </w:r>
                </w:p>
              </w:tc>
            </w:tr>
            <w:tr w14:paraId="55074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3B70FA4F">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1619FC8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NOx</w:t>
                  </w:r>
                </w:p>
              </w:tc>
              <w:tc>
                <w:tcPr>
                  <w:tcW w:w="1484" w:type="dxa"/>
                  <w:noWrap w:val="0"/>
                  <w:vAlign w:val="center"/>
                </w:tcPr>
                <w:p w14:paraId="3DE0A9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1"/>
                      <w:sz w:val="21"/>
                      <w:szCs w:val="21"/>
                      <w:lang w:val="en-US" w:eastAsia="zh-CN"/>
                    </w:rPr>
                    <w:t>0.075</w:t>
                  </w:r>
                </w:p>
              </w:tc>
              <w:tc>
                <w:tcPr>
                  <w:tcW w:w="1665" w:type="dxa"/>
                  <w:noWrap w:val="0"/>
                  <w:vAlign w:val="center"/>
                </w:tcPr>
                <w:p w14:paraId="7E018488">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1549" w:type="dxa"/>
                  <w:noWrap w:val="0"/>
                  <w:vAlign w:val="center"/>
                </w:tcPr>
                <w:p w14:paraId="348A6DFD">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0.075</w:t>
                  </w:r>
                </w:p>
              </w:tc>
            </w:tr>
            <w:tr w14:paraId="24F10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restart"/>
                  <w:noWrap w:val="0"/>
                  <w:vAlign w:val="center"/>
                </w:tcPr>
                <w:p w14:paraId="08D216BC">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固体废物</w:t>
                  </w:r>
                </w:p>
              </w:tc>
              <w:tc>
                <w:tcPr>
                  <w:tcW w:w="1830" w:type="dxa"/>
                  <w:noWrap w:val="0"/>
                  <w:vAlign w:val="center"/>
                </w:tcPr>
                <w:p w14:paraId="733DE98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default" w:ascii="Times New Roman" w:hAnsi="Times New Roman" w:eastAsia="宋体" w:cs="Times New Roman"/>
                      <w:color w:val="000000" w:themeColor="text1"/>
                      <w:spacing w:val="4"/>
                      <w:sz w:val="21"/>
                      <w:szCs w:val="21"/>
                    </w:rPr>
                    <w:t>废包装袋</w:t>
                  </w:r>
                </w:p>
              </w:tc>
              <w:tc>
                <w:tcPr>
                  <w:tcW w:w="1484" w:type="dxa"/>
                  <w:noWrap w:val="0"/>
                  <w:vAlign w:val="center"/>
                </w:tcPr>
                <w:p w14:paraId="268E808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4"/>
                      <w:sz w:val="21"/>
                      <w:szCs w:val="21"/>
                      <w:lang w:val="en-US" w:eastAsia="zh-CN"/>
                    </w:rPr>
                    <w:t>0.2</w:t>
                  </w:r>
                </w:p>
              </w:tc>
              <w:tc>
                <w:tcPr>
                  <w:tcW w:w="1665" w:type="dxa"/>
                  <w:noWrap w:val="0"/>
                  <w:vAlign w:val="center"/>
                </w:tcPr>
                <w:p w14:paraId="4B0EE95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4"/>
                      <w:sz w:val="21"/>
                      <w:szCs w:val="21"/>
                      <w:lang w:val="en-US" w:eastAsia="zh-CN"/>
                    </w:rPr>
                    <w:t>0.2</w:t>
                  </w:r>
                </w:p>
              </w:tc>
              <w:tc>
                <w:tcPr>
                  <w:tcW w:w="1549" w:type="dxa"/>
                  <w:noWrap w:val="0"/>
                  <w:vAlign w:val="center"/>
                </w:tcPr>
                <w:p w14:paraId="33305995">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1D1C6F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2442BF11">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72A3BA8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eastAsia" w:ascii="Times New Roman" w:hAnsi="Times New Roman" w:cs="Times New Roman"/>
                      <w:color w:val="000000" w:themeColor="text1"/>
                      <w:spacing w:val="4"/>
                      <w:sz w:val="21"/>
                      <w:szCs w:val="21"/>
                      <w:lang w:val="en-US" w:eastAsia="zh-CN"/>
                    </w:rPr>
                    <w:t>不合格品以及边角料</w:t>
                  </w:r>
                </w:p>
              </w:tc>
              <w:tc>
                <w:tcPr>
                  <w:tcW w:w="1484" w:type="dxa"/>
                  <w:noWrap w:val="0"/>
                  <w:vAlign w:val="center"/>
                </w:tcPr>
                <w:p w14:paraId="293934B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p>
              </w:tc>
              <w:tc>
                <w:tcPr>
                  <w:tcW w:w="1665" w:type="dxa"/>
                  <w:noWrap w:val="0"/>
                  <w:vAlign w:val="center"/>
                </w:tcPr>
                <w:p w14:paraId="40747B0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p>
              </w:tc>
              <w:tc>
                <w:tcPr>
                  <w:tcW w:w="1549" w:type="dxa"/>
                  <w:noWrap w:val="0"/>
                  <w:vAlign w:val="center"/>
                </w:tcPr>
                <w:p w14:paraId="4F450AE3">
                  <w:pPr>
                    <w:keepLines w:val="0"/>
                    <w:pageBreakBefore w:val="0"/>
                    <w:widowControl w:val="0"/>
                    <w:kinsoku/>
                    <w:wordWrap/>
                    <w:topLinePunct w:val="0"/>
                    <w:autoSpaceDE/>
                    <w:autoSpaceDN/>
                    <w:bidi w:val="0"/>
                    <w:spacing w:line="240" w:lineRule="auto"/>
                    <w:ind w:firstLine="0" w:firstLineChars="0"/>
                    <w:jc w:val="center"/>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75CF35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0D2C2D94">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7EE1A9D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rPr>
                  </w:pPr>
                  <w:r>
                    <w:rPr>
                      <w:rFonts w:hint="default" w:ascii="Times New Roman" w:hAnsi="Times New Roman" w:eastAsia="宋体" w:cs="Times New Roman"/>
                      <w:color w:val="000000" w:themeColor="text1"/>
                      <w:spacing w:val="4"/>
                      <w:sz w:val="21"/>
                      <w:szCs w:val="21"/>
                    </w:rPr>
                    <w:t>布袋除尘器</w:t>
                  </w:r>
                </w:p>
                <w:p w14:paraId="6900CF3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收集的粉尘</w:t>
                  </w:r>
                </w:p>
              </w:tc>
              <w:tc>
                <w:tcPr>
                  <w:tcW w:w="1484" w:type="dxa"/>
                  <w:noWrap w:val="0"/>
                  <w:vAlign w:val="center"/>
                </w:tcPr>
                <w:p w14:paraId="12BDED8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15.53</w:t>
                  </w:r>
                </w:p>
              </w:tc>
              <w:tc>
                <w:tcPr>
                  <w:tcW w:w="1665" w:type="dxa"/>
                  <w:noWrap w:val="0"/>
                  <w:vAlign w:val="center"/>
                </w:tcPr>
                <w:p w14:paraId="205BAC3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15.53</w:t>
                  </w:r>
                </w:p>
              </w:tc>
              <w:tc>
                <w:tcPr>
                  <w:tcW w:w="1549" w:type="dxa"/>
                  <w:noWrap w:val="0"/>
                  <w:vAlign w:val="center"/>
                </w:tcPr>
                <w:p w14:paraId="074B041C">
                  <w:pPr>
                    <w:keepLines w:val="0"/>
                    <w:pageBreakBefore w:val="0"/>
                    <w:widowControl w:val="0"/>
                    <w:kinsoku/>
                    <w:wordWrap/>
                    <w:topLinePunct w:val="0"/>
                    <w:autoSpaceDE/>
                    <w:autoSpaceDN/>
                    <w:bidi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7550FE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5D96DE99">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0060E85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废布袋</w:t>
                  </w:r>
                </w:p>
              </w:tc>
              <w:tc>
                <w:tcPr>
                  <w:tcW w:w="1484" w:type="dxa"/>
                  <w:noWrap w:val="0"/>
                  <w:vAlign w:val="center"/>
                </w:tcPr>
                <w:p w14:paraId="56EE924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eastAsia="宋体" w:cs="Times New Roman"/>
                      <w:color w:val="000000" w:themeColor="text1"/>
                      <w:spacing w:val="4"/>
                      <w:sz w:val="21"/>
                      <w:szCs w:val="21"/>
                      <w:lang w:val="en-US" w:eastAsia="zh-CN"/>
                    </w:rPr>
                    <w:t>5</w:t>
                  </w:r>
                </w:p>
              </w:tc>
              <w:tc>
                <w:tcPr>
                  <w:tcW w:w="1665" w:type="dxa"/>
                  <w:noWrap w:val="0"/>
                  <w:vAlign w:val="center"/>
                </w:tcPr>
                <w:p w14:paraId="267B714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eastAsia="宋体" w:cs="Times New Roman"/>
                      <w:color w:val="000000" w:themeColor="text1"/>
                      <w:spacing w:val="4"/>
                      <w:sz w:val="21"/>
                      <w:szCs w:val="21"/>
                      <w:lang w:val="en-US" w:eastAsia="zh-CN"/>
                    </w:rPr>
                    <w:t>5</w:t>
                  </w:r>
                </w:p>
              </w:tc>
              <w:tc>
                <w:tcPr>
                  <w:tcW w:w="1549" w:type="dxa"/>
                  <w:noWrap w:val="0"/>
                  <w:vAlign w:val="center"/>
                </w:tcPr>
                <w:p w14:paraId="3230B998">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4BD73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4B4F948F">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4EB1BCB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pacing w:val="4"/>
                      <w:sz w:val="21"/>
                      <w:szCs w:val="21"/>
                      <w:lang w:eastAsia="zh-CN"/>
                    </w:rPr>
                    <w:t>废润滑油</w:t>
                  </w:r>
                </w:p>
              </w:tc>
              <w:tc>
                <w:tcPr>
                  <w:tcW w:w="1484" w:type="dxa"/>
                  <w:noWrap w:val="0"/>
                  <w:vAlign w:val="center"/>
                </w:tcPr>
                <w:p w14:paraId="214663A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c>
                <w:tcPr>
                  <w:tcW w:w="1665" w:type="dxa"/>
                  <w:noWrap w:val="0"/>
                  <w:vAlign w:val="center"/>
                </w:tcPr>
                <w:p w14:paraId="56CDB2A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c>
                <w:tcPr>
                  <w:tcW w:w="1549" w:type="dxa"/>
                  <w:noWrap w:val="0"/>
                  <w:vAlign w:val="center"/>
                </w:tcPr>
                <w:p w14:paraId="219C6A6D">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749FF0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02744EE9">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5114B47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cs="Times New Roman"/>
                      <w:color w:val="000000" w:themeColor="text1"/>
                      <w:spacing w:val="4"/>
                      <w:sz w:val="21"/>
                      <w:szCs w:val="21"/>
                      <w:lang w:eastAsia="zh-CN"/>
                    </w:rPr>
                    <w:t>废润滑油桶</w:t>
                  </w:r>
                </w:p>
              </w:tc>
              <w:tc>
                <w:tcPr>
                  <w:tcW w:w="1484" w:type="dxa"/>
                  <w:noWrap w:val="0"/>
                  <w:vAlign w:val="center"/>
                </w:tcPr>
                <w:p w14:paraId="7B1B20C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c>
                <w:tcPr>
                  <w:tcW w:w="1665" w:type="dxa"/>
                  <w:noWrap w:val="0"/>
                  <w:vAlign w:val="center"/>
                </w:tcPr>
                <w:p w14:paraId="7476C34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c>
                <w:tcPr>
                  <w:tcW w:w="1549" w:type="dxa"/>
                  <w:noWrap w:val="0"/>
                  <w:vAlign w:val="center"/>
                </w:tcPr>
                <w:p w14:paraId="7AABECBA">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3A6B4E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531" w:type="dxa"/>
                  <w:vMerge w:val="continue"/>
                  <w:noWrap w:val="0"/>
                  <w:vAlign w:val="center"/>
                </w:tcPr>
                <w:p w14:paraId="6B695FFE">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42F3050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cs="Times New Roman"/>
                      <w:color w:val="000000" w:themeColor="text1"/>
                      <w:spacing w:val="4"/>
                      <w:sz w:val="21"/>
                      <w:szCs w:val="21"/>
                      <w:lang w:val="en-US" w:eastAsia="zh-CN"/>
                    </w:rPr>
                    <w:t>废冷凝液</w:t>
                  </w:r>
                </w:p>
              </w:tc>
              <w:tc>
                <w:tcPr>
                  <w:tcW w:w="1484" w:type="dxa"/>
                  <w:noWrap w:val="0"/>
                  <w:vAlign w:val="center"/>
                </w:tcPr>
                <w:p w14:paraId="5B7D9D8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2.187</w:t>
                  </w:r>
                </w:p>
              </w:tc>
              <w:tc>
                <w:tcPr>
                  <w:tcW w:w="1665" w:type="dxa"/>
                  <w:noWrap w:val="0"/>
                  <w:vAlign w:val="center"/>
                </w:tcPr>
                <w:p w14:paraId="6F7A885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2.187</w:t>
                  </w:r>
                </w:p>
              </w:tc>
              <w:tc>
                <w:tcPr>
                  <w:tcW w:w="1549" w:type="dxa"/>
                  <w:noWrap w:val="0"/>
                  <w:vAlign w:val="center"/>
                </w:tcPr>
                <w:p w14:paraId="540B661B">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646EE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531" w:type="dxa"/>
                  <w:vMerge w:val="continue"/>
                  <w:noWrap w:val="0"/>
                  <w:vAlign w:val="center"/>
                </w:tcPr>
                <w:p w14:paraId="57E0BE18">
                  <w:pPr>
                    <w:pStyle w:val="168"/>
                    <w:keepLines w:val="0"/>
                    <w:pageBreakBefore w:val="0"/>
                    <w:widowControl w:val="0"/>
                    <w:kinsoku/>
                    <w:wordWrap/>
                    <w:topLinePunct w:val="0"/>
                    <w:autoSpaceDE/>
                    <w:autoSpaceDN/>
                    <w:bidi w:val="0"/>
                    <w:adjustRightInd/>
                    <w:spacing w:line="240" w:lineRule="auto"/>
                    <w:ind w:firstLine="0" w:firstLineChars="0"/>
                    <w:jc w:val="center"/>
                    <w:rPr>
                      <w:rFonts w:hint="default" w:ascii="Times New Roman" w:hAnsi="Times New Roman" w:eastAsia="宋体" w:cs="Times New Roman"/>
                      <w:color w:val="000000" w:themeColor="text1"/>
                      <w:sz w:val="21"/>
                      <w:szCs w:val="21"/>
                    </w:rPr>
                  </w:pPr>
                </w:p>
              </w:tc>
              <w:tc>
                <w:tcPr>
                  <w:tcW w:w="1830" w:type="dxa"/>
                  <w:noWrap w:val="0"/>
                  <w:vAlign w:val="center"/>
                </w:tcPr>
                <w:p w14:paraId="5CA6B76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废活性炭</w:t>
                  </w:r>
                </w:p>
              </w:tc>
              <w:tc>
                <w:tcPr>
                  <w:tcW w:w="1484" w:type="dxa"/>
                  <w:noWrap w:val="0"/>
                  <w:vAlign w:val="center"/>
                </w:tcPr>
                <w:p w14:paraId="061B7E8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3.105</w:t>
                  </w:r>
                </w:p>
              </w:tc>
              <w:tc>
                <w:tcPr>
                  <w:tcW w:w="1665" w:type="dxa"/>
                  <w:noWrap w:val="0"/>
                  <w:vAlign w:val="center"/>
                </w:tcPr>
                <w:p w14:paraId="0FBD85D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color w:val="000000" w:themeColor="text1"/>
                      <w:spacing w:val="4"/>
                      <w:sz w:val="21"/>
                      <w:szCs w:val="21"/>
                      <w:lang w:val="en-US" w:eastAsia="zh-CN"/>
                    </w:rPr>
                    <w:t>3.105</w:t>
                  </w:r>
                </w:p>
              </w:tc>
              <w:tc>
                <w:tcPr>
                  <w:tcW w:w="1549" w:type="dxa"/>
                  <w:noWrap w:val="0"/>
                  <w:vAlign w:val="center"/>
                </w:tcPr>
                <w:p w14:paraId="1FEC7714">
                  <w:pPr>
                    <w:keepLines w:val="0"/>
                    <w:pageBreakBefore w:val="0"/>
                    <w:widowControl w:val="0"/>
                    <w:kinsoku/>
                    <w:wordWrap/>
                    <w:topLinePunct w:val="0"/>
                    <w:autoSpaceDE/>
                    <w:autoSpaceDN/>
                    <w:bidi w:val="0"/>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bl>
          <w:p w14:paraId="5E83F9EE">
            <w:pPr>
              <w:adjustRightInd w:val="0"/>
              <w:snapToGrid w:val="0"/>
              <w:spacing w:before="120" w:beforeLines="50"/>
              <w:ind w:firstLine="643"/>
              <w:outlineLvl w:val="0"/>
              <w:rPr>
                <w:rFonts w:hint="default" w:ascii="Times New Roman" w:hAnsi="Times New Roman" w:eastAsia="宋体" w:cs="Times New Roman"/>
                <w:b/>
                <w:color w:val="000000" w:themeColor="text1"/>
                <w:sz w:val="32"/>
                <w:szCs w:val="20"/>
              </w:rPr>
            </w:pPr>
            <w:r>
              <w:rPr>
                <w:rFonts w:hint="default" w:ascii="Times New Roman" w:hAnsi="Times New Roman" w:eastAsia="宋体" w:cs="Times New Roman"/>
                <w:b/>
                <w:color w:val="000000" w:themeColor="text1"/>
                <w:sz w:val="32"/>
                <w:szCs w:val="20"/>
              </w:rPr>
              <w:t>项目三本账分析</w:t>
            </w:r>
          </w:p>
          <w:p w14:paraId="39FBB283">
            <w:pPr>
              <w:pStyle w:val="32"/>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rFonts w:hint="default" w:ascii="Times New Roman" w:hAnsi="Times New Roman" w:eastAsia="宋体" w:cs="Times New Roman"/>
                <w:bCs/>
                <w:color w:val="000000" w:themeColor="text1"/>
                <w:sz w:val="24"/>
              </w:rPr>
            </w:pPr>
            <w:r>
              <w:rPr>
                <w:rFonts w:hint="default" w:ascii="Times New Roman" w:hAnsi="Times New Roman" w:eastAsia="宋体" w:cs="Times New Roman"/>
                <w:bCs/>
                <w:color w:val="000000" w:themeColor="text1"/>
                <w:sz w:val="24"/>
              </w:rPr>
              <w:t>结合项目原环评情况，项目“三本账”分析如下：</w:t>
            </w:r>
          </w:p>
          <w:p w14:paraId="50AE073A">
            <w:pPr>
              <w:keepNext w:val="0"/>
              <w:keepLines w:val="0"/>
              <w:pageBreakBefore w:val="0"/>
              <w:widowControl w:val="0"/>
              <w:tabs>
                <w:tab w:val="left" w:pos="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 xml:space="preserve">28 </w:t>
            </w:r>
            <w:r>
              <w:rPr>
                <w:rFonts w:hint="eastAsia" w:cs="Times New Roman"/>
                <w:b/>
                <w:color w:val="000000" w:themeColor="text1"/>
                <w:sz w:val="21"/>
                <w:szCs w:val="21"/>
                <w:lang w:val="en-US" w:eastAsia="zh-CN"/>
              </w:rPr>
              <w:t>扩建后项目</w:t>
            </w:r>
            <w:r>
              <w:rPr>
                <w:rFonts w:hint="default" w:ascii="Times New Roman" w:hAnsi="Times New Roman" w:eastAsia="宋体" w:cs="Times New Roman"/>
                <w:b/>
                <w:color w:val="000000" w:themeColor="text1"/>
                <w:sz w:val="21"/>
                <w:szCs w:val="21"/>
              </w:rPr>
              <w:t>污染物排放情况汇总表</w:t>
            </w:r>
          </w:p>
          <w:tbl>
            <w:tblPr>
              <w:tblStyle w:val="33"/>
              <w:tblW w:w="491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
              <w:gridCol w:w="704"/>
              <w:gridCol w:w="1399"/>
              <w:gridCol w:w="1200"/>
              <w:gridCol w:w="1245"/>
              <w:gridCol w:w="855"/>
              <w:gridCol w:w="926"/>
              <w:gridCol w:w="1250"/>
            </w:tblGrid>
            <w:tr w14:paraId="7D659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72" w:type="pct"/>
                  <w:gridSpan w:val="3"/>
                  <w:tcBorders>
                    <w:tl2br w:val="nil"/>
                    <w:tr2bl w:val="nil"/>
                  </w:tcBorders>
                  <w:vAlign w:val="center"/>
                </w:tcPr>
                <w:p w14:paraId="15EB6372">
                  <w:pPr>
                    <w:pStyle w:val="55"/>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种类</w:t>
                  </w:r>
                </w:p>
              </w:tc>
              <w:tc>
                <w:tcPr>
                  <w:tcW w:w="751" w:type="pct"/>
                  <w:tcBorders>
                    <w:tl2br w:val="nil"/>
                    <w:tr2bl w:val="nil"/>
                  </w:tcBorders>
                  <w:vAlign w:val="center"/>
                </w:tcPr>
                <w:p w14:paraId="7DEDF6DF">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原有工程</w:t>
                  </w:r>
                </w:p>
              </w:tc>
              <w:tc>
                <w:tcPr>
                  <w:tcW w:w="779" w:type="pct"/>
                  <w:tcBorders>
                    <w:tl2br w:val="nil"/>
                    <w:tr2bl w:val="nil"/>
                  </w:tcBorders>
                  <w:vAlign w:val="center"/>
                </w:tcPr>
                <w:p w14:paraId="2DC0E64B">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本次</w:t>
                  </w:r>
                  <w:r>
                    <w:rPr>
                      <w:rFonts w:hint="eastAsia" w:cs="Times New Roman"/>
                      <w:b/>
                      <w:bCs/>
                      <w:color w:val="000000" w:themeColor="text1"/>
                      <w:sz w:val="21"/>
                      <w:szCs w:val="21"/>
                      <w:lang w:val="en-US" w:eastAsia="zh-CN"/>
                    </w:rPr>
                    <w:t>技改</w:t>
                  </w:r>
                  <w:r>
                    <w:rPr>
                      <w:rFonts w:hint="default" w:ascii="Times New Roman" w:hAnsi="Times New Roman" w:eastAsia="宋体" w:cs="Times New Roman"/>
                      <w:b/>
                      <w:bCs/>
                      <w:color w:val="000000" w:themeColor="text1"/>
                      <w:sz w:val="21"/>
                      <w:szCs w:val="21"/>
                    </w:rPr>
                    <w:t>工程</w:t>
                  </w:r>
                </w:p>
              </w:tc>
              <w:tc>
                <w:tcPr>
                  <w:tcW w:w="535" w:type="pct"/>
                  <w:tcBorders>
                    <w:tl2br w:val="nil"/>
                    <w:tr2bl w:val="nil"/>
                  </w:tcBorders>
                  <w:vAlign w:val="center"/>
                </w:tcPr>
                <w:p w14:paraId="06311755">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“以新带老”</w:t>
                  </w:r>
                </w:p>
              </w:tc>
              <w:tc>
                <w:tcPr>
                  <w:tcW w:w="579" w:type="pct"/>
                  <w:tcBorders>
                    <w:tl2br w:val="nil"/>
                    <w:tr2bl w:val="nil"/>
                  </w:tcBorders>
                  <w:vAlign w:val="center"/>
                </w:tcPr>
                <w:p w14:paraId="1ED89B50">
                  <w:pPr>
                    <w:pStyle w:val="55"/>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全厂</w:t>
                  </w:r>
                </w:p>
              </w:tc>
              <w:tc>
                <w:tcPr>
                  <w:tcW w:w="782" w:type="pct"/>
                  <w:vMerge w:val="restart"/>
                  <w:tcBorders>
                    <w:tl2br w:val="nil"/>
                    <w:tr2bl w:val="nil"/>
                  </w:tcBorders>
                  <w:vAlign w:val="center"/>
                </w:tcPr>
                <w:p w14:paraId="3813F639">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排放增减量（t/a）</w:t>
                  </w:r>
                </w:p>
              </w:tc>
            </w:tr>
            <w:tr w14:paraId="16C91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tcBorders>
                    <w:tl2br w:val="nil"/>
                    <w:tr2bl w:val="nil"/>
                  </w:tcBorders>
                  <w:vAlign w:val="center"/>
                </w:tcPr>
                <w:p w14:paraId="4AEAA2E0">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类型</w:t>
                  </w:r>
                </w:p>
              </w:tc>
              <w:tc>
                <w:tcPr>
                  <w:tcW w:w="1316" w:type="pct"/>
                  <w:gridSpan w:val="2"/>
                  <w:tcBorders>
                    <w:tl2br w:val="nil"/>
                    <w:tr2bl w:val="nil"/>
                  </w:tcBorders>
                  <w:vAlign w:val="center"/>
                </w:tcPr>
                <w:p w14:paraId="159565EB">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污染物名称</w:t>
                  </w:r>
                </w:p>
              </w:tc>
              <w:tc>
                <w:tcPr>
                  <w:tcW w:w="751" w:type="pct"/>
                  <w:tcBorders>
                    <w:tl2br w:val="nil"/>
                    <w:tr2bl w:val="nil"/>
                  </w:tcBorders>
                  <w:vAlign w:val="center"/>
                </w:tcPr>
                <w:p w14:paraId="5A915A84">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排放量（t/a）</w:t>
                  </w:r>
                </w:p>
              </w:tc>
              <w:tc>
                <w:tcPr>
                  <w:tcW w:w="779" w:type="pct"/>
                  <w:tcBorders>
                    <w:tl2br w:val="nil"/>
                    <w:tr2bl w:val="nil"/>
                  </w:tcBorders>
                  <w:vAlign w:val="center"/>
                </w:tcPr>
                <w:p w14:paraId="76C309BB">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排放量（t/a）</w:t>
                  </w:r>
                </w:p>
              </w:tc>
              <w:tc>
                <w:tcPr>
                  <w:tcW w:w="535" w:type="pct"/>
                  <w:tcBorders>
                    <w:tl2br w:val="nil"/>
                    <w:tr2bl w:val="nil"/>
                  </w:tcBorders>
                  <w:vAlign w:val="center"/>
                </w:tcPr>
                <w:p w14:paraId="04E96960">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削减量（t/a）</w:t>
                  </w:r>
                </w:p>
              </w:tc>
              <w:tc>
                <w:tcPr>
                  <w:tcW w:w="579" w:type="pct"/>
                  <w:tcBorders>
                    <w:tl2br w:val="nil"/>
                    <w:tr2bl w:val="nil"/>
                  </w:tcBorders>
                  <w:vAlign w:val="center"/>
                </w:tcPr>
                <w:p w14:paraId="657251C7">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排放量（t/a）</w:t>
                  </w:r>
                </w:p>
              </w:tc>
              <w:tc>
                <w:tcPr>
                  <w:tcW w:w="782" w:type="pct"/>
                  <w:vMerge w:val="continue"/>
                  <w:tcBorders>
                    <w:tl2br w:val="nil"/>
                    <w:tr2bl w:val="nil"/>
                  </w:tcBorders>
                  <w:vAlign w:val="center"/>
                </w:tcPr>
                <w:p w14:paraId="3BAC197A">
                  <w:pPr>
                    <w:pStyle w:val="55"/>
                    <w:ind w:left="0"/>
                    <w:rPr>
                      <w:rFonts w:hint="default" w:ascii="Times New Roman" w:hAnsi="Times New Roman" w:eastAsia="宋体" w:cs="Times New Roman"/>
                      <w:color w:val="000000" w:themeColor="text1"/>
                    </w:rPr>
                  </w:pPr>
                </w:p>
              </w:tc>
            </w:tr>
            <w:tr w14:paraId="3E9A7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restart"/>
                  <w:tcBorders>
                    <w:tl2br w:val="nil"/>
                    <w:tr2bl w:val="nil"/>
                  </w:tcBorders>
                  <w:vAlign w:val="center"/>
                </w:tcPr>
                <w:p w14:paraId="2EDD6481">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316" w:type="pct"/>
                  <w:gridSpan w:val="2"/>
                  <w:tcBorders>
                    <w:tl2br w:val="nil"/>
                    <w:tr2bl w:val="nil"/>
                  </w:tcBorders>
                  <w:vAlign w:val="center"/>
                </w:tcPr>
                <w:p w14:paraId="64342A7D">
                  <w:pPr>
                    <w:pStyle w:val="168"/>
                    <w:keepLines w:val="0"/>
                    <w:pageBreakBefore w:val="0"/>
                    <w:widowControl w:val="0"/>
                    <w:kinsoku/>
                    <w:wordWrap/>
                    <w:topLinePunct w:val="0"/>
                    <w:autoSpaceDE/>
                    <w:autoSpaceDN/>
                    <w:bidi w:val="0"/>
                    <w:adjustRightInd/>
                    <w:spacing w:line="240" w:lineRule="auto"/>
                    <w:ind w:firstLine="0" w:firstLineChars="0"/>
                    <w:jc w:val="center"/>
                    <w:rPr>
                      <w:rFonts w:hint="eastAsia" w:ascii="Times New Roman" w:hAnsi="Times New Roman" w:eastAsia="宋体" w:cs="Times New Roman"/>
                      <w:color w:val="000000" w:themeColor="text1"/>
                      <w:lang w:eastAsia="zh-CN"/>
                    </w:rPr>
                  </w:pPr>
                  <w:r>
                    <w:rPr>
                      <w:rFonts w:hint="eastAsia" w:eastAsia="宋体" w:cs="Times New Roman"/>
                      <w:color w:val="000000" w:themeColor="text1"/>
                      <w:sz w:val="21"/>
                      <w:szCs w:val="21"/>
                      <w:lang w:val="en-US" w:eastAsia="zh-CN"/>
                    </w:rPr>
                    <w:t>水量（万t/a）</w:t>
                  </w:r>
                </w:p>
              </w:tc>
              <w:tc>
                <w:tcPr>
                  <w:tcW w:w="751" w:type="pct"/>
                  <w:tcBorders>
                    <w:tl2br w:val="nil"/>
                    <w:tr2bl w:val="nil"/>
                  </w:tcBorders>
                  <w:vAlign w:val="center"/>
                </w:tcPr>
                <w:p w14:paraId="3F5C6AE0">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0.2160</w:t>
                  </w:r>
                </w:p>
              </w:tc>
              <w:tc>
                <w:tcPr>
                  <w:tcW w:w="779" w:type="pct"/>
                  <w:tcBorders>
                    <w:tl2br w:val="nil"/>
                    <w:tr2bl w:val="nil"/>
                  </w:tcBorders>
                  <w:vAlign w:val="center"/>
                </w:tcPr>
                <w:p w14:paraId="6081F27D">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0.0135</w:t>
                  </w:r>
                </w:p>
              </w:tc>
              <w:tc>
                <w:tcPr>
                  <w:tcW w:w="535" w:type="pct"/>
                  <w:tcBorders>
                    <w:tl2br w:val="nil"/>
                    <w:tr2bl w:val="nil"/>
                  </w:tcBorders>
                  <w:vAlign w:val="center"/>
                </w:tcPr>
                <w:p w14:paraId="1586A667">
                  <w:pPr>
                    <w:pStyle w:val="55"/>
                    <w:ind w:left="0"/>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c>
                <w:tcPr>
                  <w:tcW w:w="579" w:type="pct"/>
                  <w:tcBorders>
                    <w:tl2br w:val="nil"/>
                    <w:tr2bl w:val="nil"/>
                  </w:tcBorders>
                  <w:vAlign w:val="center"/>
                </w:tcPr>
                <w:p w14:paraId="6ED29C44">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0.2295</w:t>
                  </w:r>
                </w:p>
              </w:tc>
              <w:tc>
                <w:tcPr>
                  <w:tcW w:w="782" w:type="pct"/>
                  <w:tcBorders>
                    <w:tl2br w:val="nil"/>
                    <w:tr2bl w:val="nil"/>
                  </w:tcBorders>
                  <w:vAlign w:val="center"/>
                </w:tcPr>
                <w:p w14:paraId="6BDEE3F7">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+0.0135</w:t>
                  </w:r>
                </w:p>
              </w:tc>
            </w:tr>
            <w:tr w14:paraId="6C6E3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7372E98D">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6480FC56">
                  <w:pPr>
                    <w:pStyle w:val="100"/>
                    <w:ind w:firstLine="0" w:firstLineChars="0"/>
                    <w:rPr>
                      <w:rFonts w:hint="default" w:ascii="Times New Roman" w:hAnsi="Times New Roman" w:eastAsia="宋体" w:cs="Times New Roman"/>
                      <w:color w:val="000000" w:themeColor="text1"/>
                    </w:rPr>
                  </w:pPr>
                  <w:r>
                    <w:rPr>
                      <w:rFonts w:hint="eastAsia" w:cs="Times New Roman"/>
                      <w:color w:val="000000" w:themeColor="text1"/>
                      <w:szCs w:val="21"/>
                      <w:lang w:val="en-US" w:eastAsia="zh-CN"/>
                    </w:rPr>
                    <w:t>pH</w:t>
                  </w:r>
                </w:p>
              </w:tc>
              <w:tc>
                <w:tcPr>
                  <w:tcW w:w="751" w:type="pct"/>
                  <w:tcBorders>
                    <w:tl2br w:val="nil"/>
                    <w:tr2bl w:val="nil"/>
                  </w:tcBorders>
                  <w:vAlign w:val="center"/>
                </w:tcPr>
                <w:p w14:paraId="1A1E8437">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779" w:type="pct"/>
                  <w:tcBorders>
                    <w:tl2br w:val="nil"/>
                    <w:tr2bl w:val="nil"/>
                  </w:tcBorders>
                  <w:vAlign w:val="center"/>
                </w:tcPr>
                <w:p w14:paraId="01B049D1">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535" w:type="pct"/>
                  <w:tcBorders>
                    <w:tl2br w:val="nil"/>
                    <w:tr2bl w:val="nil"/>
                  </w:tcBorders>
                  <w:vAlign w:val="center"/>
                </w:tcPr>
                <w:p w14:paraId="2951D35A">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579" w:type="pct"/>
                  <w:tcBorders>
                    <w:tl2br w:val="nil"/>
                    <w:tr2bl w:val="nil"/>
                  </w:tcBorders>
                  <w:vAlign w:val="center"/>
                </w:tcPr>
                <w:p w14:paraId="06C671E1">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782" w:type="pct"/>
                  <w:tcBorders>
                    <w:tl2br w:val="nil"/>
                    <w:tr2bl w:val="nil"/>
                  </w:tcBorders>
                  <w:vAlign w:val="center"/>
                </w:tcPr>
                <w:p w14:paraId="5EF70A74">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r>
            <w:tr w14:paraId="3446A8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339B90AD">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45500093">
                  <w:pPr>
                    <w:pStyle w:val="100"/>
                    <w:ind w:firstLine="0" w:firstLineChars="0"/>
                    <w:rPr>
                      <w:rFonts w:hint="default" w:ascii="Times New Roman" w:hAnsi="Times New Roman" w:eastAsia="宋体" w:cs="Times New Roman"/>
                      <w:color w:val="000000" w:themeColor="text1"/>
                    </w:rPr>
                  </w:pPr>
                  <w:r>
                    <w:rPr>
                      <w:rFonts w:hint="eastAsia" w:cs="Times New Roman"/>
                      <w:color w:val="000000" w:themeColor="text1"/>
                      <w:szCs w:val="21"/>
                      <w:lang w:val="en-US" w:eastAsia="zh-CN"/>
                    </w:rPr>
                    <w:t>COD</w:t>
                  </w:r>
                  <w:r>
                    <w:rPr>
                      <w:rFonts w:hint="eastAsia" w:cs="Times New Roman"/>
                      <w:color w:val="000000" w:themeColor="text1"/>
                      <w:szCs w:val="21"/>
                      <w:vertAlign w:val="subscript"/>
                      <w:lang w:val="en-US" w:eastAsia="zh-CN"/>
                    </w:rPr>
                    <w:t>cr</w:t>
                  </w:r>
                </w:p>
              </w:tc>
              <w:tc>
                <w:tcPr>
                  <w:tcW w:w="751" w:type="pct"/>
                  <w:tcBorders>
                    <w:tl2br w:val="nil"/>
                    <w:tr2bl w:val="nil"/>
                  </w:tcBorders>
                  <w:vAlign w:val="center"/>
                </w:tcPr>
                <w:p w14:paraId="6AD55ACA">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0.41</w:t>
                  </w:r>
                </w:p>
              </w:tc>
              <w:tc>
                <w:tcPr>
                  <w:tcW w:w="779" w:type="pct"/>
                  <w:tcBorders>
                    <w:tl2br w:val="nil"/>
                    <w:tr2bl w:val="nil"/>
                  </w:tcBorders>
                  <w:vAlign w:val="center"/>
                </w:tcPr>
                <w:p w14:paraId="731B083D">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0.008</w:t>
                  </w:r>
                </w:p>
              </w:tc>
              <w:tc>
                <w:tcPr>
                  <w:tcW w:w="535" w:type="pct"/>
                  <w:tcBorders>
                    <w:tl2br w:val="nil"/>
                    <w:tr2bl w:val="nil"/>
                  </w:tcBorders>
                  <w:vAlign w:val="center"/>
                </w:tcPr>
                <w:p w14:paraId="28F144EF">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c>
                <w:tcPr>
                  <w:tcW w:w="579" w:type="pct"/>
                  <w:tcBorders>
                    <w:tl2br w:val="nil"/>
                    <w:tr2bl w:val="nil"/>
                  </w:tcBorders>
                  <w:vAlign w:val="center"/>
                </w:tcPr>
                <w:p w14:paraId="4C01CC35">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0.418</w:t>
                  </w:r>
                </w:p>
              </w:tc>
              <w:tc>
                <w:tcPr>
                  <w:tcW w:w="782" w:type="pct"/>
                  <w:tcBorders>
                    <w:tl2br w:val="nil"/>
                    <w:tr2bl w:val="nil"/>
                  </w:tcBorders>
                  <w:vAlign w:val="center"/>
                </w:tcPr>
                <w:p w14:paraId="798CE2B2">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+0.008</w:t>
                  </w:r>
                </w:p>
              </w:tc>
            </w:tr>
            <w:tr w14:paraId="49CD1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485CE44E">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46C88930">
                  <w:pPr>
                    <w:pStyle w:val="100"/>
                    <w:ind w:firstLine="0" w:firstLineChars="0"/>
                    <w:rPr>
                      <w:rFonts w:hint="eastAsia" w:cs="Times New Roman"/>
                      <w:color w:val="000000" w:themeColor="text1"/>
                      <w:szCs w:val="21"/>
                      <w:lang w:val="en-US" w:eastAsia="zh-CN"/>
                    </w:rPr>
                  </w:pPr>
                  <w:r>
                    <w:rPr>
                      <w:rFonts w:hint="eastAsia" w:ascii="Times New Roman" w:hAnsi="Times New Roman" w:eastAsia="宋体" w:cs="Times New Roman"/>
                      <w:color w:val="000000" w:themeColor="text1"/>
                      <w:lang w:val="en-US" w:eastAsia="zh-CN"/>
                    </w:rPr>
                    <w:t>BOD</w:t>
                  </w:r>
                  <w:r>
                    <w:rPr>
                      <w:rFonts w:hint="eastAsia" w:ascii="Times New Roman" w:hAnsi="Times New Roman" w:eastAsia="宋体" w:cs="Times New Roman"/>
                      <w:color w:val="000000" w:themeColor="text1"/>
                      <w:vertAlign w:val="subscript"/>
                      <w:lang w:val="en-US" w:eastAsia="zh-CN"/>
                    </w:rPr>
                    <w:t>5</w:t>
                  </w:r>
                </w:p>
              </w:tc>
              <w:tc>
                <w:tcPr>
                  <w:tcW w:w="751" w:type="pct"/>
                  <w:tcBorders>
                    <w:tl2br w:val="nil"/>
                    <w:tr2bl w:val="nil"/>
                  </w:tcBorders>
                  <w:vAlign w:val="center"/>
                </w:tcPr>
                <w:p w14:paraId="0DFC8B56">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0.036</w:t>
                  </w:r>
                </w:p>
              </w:tc>
              <w:tc>
                <w:tcPr>
                  <w:tcW w:w="779" w:type="pct"/>
                  <w:tcBorders>
                    <w:tl2br w:val="nil"/>
                    <w:tr2bl w:val="nil"/>
                  </w:tcBorders>
                  <w:vAlign w:val="center"/>
                </w:tcPr>
                <w:p w14:paraId="5CF42715">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c>
                <w:tcPr>
                  <w:tcW w:w="535" w:type="pct"/>
                  <w:tcBorders>
                    <w:tl2br w:val="nil"/>
                    <w:tr2bl w:val="nil"/>
                  </w:tcBorders>
                  <w:vAlign w:val="center"/>
                </w:tcPr>
                <w:p w14:paraId="427A2E54">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458AE010">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0.039</w:t>
                  </w:r>
                </w:p>
              </w:tc>
              <w:tc>
                <w:tcPr>
                  <w:tcW w:w="782" w:type="pct"/>
                  <w:tcBorders>
                    <w:tl2br w:val="nil"/>
                    <w:tr2bl w:val="nil"/>
                  </w:tcBorders>
                  <w:vAlign w:val="center"/>
                </w:tcPr>
                <w:p w14:paraId="2BE51B17">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r>
            <w:tr w14:paraId="0A59DF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190E8B4F">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6F04157B">
                  <w:pPr>
                    <w:pStyle w:val="100"/>
                    <w:ind w:firstLine="0" w:firstLineChars="0"/>
                    <w:rPr>
                      <w:rFonts w:hint="default" w:ascii="Times New Roman" w:hAnsi="Times New Roman" w:eastAsia="宋体" w:cs="Times New Roman"/>
                      <w:color w:val="000000" w:themeColor="text1"/>
                      <w:lang w:val="en-US"/>
                    </w:rPr>
                  </w:pPr>
                  <w:r>
                    <w:rPr>
                      <w:rFonts w:hint="eastAsia" w:cs="Times New Roman"/>
                      <w:color w:val="000000" w:themeColor="text1"/>
                      <w:szCs w:val="21"/>
                      <w:lang w:val="en-US" w:eastAsia="zh-CN"/>
                    </w:rPr>
                    <w:t>SS</w:t>
                  </w:r>
                </w:p>
              </w:tc>
              <w:tc>
                <w:tcPr>
                  <w:tcW w:w="751" w:type="pct"/>
                  <w:tcBorders>
                    <w:tl2br w:val="nil"/>
                    <w:tr2bl w:val="nil"/>
                  </w:tcBorders>
                  <w:vAlign w:val="center"/>
                </w:tcPr>
                <w:p w14:paraId="33DC6FC8">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0.036</w:t>
                  </w:r>
                </w:p>
              </w:tc>
              <w:tc>
                <w:tcPr>
                  <w:tcW w:w="779" w:type="pct"/>
                  <w:tcBorders>
                    <w:tl2br w:val="nil"/>
                    <w:tr2bl w:val="nil"/>
                  </w:tcBorders>
                  <w:vAlign w:val="center"/>
                </w:tcPr>
                <w:p w14:paraId="11B777D5">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c>
                <w:tcPr>
                  <w:tcW w:w="535" w:type="pct"/>
                  <w:tcBorders>
                    <w:tl2br w:val="nil"/>
                    <w:tr2bl w:val="nil"/>
                  </w:tcBorders>
                  <w:vAlign w:val="center"/>
                </w:tcPr>
                <w:p w14:paraId="25CB7662">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1CBFB9C3">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0.039</w:t>
                  </w:r>
                </w:p>
              </w:tc>
              <w:tc>
                <w:tcPr>
                  <w:tcW w:w="782" w:type="pct"/>
                  <w:tcBorders>
                    <w:tl2br w:val="nil"/>
                    <w:tr2bl w:val="nil"/>
                  </w:tcBorders>
                  <w:vAlign w:val="center"/>
                </w:tcPr>
                <w:p w14:paraId="5C8B18B2">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+0.003</w:t>
                  </w:r>
                </w:p>
              </w:tc>
            </w:tr>
            <w:tr w14:paraId="7754C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23768E85">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4D07E64C">
                  <w:pPr>
                    <w:pStyle w:val="100"/>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氨氮</w:t>
                  </w:r>
                </w:p>
              </w:tc>
              <w:tc>
                <w:tcPr>
                  <w:tcW w:w="751" w:type="pct"/>
                  <w:tcBorders>
                    <w:tl2br w:val="nil"/>
                    <w:tr2bl w:val="nil"/>
                  </w:tcBorders>
                  <w:vAlign w:val="center"/>
                </w:tcPr>
                <w:p w14:paraId="25F8D07A">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0.018</w:t>
                  </w:r>
                </w:p>
              </w:tc>
              <w:tc>
                <w:tcPr>
                  <w:tcW w:w="779" w:type="pct"/>
                  <w:tcBorders>
                    <w:tl2br w:val="nil"/>
                    <w:tr2bl w:val="nil"/>
                  </w:tcBorders>
                  <w:vAlign w:val="center"/>
                </w:tcPr>
                <w:p w14:paraId="5CE9D1A0">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35" w:type="pct"/>
                  <w:tcBorders>
                    <w:tl2br w:val="nil"/>
                    <w:tr2bl w:val="nil"/>
                  </w:tcBorders>
                  <w:vAlign w:val="center"/>
                </w:tcPr>
                <w:p w14:paraId="31FFECB1">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3BB5F7E9">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0.018</w:t>
                  </w:r>
                </w:p>
              </w:tc>
              <w:tc>
                <w:tcPr>
                  <w:tcW w:w="782" w:type="pct"/>
                  <w:tcBorders>
                    <w:tl2br w:val="nil"/>
                    <w:tr2bl w:val="nil"/>
                  </w:tcBorders>
                  <w:vAlign w:val="center"/>
                </w:tcPr>
                <w:p w14:paraId="23D8A13B">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r>
            <w:tr w14:paraId="512C1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restart"/>
                  <w:tcBorders>
                    <w:tl2br w:val="nil"/>
                    <w:tr2bl w:val="nil"/>
                  </w:tcBorders>
                  <w:vAlign w:val="center"/>
                </w:tcPr>
                <w:p w14:paraId="46E7EDE3">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316" w:type="pct"/>
                  <w:gridSpan w:val="2"/>
                  <w:tcBorders>
                    <w:tl2br w:val="nil"/>
                    <w:tr2bl w:val="nil"/>
                  </w:tcBorders>
                  <w:vAlign w:val="center"/>
                </w:tcPr>
                <w:p w14:paraId="0F5204B5">
                  <w:pPr>
                    <w:pStyle w:val="55"/>
                    <w:ind w:left="0" w:leftChars="0" w:firstLine="0" w:firstLineChars="0"/>
                    <w:rPr>
                      <w:rFonts w:hint="default" w:ascii="Times New Roman" w:hAnsi="Times New Roman" w:eastAsia="宋体" w:cs="Times New Roman"/>
                      <w:color w:val="000000" w:themeColor="text1"/>
                      <w:lang w:val="en-US"/>
                    </w:rPr>
                  </w:pPr>
                  <w:r>
                    <w:rPr>
                      <w:rFonts w:hint="eastAsia" w:cs="Times New Roman"/>
                      <w:color w:val="000000" w:themeColor="text1"/>
                      <w:lang w:val="en-US" w:eastAsia="zh-CN"/>
                    </w:rPr>
                    <w:t>TVOC</w:t>
                  </w:r>
                </w:p>
              </w:tc>
              <w:tc>
                <w:tcPr>
                  <w:tcW w:w="751" w:type="pct"/>
                  <w:tcBorders>
                    <w:tl2br w:val="nil"/>
                    <w:tr2bl w:val="nil"/>
                  </w:tcBorders>
                  <w:vAlign w:val="center"/>
                </w:tcPr>
                <w:p w14:paraId="36DE113E">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79" w:type="pct"/>
                  <w:tcBorders>
                    <w:tl2br w:val="nil"/>
                    <w:tr2bl w:val="nil"/>
                  </w:tcBorders>
                  <w:vAlign w:val="center"/>
                </w:tcPr>
                <w:p w14:paraId="776E4AFE">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rPr>
                  </w:pPr>
                  <w:r>
                    <w:rPr>
                      <w:rFonts w:hint="eastAsia" w:ascii="Times New Roman" w:hAnsi="Times New Roman" w:eastAsia="宋体" w:cs="Times New Roman"/>
                      <w:color w:val="000000" w:themeColor="text1"/>
                      <w:sz w:val="21"/>
                      <w:szCs w:val="21"/>
                      <w:lang w:val="en-US" w:eastAsia="zh-CN"/>
                    </w:rPr>
                    <w:t>1.458</w:t>
                  </w:r>
                </w:p>
              </w:tc>
              <w:tc>
                <w:tcPr>
                  <w:tcW w:w="535" w:type="pct"/>
                  <w:tcBorders>
                    <w:tl2br w:val="nil"/>
                    <w:tr2bl w:val="nil"/>
                  </w:tcBorders>
                  <w:vAlign w:val="center"/>
                </w:tcPr>
                <w:p w14:paraId="2EA508D6">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5FAF542B">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1.458</w:t>
                  </w:r>
                </w:p>
              </w:tc>
              <w:tc>
                <w:tcPr>
                  <w:tcW w:w="782" w:type="pct"/>
                  <w:tcBorders>
                    <w:tl2br w:val="nil"/>
                    <w:tr2bl w:val="nil"/>
                  </w:tcBorders>
                  <w:vAlign w:val="center"/>
                </w:tcPr>
                <w:p w14:paraId="61710491">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+1.458</w:t>
                  </w:r>
                </w:p>
              </w:tc>
            </w:tr>
            <w:tr w14:paraId="3D5264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268FAFCE">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5A5A24E1">
                  <w:pPr>
                    <w:pStyle w:val="55"/>
                    <w:ind w:left="0" w:leftChars="0" w:firstLine="0" w:firstLineChars="0"/>
                    <w:rPr>
                      <w:rFonts w:hint="default" w:ascii="Times New Roman" w:hAnsi="Times New Roman" w:eastAsia="宋体" w:cs="Times New Roman"/>
                      <w:color w:val="000000" w:themeColor="text1"/>
                      <w:lang w:val="en-US"/>
                    </w:rPr>
                  </w:pPr>
                  <w:r>
                    <w:rPr>
                      <w:rFonts w:hint="eastAsia" w:cs="Times New Roman"/>
                      <w:color w:val="000000" w:themeColor="text1"/>
                      <w:lang w:val="en-US" w:eastAsia="zh-CN"/>
                    </w:rPr>
                    <w:t>颗粒物</w:t>
                  </w:r>
                </w:p>
              </w:tc>
              <w:tc>
                <w:tcPr>
                  <w:tcW w:w="751" w:type="pct"/>
                  <w:tcBorders>
                    <w:tl2br w:val="nil"/>
                    <w:tr2bl w:val="nil"/>
                  </w:tcBorders>
                  <w:vAlign w:val="center"/>
                </w:tcPr>
                <w:p w14:paraId="5442B0F6">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0.922</w:t>
                  </w:r>
                </w:p>
              </w:tc>
              <w:tc>
                <w:tcPr>
                  <w:tcW w:w="779" w:type="pct"/>
                  <w:tcBorders>
                    <w:tl2br w:val="nil"/>
                    <w:tr2bl w:val="nil"/>
                  </w:tcBorders>
                  <w:vAlign w:val="center"/>
                </w:tcPr>
                <w:p w14:paraId="385C6F93">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0.986</w:t>
                  </w:r>
                </w:p>
              </w:tc>
              <w:tc>
                <w:tcPr>
                  <w:tcW w:w="535" w:type="pct"/>
                  <w:tcBorders>
                    <w:tl2br w:val="nil"/>
                    <w:tr2bl w:val="nil"/>
                  </w:tcBorders>
                  <w:vAlign w:val="center"/>
                </w:tcPr>
                <w:p w14:paraId="30A6F0AF">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63F6D4F0">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1.908</w:t>
                  </w:r>
                </w:p>
              </w:tc>
              <w:tc>
                <w:tcPr>
                  <w:tcW w:w="782" w:type="pct"/>
                  <w:tcBorders>
                    <w:tl2br w:val="nil"/>
                    <w:tr2bl w:val="nil"/>
                  </w:tcBorders>
                  <w:vAlign w:val="center"/>
                </w:tcPr>
                <w:p w14:paraId="23123B39">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+0.986</w:t>
                  </w:r>
                </w:p>
              </w:tc>
            </w:tr>
            <w:tr w14:paraId="042C90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08FCB614">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70A6ABF3">
                  <w:pPr>
                    <w:pStyle w:val="55"/>
                    <w:ind w:left="0" w:leftChars="0" w:firstLine="0" w:firstLineChars="0"/>
                    <w:rPr>
                      <w:rFonts w:hint="default" w:ascii="Times New Roman" w:hAnsi="Times New Roman" w:eastAsia="宋体" w:cs="Times New Roman"/>
                      <w:color w:val="000000" w:themeColor="text1"/>
                    </w:rPr>
                  </w:pPr>
                  <w:r>
                    <w:rPr>
                      <w:rFonts w:hint="eastAsia" w:cs="Times New Roman"/>
                      <w:color w:val="000000" w:themeColor="text1"/>
                      <w:lang w:val="en-US" w:eastAsia="zh-CN"/>
                    </w:rPr>
                    <w:t>SO</w:t>
                  </w:r>
                  <w:r>
                    <w:rPr>
                      <w:rFonts w:hint="eastAsia" w:cs="Times New Roman"/>
                      <w:color w:val="000000" w:themeColor="text1"/>
                      <w:vertAlign w:val="subscript"/>
                      <w:lang w:val="en-US" w:eastAsia="zh-CN"/>
                    </w:rPr>
                    <w:t>2</w:t>
                  </w:r>
                </w:p>
              </w:tc>
              <w:tc>
                <w:tcPr>
                  <w:tcW w:w="751" w:type="pct"/>
                  <w:tcBorders>
                    <w:tl2br w:val="nil"/>
                    <w:tr2bl w:val="nil"/>
                  </w:tcBorders>
                  <w:vAlign w:val="center"/>
                </w:tcPr>
                <w:p w14:paraId="37C37A30">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0.2</w:t>
                  </w:r>
                </w:p>
              </w:tc>
              <w:tc>
                <w:tcPr>
                  <w:tcW w:w="779" w:type="pct"/>
                  <w:tcBorders>
                    <w:tl2br w:val="nil"/>
                    <w:tr2bl w:val="nil"/>
                  </w:tcBorders>
                  <w:vAlign w:val="center"/>
                </w:tcPr>
                <w:p w14:paraId="4D85026E">
                  <w:pPr>
                    <w:pStyle w:val="77"/>
                    <w:spacing w:line="240" w:lineRule="auto"/>
                    <w:ind w:firstLine="0" w:firstLineChars="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0.016</w:t>
                  </w:r>
                </w:p>
              </w:tc>
              <w:tc>
                <w:tcPr>
                  <w:tcW w:w="535" w:type="pct"/>
                  <w:tcBorders>
                    <w:tl2br w:val="nil"/>
                    <w:tr2bl w:val="nil"/>
                  </w:tcBorders>
                  <w:vAlign w:val="center"/>
                </w:tcPr>
                <w:p w14:paraId="680DF426">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5B66757F">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0.216</w:t>
                  </w:r>
                </w:p>
              </w:tc>
              <w:tc>
                <w:tcPr>
                  <w:tcW w:w="782" w:type="pct"/>
                  <w:tcBorders>
                    <w:tl2br w:val="nil"/>
                    <w:tr2bl w:val="nil"/>
                  </w:tcBorders>
                  <w:vAlign w:val="center"/>
                </w:tcPr>
                <w:p w14:paraId="01026193">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+0.016</w:t>
                  </w:r>
                </w:p>
              </w:tc>
            </w:tr>
            <w:tr w14:paraId="041B1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3057646D">
                  <w:pPr>
                    <w:pStyle w:val="55"/>
                    <w:ind w:left="0"/>
                    <w:rPr>
                      <w:rFonts w:hint="default" w:ascii="Times New Roman" w:hAnsi="Times New Roman" w:eastAsia="宋体" w:cs="Times New Roman"/>
                      <w:color w:val="000000" w:themeColor="text1"/>
                    </w:rPr>
                  </w:pPr>
                </w:p>
              </w:tc>
              <w:tc>
                <w:tcPr>
                  <w:tcW w:w="1316" w:type="pct"/>
                  <w:gridSpan w:val="2"/>
                  <w:tcBorders>
                    <w:tl2br w:val="nil"/>
                    <w:tr2bl w:val="nil"/>
                  </w:tcBorders>
                  <w:vAlign w:val="center"/>
                </w:tcPr>
                <w:p w14:paraId="6112649D">
                  <w:pPr>
                    <w:pStyle w:val="55"/>
                    <w:ind w:left="0" w:leftChars="0" w:firstLine="0" w:firstLineChars="0"/>
                    <w:rPr>
                      <w:rFonts w:hint="eastAsia" w:ascii="Times New Roman" w:hAnsi="Times New Roman" w:eastAsia="宋体" w:cs="Times New Roman"/>
                      <w:color w:val="000000" w:themeColor="text1"/>
                      <w:lang w:eastAsia="zh-CN"/>
                    </w:rPr>
                  </w:pPr>
                  <w:r>
                    <w:rPr>
                      <w:rFonts w:hint="eastAsia" w:cs="Times New Roman"/>
                      <w:color w:val="000000" w:themeColor="text1"/>
                      <w:lang w:val="en-US" w:eastAsia="zh-CN"/>
                    </w:rPr>
                    <w:t>NOx</w:t>
                  </w:r>
                </w:p>
              </w:tc>
              <w:tc>
                <w:tcPr>
                  <w:tcW w:w="751" w:type="pct"/>
                  <w:tcBorders>
                    <w:tl2br w:val="nil"/>
                    <w:tr2bl w:val="nil"/>
                  </w:tcBorders>
                  <w:vAlign w:val="center"/>
                </w:tcPr>
                <w:p w14:paraId="7E09E0C3">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1.86</w:t>
                  </w:r>
                </w:p>
              </w:tc>
              <w:tc>
                <w:tcPr>
                  <w:tcW w:w="779" w:type="pct"/>
                  <w:tcBorders>
                    <w:tl2br w:val="nil"/>
                    <w:tr2bl w:val="nil"/>
                  </w:tcBorders>
                  <w:vAlign w:val="center"/>
                </w:tcPr>
                <w:p w14:paraId="61B3D9E1">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0.075</w:t>
                  </w:r>
                </w:p>
              </w:tc>
              <w:tc>
                <w:tcPr>
                  <w:tcW w:w="535" w:type="pct"/>
                  <w:tcBorders>
                    <w:tl2br w:val="nil"/>
                    <w:tr2bl w:val="nil"/>
                  </w:tcBorders>
                  <w:vAlign w:val="center"/>
                </w:tcPr>
                <w:p w14:paraId="703A8CAE">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273E103F">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1.935</w:t>
                  </w:r>
                </w:p>
              </w:tc>
              <w:tc>
                <w:tcPr>
                  <w:tcW w:w="782" w:type="pct"/>
                  <w:tcBorders>
                    <w:tl2br w:val="nil"/>
                    <w:tr2bl w:val="nil"/>
                  </w:tcBorders>
                  <w:vAlign w:val="center"/>
                </w:tcPr>
                <w:p w14:paraId="089B7F55">
                  <w:pPr>
                    <w:pStyle w:val="77"/>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+0.075</w:t>
                  </w:r>
                </w:p>
              </w:tc>
            </w:tr>
            <w:tr w14:paraId="6BA79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restart"/>
                  <w:tcBorders>
                    <w:tl2br w:val="nil"/>
                    <w:tr2bl w:val="nil"/>
                  </w:tcBorders>
                  <w:vAlign w:val="center"/>
                </w:tcPr>
                <w:p w14:paraId="1C8AB113">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固体废物</w:t>
                  </w:r>
                </w:p>
              </w:tc>
              <w:tc>
                <w:tcPr>
                  <w:tcW w:w="440" w:type="pct"/>
                  <w:vMerge w:val="restart"/>
                  <w:tcBorders>
                    <w:tl2br w:val="nil"/>
                    <w:tr2bl w:val="nil"/>
                  </w:tcBorders>
                  <w:vAlign w:val="center"/>
                </w:tcPr>
                <w:p w14:paraId="594A2A21">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一般固废</w:t>
                  </w:r>
                </w:p>
              </w:tc>
              <w:tc>
                <w:tcPr>
                  <w:tcW w:w="875" w:type="pct"/>
                  <w:tcBorders>
                    <w:tl2br w:val="nil"/>
                    <w:tr2bl w:val="nil"/>
                  </w:tcBorders>
                  <w:vAlign w:val="center"/>
                </w:tcPr>
                <w:p w14:paraId="2AD9B8B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pacing w:val="4"/>
                      <w:sz w:val="21"/>
                      <w:szCs w:val="21"/>
                    </w:rPr>
                    <w:t>废包装袋</w:t>
                  </w:r>
                </w:p>
              </w:tc>
              <w:tc>
                <w:tcPr>
                  <w:tcW w:w="751" w:type="pct"/>
                  <w:tcBorders>
                    <w:tl2br w:val="nil"/>
                    <w:tr2bl w:val="nil"/>
                  </w:tcBorders>
                  <w:vAlign w:val="center"/>
                </w:tcPr>
                <w:p w14:paraId="7A588DCD">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0.5</w:t>
                  </w:r>
                </w:p>
              </w:tc>
              <w:tc>
                <w:tcPr>
                  <w:tcW w:w="779" w:type="pct"/>
                  <w:tcBorders>
                    <w:tl2br w:val="nil"/>
                    <w:tr2bl w:val="nil"/>
                  </w:tcBorders>
                  <w:vAlign w:val="center"/>
                </w:tcPr>
                <w:p w14:paraId="5579C6B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4"/>
                      <w:sz w:val="21"/>
                      <w:szCs w:val="21"/>
                      <w:lang w:val="en-US" w:eastAsia="zh-CN"/>
                    </w:rPr>
                    <w:t>0.2</w:t>
                  </w:r>
                </w:p>
              </w:tc>
              <w:tc>
                <w:tcPr>
                  <w:tcW w:w="535" w:type="pct"/>
                  <w:tcBorders>
                    <w:tl2br w:val="nil"/>
                    <w:tr2bl w:val="nil"/>
                  </w:tcBorders>
                  <w:vAlign w:val="center"/>
                </w:tcPr>
                <w:p w14:paraId="1DD2F678">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2850AF81">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0.7</w:t>
                  </w:r>
                </w:p>
              </w:tc>
              <w:tc>
                <w:tcPr>
                  <w:tcW w:w="782" w:type="pct"/>
                  <w:tcBorders>
                    <w:tl2br w:val="nil"/>
                    <w:tr2bl w:val="nil"/>
                  </w:tcBorders>
                  <w:vAlign w:val="center"/>
                </w:tcPr>
                <w:p w14:paraId="412B9F67">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w:t>
                  </w:r>
                </w:p>
              </w:tc>
            </w:tr>
            <w:tr w14:paraId="3EB24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35C5227A">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4B0C1AF3">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0BAB48DC">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不合格品以及边角料</w:t>
                  </w:r>
                </w:p>
              </w:tc>
              <w:tc>
                <w:tcPr>
                  <w:tcW w:w="751" w:type="pct"/>
                  <w:tcBorders>
                    <w:tl2br w:val="nil"/>
                    <w:tr2bl w:val="nil"/>
                  </w:tcBorders>
                  <w:vAlign w:val="center"/>
                </w:tcPr>
                <w:p w14:paraId="5C525624">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79" w:type="pct"/>
                  <w:tcBorders>
                    <w:tl2br w:val="nil"/>
                    <w:tr2bl w:val="nil"/>
                  </w:tcBorders>
                  <w:vAlign w:val="center"/>
                </w:tcPr>
                <w:p w14:paraId="6E72F08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p>
              </w:tc>
              <w:tc>
                <w:tcPr>
                  <w:tcW w:w="535" w:type="pct"/>
                  <w:tcBorders>
                    <w:tl2br w:val="nil"/>
                    <w:tr2bl w:val="nil"/>
                  </w:tcBorders>
                  <w:vAlign w:val="center"/>
                </w:tcPr>
                <w:p w14:paraId="69B18DA4">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672BEA3E">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p>
              </w:tc>
              <w:tc>
                <w:tcPr>
                  <w:tcW w:w="782" w:type="pct"/>
                  <w:tcBorders>
                    <w:tl2br w:val="nil"/>
                    <w:tr2bl w:val="nil"/>
                  </w:tcBorders>
                  <w:vAlign w:val="center"/>
                </w:tcPr>
                <w:p w14:paraId="5A1BAD52">
                  <w:pPr>
                    <w:pStyle w:val="55"/>
                    <w:ind w:left="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p>
              </w:tc>
            </w:tr>
            <w:tr w14:paraId="19CDF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36255774">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15B68872">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1D69964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spacing w:val="4"/>
                      <w:sz w:val="21"/>
                      <w:szCs w:val="21"/>
                    </w:rPr>
                    <w:t>布袋除尘器收集的粉尘</w:t>
                  </w:r>
                </w:p>
              </w:tc>
              <w:tc>
                <w:tcPr>
                  <w:tcW w:w="751" w:type="pct"/>
                  <w:tcBorders>
                    <w:tl2br w:val="nil"/>
                    <w:tr2bl w:val="nil"/>
                  </w:tcBorders>
                  <w:vAlign w:val="center"/>
                </w:tcPr>
                <w:p w14:paraId="6357BB36">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50</w:t>
                  </w:r>
                </w:p>
              </w:tc>
              <w:tc>
                <w:tcPr>
                  <w:tcW w:w="779" w:type="pct"/>
                  <w:tcBorders>
                    <w:tl2br w:val="nil"/>
                    <w:tr2bl w:val="nil"/>
                  </w:tcBorders>
                  <w:vAlign w:val="center"/>
                </w:tcPr>
                <w:p w14:paraId="126C1AA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sz w:val="21"/>
                      <w:szCs w:val="21"/>
                      <w:lang w:eastAsia="zh-CN"/>
                    </w:rPr>
                  </w:pPr>
                  <w:r>
                    <w:rPr>
                      <w:rFonts w:hint="eastAsia" w:ascii="Times New Roman" w:hAnsi="Times New Roman" w:eastAsia="宋体" w:cs="Times New Roman"/>
                      <w:color w:val="000000" w:themeColor="text1"/>
                      <w:spacing w:val="4"/>
                      <w:sz w:val="21"/>
                      <w:szCs w:val="21"/>
                      <w:lang w:val="en-US" w:eastAsia="zh-CN"/>
                    </w:rPr>
                    <w:t>15.53</w:t>
                  </w:r>
                </w:p>
              </w:tc>
              <w:tc>
                <w:tcPr>
                  <w:tcW w:w="535" w:type="pct"/>
                  <w:tcBorders>
                    <w:tl2br w:val="nil"/>
                    <w:tr2bl w:val="nil"/>
                  </w:tcBorders>
                  <w:vAlign w:val="center"/>
                </w:tcPr>
                <w:p w14:paraId="2B80C4E5">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22CF184B">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65.53</w:t>
                  </w:r>
                </w:p>
              </w:tc>
              <w:tc>
                <w:tcPr>
                  <w:tcW w:w="782" w:type="pct"/>
                  <w:tcBorders>
                    <w:tl2br w:val="nil"/>
                    <w:tr2bl w:val="nil"/>
                  </w:tcBorders>
                  <w:vAlign w:val="center"/>
                </w:tcPr>
                <w:p w14:paraId="2F083534">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+15.53</w:t>
                  </w:r>
                </w:p>
              </w:tc>
            </w:tr>
            <w:tr w14:paraId="1CD17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0FA78A94">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20C921B4">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721410A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pacing w:val="4"/>
                      <w:sz w:val="21"/>
                      <w:szCs w:val="21"/>
                    </w:rPr>
                    <w:t>废布袋</w:t>
                  </w:r>
                </w:p>
              </w:tc>
              <w:tc>
                <w:tcPr>
                  <w:tcW w:w="751" w:type="pct"/>
                  <w:tcBorders>
                    <w:tl2br w:val="nil"/>
                    <w:tr2bl w:val="nil"/>
                  </w:tcBorders>
                  <w:vAlign w:val="center"/>
                </w:tcPr>
                <w:p w14:paraId="30D54283">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0.7</w:t>
                  </w:r>
                </w:p>
              </w:tc>
              <w:tc>
                <w:tcPr>
                  <w:tcW w:w="779" w:type="pct"/>
                  <w:tcBorders>
                    <w:tl2br w:val="nil"/>
                    <w:tr2bl w:val="nil"/>
                  </w:tcBorders>
                  <w:vAlign w:val="center"/>
                </w:tcPr>
                <w:p w14:paraId="1F9D763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eastAsia="宋体" w:cs="Times New Roman"/>
                      <w:color w:val="000000" w:themeColor="text1"/>
                      <w:spacing w:val="4"/>
                      <w:sz w:val="21"/>
                      <w:szCs w:val="21"/>
                      <w:lang w:val="en-US" w:eastAsia="zh-CN"/>
                    </w:rPr>
                    <w:t>5</w:t>
                  </w:r>
                </w:p>
              </w:tc>
              <w:tc>
                <w:tcPr>
                  <w:tcW w:w="535" w:type="pct"/>
                  <w:tcBorders>
                    <w:tl2br w:val="nil"/>
                    <w:tr2bl w:val="nil"/>
                  </w:tcBorders>
                  <w:vAlign w:val="center"/>
                </w:tcPr>
                <w:p w14:paraId="70B39ED5">
                  <w:pPr>
                    <w:pStyle w:val="55"/>
                    <w:ind w:left="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07411FBC">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1.2</w:t>
                  </w:r>
                </w:p>
              </w:tc>
              <w:tc>
                <w:tcPr>
                  <w:tcW w:w="782" w:type="pct"/>
                  <w:tcBorders>
                    <w:tl2br w:val="nil"/>
                    <w:tr2bl w:val="nil"/>
                  </w:tcBorders>
                  <w:vAlign w:val="center"/>
                </w:tcPr>
                <w:p w14:paraId="2E436EFE">
                  <w:pPr>
                    <w:pStyle w:val="55"/>
                    <w:ind w:left="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+0.5</w:t>
                  </w:r>
                </w:p>
              </w:tc>
            </w:tr>
            <w:tr w14:paraId="2400A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19B826DD">
                  <w:pPr>
                    <w:pStyle w:val="55"/>
                    <w:ind w:left="0"/>
                    <w:rPr>
                      <w:rFonts w:hint="default" w:ascii="Times New Roman" w:hAnsi="Times New Roman" w:eastAsia="宋体" w:cs="Times New Roman"/>
                      <w:color w:val="000000" w:themeColor="text1"/>
                    </w:rPr>
                  </w:pPr>
                </w:p>
              </w:tc>
              <w:tc>
                <w:tcPr>
                  <w:tcW w:w="440" w:type="pct"/>
                  <w:vMerge w:val="restart"/>
                  <w:tcBorders>
                    <w:tl2br w:val="nil"/>
                    <w:tr2bl w:val="nil"/>
                  </w:tcBorders>
                  <w:vAlign w:val="center"/>
                </w:tcPr>
                <w:p w14:paraId="2798D8E1">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危险废物</w:t>
                  </w:r>
                </w:p>
              </w:tc>
              <w:tc>
                <w:tcPr>
                  <w:tcW w:w="875" w:type="pct"/>
                  <w:tcBorders>
                    <w:tl2br w:val="nil"/>
                    <w:tr2bl w:val="nil"/>
                  </w:tcBorders>
                  <w:vAlign w:val="center"/>
                </w:tcPr>
                <w:p w14:paraId="4A17F2B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spacing w:val="4"/>
                      <w:sz w:val="21"/>
                      <w:szCs w:val="21"/>
                      <w:lang w:eastAsia="zh-CN"/>
                    </w:rPr>
                    <w:t>废润滑油</w:t>
                  </w:r>
                </w:p>
              </w:tc>
              <w:tc>
                <w:tcPr>
                  <w:tcW w:w="751" w:type="pct"/>
                  <w:tcBorders>
                    <w:tl2br w:val="nil"/>
                    <w:tr2bl w:val="nil"/>
                  </w:tcBorders>
                  <w:vAlign w:val="center"/>
                </w:tcPr>
                <w:p w14:paraId="3BD6D6D2">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w:t>
                  </w:r>
                </w:p>
              </w:tc>
              <w:tc>
                <w:tcPr>
                  <w:tcW w:w="779" w:type="pct"/>
                  <w:tcBorders>
                    <w:tl2br w:val="nil"/>
                    <w:tr2bl w:val="nil"/>
                  </w:tcBorders>
                  <w:vAlign w:val="center"/>
                </w:tcPr>
                <w:p w14:paraId="0E9895C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p>
              </w:tc>
              <w:tc>
                <w:tcPr>
                  <w:tcW w:w="535" w:type="pct"/>
                  <w:tcBorders>
                    <w:tl2br w:val="nil"/>
                    <w:tr2bl w:val="nil"/>
                  </w:tcBorders>
                  <w:vAlign w:val="center"/>
                </w:tcPr>
                <w:p w14:paraId="3654BB4A">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2254FC14">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0.4</w:t>
                  </w:r>
                </w:p>
              </w:tc>
              <w:tc>
                <w:tcPr>
                  <w:tcW w:w="782" w:type="pct"/>
                  <w:tcBorders>
                    <w:tl2br w:val="nil"/>
                    <w:tr2bl w:val="nil"/>
                  </w:tcBorders>
                  <w:vAlign w:val="center"/>
                </w:tcPr>
                <w:p w14:paraId="6D6A898C">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+0.2</w:t>
                  </w:r>
                </w:p>
              </w:tc>
            </w:tr>
            <w:tr w14:paraId="6BAAA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2CA93139">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21715511">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61850DF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spacing w:val="4"/>
                      <w:sz w:val="21"/>
                      <w:szCs w:val="21"/>
                      <w:lang w:eastAsia="zh-CN"/>
                    </w:rPr>
                    <w:t>废润滑油桶</w:t>
                  </w:r>
                </w:p>
              </w:tc>
              <w:tc>
                <w:tcPr>
                  <w:tcW w:w="751" w:type="pct"/>
                  <w:tcBorders>
                    <w:tl2br w:val="nil"/>
                    <w:tr2bl w:val="nil"/>
                  </w:tcBorders>
                  <w:vAlign w:val="center"/>
                </w:tcPr>
                <w:p w14:paraId="5532A499">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0.1</w:t>
                  </w:r>
                </w:p>
              </w:tc>
              <w:tc>
                <w:tcPr>
                  <w:tcW w:w="779" w:type="pct"/>
                  <w:tcBorders>
                    <w:tl2br w:val="nil"/>
                    <w:tr2bl w:val="nil"/>
                  </w:tcBorders>
                  <w:vAlign w:val="center"/>
                </w:tcPr>
                <w:p w14:paraId="75B4EAF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eastAsia="宋体" w:cs="Times New Roman"/>
                      <w:color w:val="000000" w:themeColor="text1"/>
                      <w:sz w:val="21"/>
                      <w:szCs w:val="2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p>
              </w:tc>
              <w:tc>
                <w:tcPr>
                  <w:tcW w:w="535" w:type="pct"/>
                  <w:tcBorders>
                    <w:tl2br w:val="nil"/>
                    <w:tr2bl w:val="nil"/>
                  </w:tcBorders>
                  <w:vAlign w:val="center"/>
                </w:tcPr>
                <w:p w14:paraId="09642A64">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6F601351">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0.2</w:t>
                  </w:r>
                </w:p>
              </w:tc>
              <w:tc>
                <w:tcPr>
                  <w:tcW w:w="782" w:type="pct"/>
                  <w:tcBorders>
                    <w:tl2br w:val="nil"/>
                    <w:tr2bl w:val="nil"/>
                  </w:tcBorders>
                  <w:vAlign w:val="center"/>
                </w:tcPr>
                <w:p w14:paraId="2E6396F0">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+0.1</w:t>
                  </w:r>
                </w:p>
              </w:tc>
            </w:tr>
            <w:tr w14:paraId="34163B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1CDEA10A">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4616D5D6">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116B2D9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eastAsia" w:ascii="Times New Roman" w:hAnsi="Times New Roman" w:cs="Times New Roman"/>
                      <w:color w:val="000000" w:themeColor="text1"/>
                      <w:spacing w:val="4"/>
                      <w:sz w:val="21"/>
                      <w:szCs w:val="21"/>
                      <w:lang w:val="en-US" w:eastAsia="zh-CN"/>
                    </w:rPr>
                    <w:t>废冷凝液</w:t>
                  </w:r>
                </w:p>
              </w:tc>
              <w:tc>
                <w:tcPr>
                  <w:tcW w:w="751" w:type="pct"/>
                  <w:tcBorders>
                    <w:tl2br w:val="nil"/>
                    <w:tr2bl w:val="nil"/>
                  </w:tcBorders>
                  <w:vAlign w:val="center"/>
                </w:tcPr>
                <w:p w14:paraId="5A68AE06">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79" w:type="pct"/>
                  <w:tcBorders>
                    <w:tl2br w:val="nil"/>
                    <w:tr2bl w:val="nil"/>
                  </w:tcBorders>
                  <w:vAlign w:val="center"/>
                </w:tcPr>
                <w:p w14:paraId="0EA50215">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2.187</w:t>
                  </w:r>
                </w:p>
              </w:tc>
              <w:tc>
                <w:tcPr>
                  <w:tcW w:w="535" w:type="pct"/>
                  <w:tcBorders>
                    <w:tl2br w:val="nil"/>
                    <w:tr2bl w:val="nil"/>
                  </w:tcBorders>
                  <w:vAlign w:val="center"/>
                </w:tcPr>
                <w:p w14:paraId="478AD65C">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30412C0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2.187</w:t>
                  </w:r>
                </w:p>
              </w:tc>
              <w:tc>
                <w:tcPr>
                  <w:tcW w:w="782" w:type="pct"/>
                  <w:tcBorders>
                    <w:tl2br w:val="nil"/>
                    <w:tr2bl w:val="nil"/>
                  </w:tcBorders>
                  <w:vAlign w:val="center"/>
                </w:tcPr>
                <w:p w14:paraId="10C8989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sz w:val="21"/>
                      <w:szCs w:val="21"/>
                      <w:lang w:val="en-US" w:eastAsia="zh-CN"/>
                    </w:rPr>
                  </w:pPr>
                  <w:r>
                    <w:rPr>
                      <w:rFonts w:hint="eastAsia" w:ascii="Times New Roman" w:hAnsi="Times New Roman" w:cs="Times New Roman"/>
                      <w:color w:val="000000" w:themeColor="text1"/>
                      <w:spacing w:val="4"/>
                      <w:sz w:val="21"/>
                      <w:szCs w:val="21"/>
                      <w:lang w:val="en-US" w:eastAsia="zh-CN"/>
                    </w:rPr>
                    <w:t>+</w:t>
                  </w:r>
                  <w:r>
                    <w:rPr>
                      <w:rFonts w:hint="eastAsia" w:ascii="Times New Roman" w:hAnsi="Times New Roman" w:eastAsia="宋体" w:cs="Times New Roman"/>
                      <w:color w:val="000000" w:themeColor="text1"/>
                      <w:spacing w:val="4"/>
                      <w:sz w:val="21"/>
                      <w:szCs w:val="21"/>
                      <w:lang w:val="en-US" w:eastAsia="zh-CN"/>
                    </w:rPr>
                    <w:t>2.187</w:t>
                  </w:r>
                </w:p>
              </w:tc>
            </w:tr>
            <w:tr w14:paraId="51997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 w:type="pct"/>
                  <w:vMerge w:val="continue"/>
                  <w:tcBorders>
                    <w:tl2br w:val="nil"/>
                    <w:tr2bl w:val="nil"/>
                  </w:tcBorders>
                  <w:vAlign w:val="center"/>
                </w:tcPr>
                <w:p w14:paraId="6F720FB2">
                  <w:pPr>
                    <w:pStyle w:val="55"/>
                    <w:ind w:left="0"/>
                    <w:rPr>
                      <w:rFonts w:hint="default" w:ascii="Times New Roman" w:hAnsi="Times New Roman" w:eastAsia="宋体" w:cs="Times New Roman"/>
                      <w:color w:val="000000" w:themeColor="text1"/>
                    </w:rPr>
                  </w:pPr>
                </w:p>
              </w:tc>
              <w:tc>
                <w:tcPr>
                  <w:tcW w:w="440" w:type="pct"/>
                  <w:vMerge w:val="continue"/>
                  <w:tcBorders>
                    <w:tl2br w:val="nil"/>
                    <w:tr2bl w:val="nil"/>
                  </w:tcBorders>
                  <w:vAlign w:val="center"/>
                </w:tcPr>
                <w:p w14:paraId="0D486892">
                  <w:pPr>
                    <w:pStyle w:val="55"/>
                    <w:ind w:left="0"/>
                    <w:rPr>
                      <w:rFonts w:hint="default" w:ascii="Times New Roman" w:hAnsi="Times New Roman" w:eastAsia="宋体" w:cs="Times New Roman"/>
                      <w:color w:val="000000" w:themeColor="text1"/>
                    </w:rPr>
                  </w:pPr>
                </w:p>
              </w:tc>
              <w:tc>
                <w:tcPr>
                  <w:tcW w:w="875" w:type="pct"/>
                  <w:tcBorders>
                    <w:tl2br w:val="nil"/>
                    <w:tr2bl w:val="nil"/>
                  </w:tcBorders>
                  <w:vAlign w:val="center"/>
                </w:tcPr>
                <w:p w14:paraId="52D6B5B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废活性炭</w:t>
                  </w:r>
                </w:p>
              </w:tc>
              <w:tc>
                <w:tcPr>
                  <w:tcW w:w="751" w:type="pct"/>
                  <w:tcBorders>
                    <w:tl2br w:val="nil"/>
                    <w:tr2bl w:val="nil"/>
                  </w:tcBorders>
                  <w:vAlign w:val="center"/>
                </w:tcPr>
                <w:p w14:paraId="7AD65D34">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779" w:type="pct"/>
                  <w:tcBorders>
                    <w:tl2br w:val="nil"/>
                    <w:tr2bl w:val="nil"/>
                  </w:tcBorders>
                  <w:vAlign w:val="center"/>
                </w:tcPr>
                <w:p w14:paraId="1F754BF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3.105</w:t>
                  </w:r>
                </w:p>
              </w:tc>
              <w:tc>
                <w:tcPr>
                  <w:tcW w:w="535" w:type="pct"/>
                  <w:tcBorders>
                    <w:tl2br w:val="nil"/>
                    <w:tr2bl w:val="nil"/>
                  </w:tcBorders>
                  <w:vAlign w:val="center"/>
                </w:tcPr>
                <w:p w14:paraId="711DE20F">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579" w:type="pct"/>
                  <w:tcBorders>
                    <w:tl2br w:val="nil"/>
                    <w:tr2bl w:val="nil"/>
                  </w:tcBorders>
                  <w:vAlign w:val="center"/>
                </w:tcPr>
                <w:p w14:paraId="48C9F15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pacing w:val="4"/>
                      <w:sz w:val="21"/>
                      <w:szCs w:val="21"/>
                      <w:lang w:val="en-US" w:eastAsia="zh-CN"/>
                    </w:rPr>
                    <w:t>3.105</w:t>
                  </w:r>
                </w:p>
              </w:tc>
              <w:tc>
                <w:tcPr>
                  <w:tcW w:w="782" w:type="pct"/>
                  <w:tcBorders>
                    <w:tl2br w:val="nil"/>
                    <w:tr2bl w:val="nil"/>
                  </w:tcBorders>
                  <w:vAlign w:val="center"/>
                </w:tcPr>
                <w:p w14:paraId="1809451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spacing w:val="4"/>
                      <w:sz w:val="21"/>
                      <w:szCs w:val="21"/>
                      <w:lang w:val="en-US" w:eastAsia="zh-CN"/>
                    </w:rPr>
                    <w:t>+</w:t>
                  </w:r>
                  <w:r>
                    <w:rPr>
                      <w:rFonts w:hint="eastAsia" w:ascii="Times New Roman" w:hAnsi="Times New Roman" w:eastAsia="宋体" w:cs="Times New Roman"/>
                      <w:color w:val="000000" w:themeColor="text1"/>
                      <w:spacing w:val="4"/>
                      <w:sz w:val="21"/>
                      <w:szCs w:val="21"/>
                      <w:lang w:val="en-US" w:eastAsia="zh-CN"/>
                    </w:rPr>
                    <w:t>3.105</w:t>
                  </w:r>
                </w:p>
              </w:tc>
            </w:tr>
          </w:tbl>
          <w:p w14:paraId="0688B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outlineLvl w:val="9"/>
              <w:rPr>
                <w:rFonts w:hint="default" w:ascii="Times New Roman" w:hAnsi="Times New Roman" w:eastAsia="宋体" w:cs="Times New Roman"/>
                <w:b/>
                <w:bCs/>
                <w:color w:val="000000" w:themeColor="text1"/>
                <w:sz w:val="24"/>
                <w:szCs w:val="24"/>
                <w:lang w:val="en-US" w:eastAsia="zh-CN"/>
              </w:rPr>
            </w:pPr>
            <w:r>
              <w:rPr>
                <w:rFonts w:hint="default" w:ascii="Times New Roman" w:hAnsi="Times New Roman" w:eastAsia="宋体" w:cs="Times New Roman"/>
                <w:b/>
                <w:bCs/>
                <w:color w:val="000000" w:themeColor="text1"/>
                <w:sz w:val="24"/>
                <w:szCs w:val="24"/>
                <w:lang w:val="en-US" w:eastAsia="zh-CN"/>
              </w:rPr>
              <w:t>5、地下水、土壤环境影响分析</w:t>
            </w:r>
          </w:p>
          <w:p w14:paraId="14904667">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lang w:val="zh-CN" w:eastAsia="zh-CN"/>
              </w:rPr>
            </w:pPr>
            <w:r>
              <w:rPr>
                <w:rFonts w:hint="default"/>
                <w:color w:val="000000" w:themeColor="text1"/>
                <w:sz w:val="24"/>
              </w:rPr>
              <w:t>本项目为</w:t>
            </w:r>
            <w:r>
              <w:rPr>
                <w:rFonts w:hint="eastAsia"/>
                <w:color w:val="000000" w:themeColor="text1"/>
                <w:sz w:val="24"/>
                <w:lang w:val="en-US" w:eastAsia="zh-CN"/>
              </w:rPr>
              <w:t>塑料零件及其他塑料制品制造以及非金属废料和碎屑加工处理</w:t>
            </w:r>
            <w:r>
              <w:rPr>
                <w:rFonts w:hint="default"/>
                <w:color w:val="000000" w:themeColor="text1"/>
                <w:sz w:val="24"/>
              </w:rPr>
              <w:t>企业，根据《环境影响评价技术导则</w:t>
            </w:r>
            <w:r>
              <w:rPr>
                <w:rFonts w:hint="eastAsia"/>
                <w:color w:val="000000" w:themeColor="text1"/>
                <w:sz w:val="24"/>
                <w:lang w:val="en-US" w:eastAsia="zh-CN"/>
              </w:rPr>
              <w:t>-</w:t>
            </w:r>
            <w:r>
              <w:rPr>
                <w:rFonts w:hint="default"/>
                <w:color w:val="000000" w:themeColor="text1"/>
                <w:sz w:val="24"/>
              </w:rPr>
              <w:t>总纲》（HJ2.1-2016）以及《环境影响评价技术导则</w:t>
            </w:r>
            <w:r>
              <w:rPr>
                <w:rFonts w:hint="eastAsia"/>
                <w:color w:val="000000" w:themeColor="text1"/>
                <w:sz w:val="24"/>
                <w:lang w:val="en-US" w:eastAsia="zh-CN"/>
              </w:rPr>
              <w:t>-</w:t>
            </w:r>
            <w:r>
              <w:rPr>
                <w:rFonts w:hint="default"/>
                <w:color w:val="000000" w:themeColor="text1"/>
                <w:sz w:val="24"/>
              </w:rPr>
              <w:t>地下水环境》（HJ610-2016）（以下简称</w:t>
            </w:r>
            <w:r>
              <w:rPr>
                <w:rFonts w:hint="eastAsia"/>
                <w:color w:val="000000" w:themeColor="text1"/>
                <w:sz w:val="24"/>
              </w:rPr>
              <w:t>“</w:t>
            </w:r>
            <w:r>
              <w:rPr>
                <w:rFonts w:hint="default"/>
                <w:color w:val="000000" w:themeColor="text1"/>
                <w:sz w:val="24"/>
              </w:rPr>
              <w:t>地下水导则</w:t>
            </w:r>
            <w:r>
              <w:rPr>
                <w:rFonts w:hint="eastAsia"/>
                <w:color w:val="000000" w:themeColor="text1"/>
                <w:sz w:val="24"/>
              </w:rPr>
              <w:t>”</w:t>
            </w:r>
            <w:r>
              <w:rPr>
                <w:rFonts w:hint="default"/>
                <w:color w:val="000000" w:themeColor="text1"/>
                <w:sz w:val="24"/>
              </w:rPr>
              <w:t>）的要求，可确定本项目</w:t>
            </w:r>
            <w:r>
              <w:rPr>
                <w:rFonts w:hint="eastAsia"/>
                <w:color w:val="000000" w:themeColor="text1"/>
                <w:sz w:val="24"/>
                <w:lang w:eastAsia="zh-CN"/>
              </w:rPr>
              <w:t>属于</w:t>
            </w:r>
            <w:r>
              <w:rPr>
                <w:rFonts w:hint="eastAsia"/>
                <w:color w:val="000000" w:themeColor="text1"/>
                <w:sz w:val="24"/>
                <w:lang w:val="en-US" w:eastAsia="zh-CN"/>
              </w:rPr>
              <w:t>“N 轻工 116、塑料制品制造”中的“其他”，</w:t>
            </w:r>
            <w:r>
              <w:rPr>
                <w:rFonts w:hint="default"/>
                <w:color w:val="000000" w:themeColor="text1"/>
                <w:sz w:val="24"/>
              </w:rPr>
              <w:t>地下水环境影响评价类项目。本项目位于江西省</w:t>
            </w:r>
            <w:r>
              <w:rPr>
                <w:rFonts w:hint="eastAsia"/>
                <w:color w:val="000000" w:themeColor="text1"/>
                <w:sz w:val="24"/>
                <w:lang w:val="en-US" w:eastAsia="zh-CN"/>
              </w:rPr>
              <w:t>九江市柴桑区赤湖工业园</w:t>
            </w:r>
            <w:r>
              <w:rPr>
                <w:rFonts w:hint="default"/>
                <w:color w:val="000000" w:themeColor="text1"/>
                <w:sz w:val="24"/>
              </w:rPr>
              <w:t>，不位于集中式饮用水水源保护区等环境敏感区、集中式饮用水水源保护区以外补给径流区、未划定准保护区的集中式饮用水源其保护区以外的补给径流区。根据《环境影响评价技术导则</w:t>
            </w:r>
            <w:r>
              <w:rPr>
                <w:rFonts w:hint="eastAsia"/>
                <w:color w:val="000000" w:themeColor="text1"/>
                <w:sz w:val="24"/>
                <w:lang w:val="en-US" w:eastAsia="zh-CN"/>
              </w:rPr>
              <w:t>-</w:t>
            </w:r>
            <w:r>
              <w:rPr>
                <w:rFonts w:hint="default"/>
                <w:color w:val="000000" w:themeColor="text1"/>
                <w:sz w:val="24"/>
              </w:rPr>
              <w:t>地下水环境》（HJ</w:t>
            </w:r>
            <w:r>
              <w:rPr>
                <w:rFonts w:hint="eastAsia"/>
                <w:color w:val="000000" w:themeColor="text1"/>
                <w:sz w:val="24"/>
                <w:lang w:val="en-US" w:eastAsia="zh-CN"/>
              </w:rPr>
              <w:t xml:space="preserve"> </w:t>
            </w:r>
            <w:r>
              <w:rPr>
                <w:rFonts w:hint="default"/>
                <w:color w:val="000000" w:themeColor="text1"/>
                <w:sz w:val="24"/>
              </w:rPr>
              <w:t>610-2016），类项目无需开展地下水评价。</w:t>
            </w:r>
          </w:p>
          <w:p w14:paraId="225D5337">
            <w:pPr>
              <w:keepNext w:val="0"/>
              <w:keepLines w:val="0"/>
              <w:suppressLineNumbers w:val="0"/>
              <w:bidi w:val="0"/>
              <w:spacing w:before="0" w:beforeAutospacing="0" w:after="0" w:afterAutospacing="0"/>
              <w:ind w:left="0" w:right="0" w:firstLine="480" w:firstLineChars="200"/>
              <w:rPr>
                <w:rFonts w:hint="eastAsia"/>
                <w:color w:val="000000" w:themeColor="text1"/>
                <w:lang w:val="en-US" w:eastAsia="zh-CN"/>
              </w:rPr>
            </w:pPr>
            <w:r>
              <w:rPr>
                <w:rFonts w:hint="eastAsia"/>
                <w:color w:val="000000" w:themeColor="text1"/>
                <w:lang w:val="en-US" w:eastAsia="zh-CN"/>
              </w:rPr>
              <w:t>本项目位于</w:t>
            </w:r>
            <w:r>
              <w:rPr>
                <w:rFonts w:hint="default"/>
                <w:color w:val="000000" w:themeColor="text1"/>
                <w:sz w:val="24"/>
              </w:rPr>
              <w:t>江西省</w:t>
            </w:r>
            <w:r>
              <w:rPr>
                <w:rFonts w:hint="eastAsia"/>
                <w:color w:val="000000" w:themeColor="text1"/>
                <w:sz w:val="24"/>
                <w:lang w:val="en-US" w:eastAsia="zh-CN"/>
              </w:rPr>
              <w:t>九江市柴桑区赤湖工业园</w:t>
            </w:r>
            <w:r>
              <w:rPr>
                <w:rFonts w:hint="default"/>
                <w:color w:val="000000" w:themeColor="text1"/>
                <w:sz w:val="24"/>
              </w:rPr>
              <w:t>，</w:t>
            </w:r>
            <w:r>
              <w:rPr>
                <w:rFonts w:hint="eastAsia"/>
                <w:color w:val="000000" w:themeColor="text1"/>
                <w:lang w:val="en-US" w:eastAsia="zh-CN"/>
              </w:rPr>
              <w:t>占地面积约为15100m</w:t>
            </w:r>
            <w:r>
              <w:rPr>
                <w:rFonts w:hint="eastAsia"/>
                <w:color w:val="000000" w:themeColor="text1"/>
                <w:vertAlign w:val="superscript"/>
                <w:lang w:val="en-US" w:eastAsia="zh-CN"/>
              </w:rPr>
              <w:t>2</w:t>
            </w:r>
            <w:r>
              <w:rPr>
                <w:rFonts w:hint="eastAsia"/>
                <w:color w:val="000000" w:themeColor="text1"/>
                <w:lang w:val="en-US" w:eastAsia="zh-CN"/>
              </w:rPr>
              <w:t>，占地规模为小型（≤</w:t>
            </w:r>
            <w:r>
              <w:rPr>
                <w:rFonts w:hint="default"/>
                <w:color w:val="000000" w:themeColor="text1"/>
                <w:lang w:val="en-US" w:eastAsia="zh-CN"/>
              </w:rPr>
              <w:t>5hm</w:t>
            </w:r>
            <w:r>
              <w:rPr>
                <w:rFonts w:hint="default"/>
                <w:color w:val="000000" w:themeColor="text1"/>
                <w:vertAlign w:val="superscript"/>
                <w:lang w:val="en-US" w:eastAsia="zh-CN"/>
              </w:rPr>
              <w:t>2</w:t>
            </w:r>
            <w:r>
              <w:rPr>
                <w:rFonts w:hint="eastAsia"/>
                <w:color w:val="000000" w:themeColor="text1"/>
                <w:lang w:val="en-US" w:eastAsia="zh-CN"/>
              </w:rPr>
              <w:t>），项目周围主要为道路、空置厂房及空地，土壤环境敏感程度属于不敏感。根据</w:t>
            </w:r>
            <w:r>
              <w:rPr>
                <w:rFonts w:hint="default"/>
                <w:color w:val="000000" w:themeColor="text1"/>
                <w:sz w:val="24"/>
              </w:rPr>
              <w:t>《环境影响评价技术导则</w:t>
            </w:r>
            <w:r>
              <w:rPr>
                <w:rFonts w:hint="eastAsia"/>
                <w:color w:val="000000" w:themeColor="text1"/>
                <w:sz w:val="24"/>
                <w:lang w:val="en-US" w:eastAsia="zh-CN"/>
              </w:rPr>
              <w:t>-土壤</w:t>
            </w:r>
            <w:r>
              <w:rPr>
                <w:rFonts w:hint="default"/>
                <w:color w:val="000000" w:themeColor="text1"/>
                <w:sz w:val="24"/>
              </w:rPr>
              <w:t>环境</w:t>
            </w:r>
            <w:r>
              <w:rPr>
                <w:rFonts w:hint="eastAsia"/>
                <w:color w:val="000000" w:themeColor="text1"/>
                <w:sz w:val="24"/>
                <w:lang w:eastAsia="zh-CN"/>
              </w:rPr>
              <w:t>（</w:t>
            </w:r>
            <w:r>
              <w:rPr>
                <w:rFonts w:hint="eastAsia"/>
                <w:color w:val="000000" w:themeColor="text1"/>
                <w:sz w:val="24"/>
                <w:lang w:val="en-US" w:eastAsia="zh-CN"/>
              </w:rPr>
              <w:t>试行</w:t>
            </w:r>
            <w:r>
              <w:rPr>
                <w:rFonts w:hint="eastAsia"/>
                <w:color w:val="000000" w:themeColor="text1"/>
                <w:sz w:val="24"/>
                <w:lang w:eastAsia="zh-CN"/>
              </w:rPr>
              <w:t>）</w:t>
            </w:r>
            <w:r>
              <w:rPr>
                <w:rFonts w:hint="default"/>
                <w:color w:val="000000" w:themeColor="text1"/>
                <w:sz w:val="24"/>
              </w:rPr>
              <w:t>》（HJ</w:t>
            </w:r>
            <w:r>
              <w:rPr>
                <w:rFonts w:hint="eastAsia"/>
                <w:color w:val="000000" w:themeColor="text1"/>
                <w:sz w:val="24"/>
                <w:lang w:val="en-US" w:eastAsia="zh-CN"/>
              </w:rPr>
              <w:t xml:space="preserve"> 964</w:t>
            </w:r>
            <w:r>
              <w:rPr>
                <w:rFonts w:hint="default"/>
                <w:color w:val="000000" w:themeColor="text1"/>
                <w:sz w:val="24"/>
              </w:rPr>
              <w:t>-201</w:t>
            </w:r>
            <w:r>
              <w:rPr>
                <w:rFonts w:hint="eastAsia"/>
                <w:color w:val="000000" w:themeColor="text1"/>
                <w:sz w:val="24"/>
                <w:lang w:val="en-US" w:eastAsia="zh-CN"/>
              </w:rPr>
              <w:t>8</w:t>
            </w:r>
            <w:r>
              <w:rPr>
                <w:rFonts w:hint="default"/>
                <w:color w:val="000000" w:themeColor="text1"/>
                <w:sz w:val="24"/>
              </w:rPr>
              <w:t>）</w:t>
            </w:r>
            <w:r>
              <w:rPr>
                <w:rFonts w:hint="eastAsia"/>
                <w:color w:val="000000" w:themeColor="text1"/>
                <w:lang w:val="en-US" w:eastAsia="zh-CN"/>
              </w:rPr>
              <w:t>，本项目属于附录A.1中“其他行业”，属于</w:t>
            </w:r>
            <w:r>
              <w:rPr>
                <w:rFonts w:hint="eastAsia" w:ascii="宋体" w:hAnsi="宋体" w:cs="宋体"/>
                <w:color w:val="000000" w:themeColor="text1"/>
                <w:lang w:val="en-US" w:eastAsia="zh-CN"/>
              </w:rPr>
              <w:t>类项目，</w:t>
            </w:r>
            <w:r>
              <w:rPr>
                <w:rFonts w:hint="eastAsia"/>
                <w:color w:val="000000" w:themeColor="text1"/>
                <w:lang w:val="en-US" w:eastAsia="zh-CN"/>
              </w:rPr>
              <w:t xml:space="preserve">项目土壤环境评价不设等级，可不开展土壤环境影响评价工作。 </w:t>
            </w:r>
          </w:p>
          <w:p w14:paraId="52E9E6DF">
            <w:pPr>
              <w:keepNext w:val="0"/>
              <w:keepLines w:val="0"/>
              <w:numPr>
                <w:ilvl w:val="0"/>
                <w:numId w:val="0"/>
              </w:numPr>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000000" w:themeColor="text1"/>
                <w:sz w:val="24"/>
                <w:szCs w:val="20"/>
                <w:lang w:val="en-US" w:eastAsia="zh-CN"/>
              </w:rPr>
            </w:pPr>
            <w:r>
              <w:rPr>
                <w:rFonts w:hint="eastAsia" w:ascii="Times New Roman" w:hAnsi="Times New Roman" w:eastAsia="宋体" w:cs="Times New Roman"/>
                <w:bCs/>
                <w:color w:val="000000" w:themeColor="text1"/>
                <w:sz w:val="24"/>
                <w:szCs w:val="20"/>
                <w:lang w:val="en-US" w:eastAsia="zh-CN"/>
              </w:rPr>
              <w:t>由于污染物的存在，非正常状况下，将不可避免</w:t>
            </w:r>
            <w:r>
              <w:rPr>
                <w:rFonts w:hint="eastAsia" w:cs="Times New Roman"/>
                <w:bCs/>
                <w:color w:val="000000" w:themeColor="text1"/>
                <w:sz w:val="24"/>
                <w:szCs w:val="20"/>
                <w:lang w:val="en-US" w:eastAsia="zh-CN"/>
              </w:rPr>
              <w:t>地</w:t>
            </w:r>
            <w:r>
              <w:rPr>
                <w:rFonts w:hint="eastAsia" w:ascii="Times New Roman" w:hAnsi="Times New Roman" w:eastAsia="宋体" w:cs="Times New Roman"/>
                <w:bCs/>
                <w:color w:val="000000" w:themeColor="text1"/>
                <w:sz w:val="24"/>
                <w:szCs w:val="20"/>
                <w:lang w:val="en-US" w:eastAsia="zh-CN"/>
              </w:rPr>
              <w:t>会对项目所在区域周围， 特别是下游部分区域的地下水及土壤产生一定程度的污染。因此，建设单位应积极采取有效的防渗措施，定期监控，一旦发现废水、废液渗漏后，采取有效的应急措施，避免泄漏持续发生。</w:t>
            </w:r>
          </w:p>
          <w:p w14:paraId="66BE2618">
            <w:pPr>
              <w:pStyle w:val="16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lang w:eastAsia="zh-CN"/>
              </w:rPr>
            </w:pP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lang w:eastAsia="zh-CN"/>
              </w:rPr>
              <w:t>）</w:t>
            </w:r>
            <w:r>
              <w:rPr>
                <w:rFonts w:hint="default" w:ascii="Times New Roman" w:hAnsi="Times New Roman" w:eastAsia="宋体" w:cs="Times New Roman"/>
                <w:b w:val="0"/>
                <w:bCs w:val="0"/>
                <w:color w:val="000000" w:themeColor="text1"/>
                <w:sz w:val="24"/>
                <w:szCs w:val="24"/>
              </w:rPr>
              <w:t>地下水、土壤污染源、污染类型和污染途径</w:t>
            </w:r>
          </w:p>
          <w:p w14:paraId="24E34FA3">
            <w:pPr>
              <w:pStyle w:val="16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1）</w:t>
            </w:r>
            <w:r>
              <w:rPr>
                <w:rFonts w:hint="default" w:ascii="Times New Roman" w:hAnsi="Times New Roman" w:eastAsia="宋体" w:cs="Times New Roman"/>
                <w:b w:val="0"/>
                <w:bCs w:val="0"/>
                <w:color w:val="000000" w:themeColor="text1"/>
                <w:sz w:val="24"/>
                <w:szCs w:val="24"/>
              </w:rPr>
              <w:t>地下水、土壤污染源</w:t>
            </w:r>
          </w:p>
          <w:p w14:paraId="60A79565">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本项目属于污染型项目，针对项目特性。地下水、土壤污染源主要为</w:t>
            </w:r>
            <w:r>
              <w:rPr>
                <w:rFonts w:hint="default" w:ascii="Times New Roman" w:hAnsi="Times New Roman" w:eastAsia="宋体" w:cs="Times New Roman"/>
                <w:b w:val="0"/>
                <w:bCs w:val="0"/>
                <w:color w:val="000000" w:themeColor="text1"/>
                <w:sz w:val="24"/>
                <w:szCs w:val="24"/>
                <w:lang w:val="en-US" w:eastAsia="zh-CN"/>
              </w:rPr>
              <w:t>危废暂存库</w:t>
            </w:r>
            <w:r>
              <w:rPr>
                <w:rFonts w:hint="default" w:ascii="Times New Roman" w:hAnsi="Times New Roman" w:eastAsia="宋体" w:cs="Times New Roman"/>
                <w:b w:val="0"/>
                <w:bCs w:val="0"/>
                <w:color w:val="000000" w:themeColor="text1"/>
                <w:sz w:val="24"/>
                <w:szCs w:val="24"/>
              </w:rPr>
              <w:t>地面防渗层破裂，有害物泄漏并渗入地下导致地下水和土壤污染。各类固体废物处理不当，其中有害物质经雨水淋溶、流失，渗入地下导致地下水和土壤污染。</w:t>
            </w:r>
          </w:p>
          <w:p w14:paraId="6E73DEF7">
            <w:pPr>
              <w:pStyle w:val="167"/>
              <w:keepNext w:val="0"/>
              <w:keepLines w:val="0"/>
              <w:suppressLineNumbers w:val="0"/>
              <w:adjustRightInd w:val="0"/>
              <w:snapToGrid w:val="0"/>
              <w:spacing w:before="0" w:beforeAutospacing="0" w:after="0" w:afterAutospacing="0" w:line="360" w:lineRule="auto"/>
              <w:ind w:left="0" w:right="0" w:firstLine="422"/>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lang w:val="en-US" w:eastAsia="zh-CN"/>
              </w:rPr>
              <w:t>2）</w:t>
            </w:r>
            <w:r>
              <w:rPr>
                <w:rFonts w:hint="default" w:ascii="Times New Roman" w:hAnsi="Times New Roman" w:eastAsia="宋体" w:cs="Times New Roman"/>
                <w:b w:val="0"/>
                <w:bCs w:val="0"/>
                <w:color w:val="000000" w:themeColor="text1"/>
                <w:sz w:val="24"/>
                <w:szCs w:val="24"/>
              </w:rPr>
              <w:t>地下水、土壤污染途径</w:t>
            </w:r>
          </w:p>
          <w:p w14:paraId="5AEAAABF">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b w:val="0"/>
                <w:bCs w:val="0"/>
                <w:color w:val="000000" w:themeColor="text1"/>
                <w:sz w:val="24"/>
                <w:szCs w:val="24"/>
              </w:rPr>
            </w:pPr>
            <w:r>
              <w:rPr>
                <w:rFonts w:hint="default" w:ascii="Times New Roman" w:hAnsi="Times New Roman" w:eastAsia="宋体" w:cs="Times New Roman"/>
                <w:b w:val="0"/>
                <w:bCs w:val="0"/>
                <w:color w:val="000000" w:themeColor="text1"/>
                <w:sz w:val="24"/>
                <w:szCs w:val="24"/>
              </w:rPr>
              <w:t>本项目对地下水及土壤产生污染的途径主要是渗透污染。渗透污染是导致地下水污染的普遍和主要方式，主要产生可能性来自：</w:t>
            </w:r>
          </w:p>
          <w:p w14:paraId="7AF2083D">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shd w:val="clear" w:color="auto" w:fill="auto"/>
                <w:lang w:eastAsia="zh-CN"/>
              </w:rPr>
            </w:pPr>
            <w:r>
              <w:rPr>
                <w:rFonts w:hint="default" w:ascii="Times New Roman" w:hAnsi="Times New Roman" w:eastAsia="宋体" w:cs="Times New Roman"/>
                <w:color w:val="000000" w:themeColor="text1"/>
                <w:sz w:val="24"/>
                <w:szCs w:val="24"/>
                <w:highlight w:val="none"/>
                <w:shd w:val="clear" w:color="auto" w:fill="auto"/>
                <w:lang w:val="en-US" w:eastAsia="zh-CN"/>
              </w:rPr>
              <w:t>①</w:t>
            </w:r>
            <w:r>
              <w:rPr>
                <w:rFonts w:hint="default" w:ascii="Times New Roman" w:hAnsi="Times New Roman" w:eastAsia="宋体" w:cs="Times New Roman"/>
                <w:color w:val="000000" w:themeColor="text1"/>
                <w:sz w:val="24"/>
                <w:szCs w:val="24"/>
                <w:highlight w:val="none"/>
                <w:shd w:val="clear" w:color="auto" w:fill="auto"/>
              </w:rPr>
              <w:t>各类危险废物等由于收集、贮放、运输、处置等环节的不严格或不妥善</w:t>
            </w:r>
            <w:r>
              <w:rPr>
                <w:rFonts w:hint="default" w:ascii="Times New Roman" w:hAnsi="Times New Roman" w:eastAsia="宋体" w:cs="Times New Roman"/>
                <w:color w:val="000000" w:themeColor="text1"/>
                <w:sz w:val="24"/>
                <w:szCs w:val="24"/>
                <w:highlight w:val="none"/>
                <w:shd w:val="clear" w:color="auto" w:fill="auto"/>
                <w:lang w:val="en-US" w:eastAsia="zh-CN"/>
              </w:rPr>
              <w:t>发生</w:t>
            </w:r>
            <w:r>
              <w:rPr>
                <w:rFonts w:hint="default" w:ascii="Times New Roman" w:hAnsi="Times New Roman" w:eastAsia="宋体" w:cs="Times New Roman"/>
                <w:color w:val="000000" w:themeColor="text1"/>
                <w:sz w:val="24"/>
                <w:szCs w:val="24"/>
                <w:highlight w:val="none"/>
                <w:shd w:val="clear" w:color="auto" w:fill="auto"/>
              </w:rPr>
              <w:t>渗漏，从而造成土壤、地下水污染</w:t>
            </w:r>
            <w:r>
              <w:rPr>
                <w:rFonts w:hint="default" w:ascii="Times New Roman" w:hAnsi="Times New Roman" w:eastAsia="宋体" w:cs="Times New Roman"/>
                <w:color w:val="000000" w:themeColor="text1"/>
                <w:sz w:val="24"/>
                <w:szCs w:val="24"/>
                <w:highlight w:val="none"/>
                <w:shd w:val="clear" w:color="auto" w:fill="auto"/>
                <w:lang w:eastAsia="zh-CN"/>
              </w:rPr>
              <w:t>。</w:t>
            </w:r>
          </w:p>
          <w:p w14:paraId="514C18A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lang w:eastAsia="zh-CN"/>
              </w:rPr>
            </w:pPr>
            <w:r>
              <w:rPr>
                <w:rFonts w:hint="default" w:ascii="Times New Roman" w:hAnsi="Times New Roman" w:eastAsia="宋体" w:cs="Times New Roman"/>
                <w:color w:val="000000" w:themeColor="text1"/>
                <w:sz w:val="24"/>
                <w:szCs w:val="24"/>
                <w:highlight w:val="none"/>
                <w:shd w:val="clear" w:color="auto" w:fill="auto"/>
                <w:lang w:eastAsia="zh-CN"/>
              </w:rPr>
              <w:t>②</w:t>
            </w:r>
            <w:r>
              <w:rPr>
                <w:rFonts w:hint="default" w:ascii="Times New Roman" w:hAnsi="Times New Roman" w:eastAsia="宋体" w:cs="Times New Roman"/>
                <w:color w:val="000000" w:themeColor="text1"/>
                <w:sz w:val="24"/>
                <w:szCs w:val="24"/>
                <w:highlight w:val="none"/>
              </w:rPr>
              <w:t>污水处理系统的跑、冒、滴、漏等影响，废水下渗对地下水</w:t>
            </w:r>
            <w:r>
              <w:rPr>
                <w:rFonts w:hint="default" w:ascii="Times New Roman" w:hAnsi="Times New Roman" w:eastAsia="宋体" w:cs="Times New Roman"/>
                <w:color w:val="000000" w:themeColor="text1"/>
                <w:sz w:val="24"/>
                <w:szCs w:val="24"/>
                <w:highlight w:val="none"/>
                <w:lang w:eastAsia="zh-CN"/>
              </w:rPr>
              <w:t>、</w:t>
            </w:r>
            <w:r>
              <w:rPr>
                <w:rFonts w:hint="default" w:ascii="Times New Roman" w:hAnsi="Times New Roman" w:eastAsia="宋体" w:cs="Times New Roman"/>
                <w:color w:val="000000" w:themeColor="text1"/>
                <w:sz w:val="24"/>
                <w:szCs w:val="24"/>
                <w:highlight w:val="none"/>
                <w:lang w:val="en-US" w:eastAsia="zh-CN"/>
              </w:rPr>
              <w:t>土壤</w:t>
            </w:r>
            <w:r>
              <w:rPr>
                <w:rFonts w:hint="default" w:ascii="Times New Roman" w:hAnsi="Times New Roman" w:eastAsia="宋体" w:cs="Times New Roman"/>
                <w:color w:val="000000" w:themeColor="text1"/>
                <w:sz w:val="24"/>
                <w:szCs w:val="24"/>
                <w:highlight w:val="none"/>
              </w:rPr>
              <w:t>造成污染</w:t>
            </w:r>
            <w:r>
              <w:rPr>
                <w:rFonts w:hint="default" w:ascii="Times New Roman" w:hAnsi="Times New Roman" w:eastAsia="宋体" w:cs="Times New Roman"/>
                <w:color w:val="000000" w:themeColor="text1"/>
                <w:sz w:val="24"/>
                <w:szCs w:val="24"/>
                <w:highlight w:val="none"/>
                <w:lang w:eastAsia="zh-CN"/>
              </w:rPr>
              <w:t>。</w:t>
            </w:r>
          </w:p>
          <w:p w14:paraId="5C2AA387">
            <w:pPr>
              <w:pStyle w:val="166"/>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sz w:val="24"/>
                <w:szCs w:val="24"/>
                <w:lang w:val="en-US" w:eastAsia="zh-CN"/>
              </w:rPr>
            </w:pPr>
            <w:r>
              <w:rPr>
                <w:rFonts w:hint="default" w:ascii="Times New Roman" w:hAnsi="Times New Roman" w:eastAsia="宋体" w:cs="Times New Roman"/>
                <w:b w:val="0"/>
                <w:bCs w:val="0"/>
                <w:color w:val="000000" w:themeColor="text1"/>
                <w:sz w:val="24"/>
                <w:szCs w:val="24"/>
                <w:lang w:val="en-US" w:eastAsia="zh-CN"/>
              </w:rPr>
              <w:t>3）</w:t>
            </w:r>
            <w:r>
              <w:rPr>
                <w:rFonts w:hint="default" w:ascii="Times New Roman" w:hAnsi="Times New Roman" w:eastAsia="宋体" w:cs="Times New Roman"/>
                <w:b w:val="0"/>
                <w:bCs w:val="0"/>
                <w:color w:val="000000" w:themeColor="text1"/>
                <w:sz w:val="24"/>
                <w:szCs w:val="24"/>
              </w:rPr>
              <w:t>影响分析</w:t>
            </w:r>
          </w:p>
          <w:p w14:paraId="06C879FF">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①正常情况下地下水环境影响分析</w:t>
            </w:r>
          </w:p>
          <w:p w14:paraId="53A61E01">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通过采取本评价提出的环保措施后，对污水处理设施、危废暂存</w:t>
            </w:r>
            <w:r>
              <w:rPr>
                <w:rFonts w:hint="default" w:ascii="Times New Roman" w:hAnsi="Times New Roman" w:eastAsia="宋体" w:cs="Times New Roman"/>
                <w:color w:val="000000" w:themeColor="text1"/>
                <w:sz w:val="24"/>
                <w:szCs w:val="24"/>
                <w:lang w:val="en-US" w:eastAsia="zh-CN"/>
              </w:rPr>
              <w:t>库等</w:t>
            </w:r>
            <w:r>
              <w:rPr>
                <w:rFonts w:hint="default" w:ascii="Times New Roman" w:hAnsi="Times New Roman" w:eastAsia="宋体" w:cs="Times New Roman"/>
                <w:color w:val="000000" w:themeColor="text1"/>
                <w:sz w:val="24"/>
                <w:szCs w:val="24"/>
              </w:rPr>
              <w:t>进行严格的防渗处理后，</w:t>
            </w:r>
            <w:r>
              <w:rPr>
                <w:rFonts w:hint="default" w:ascii="Times New Roman" w:hAnsi="Times New Roman" w:eastAsia="宋体" w:cs="Times New Roman"/>
                <w:color w:val="000000" w:themeColor="text1"/>
                <w:sz w:val="24"/>
                <w:szCs w:val="24"/>
                <w:lang w:val="en-US" w:eastAsia="zh-CN"/>
              </w:rPr>
              <w:t>不会</w:t>
            </w:r>
            <w:r>
              <w:rPr>
                <w:rFonts w:hint="default" w:ascii="Times New Roman" w:hAnsi="Times New Roman" w:eastAsia="宋体" w:cs="Times New Roman"/>
                <w:color w:val="000000" w:themeColor="text1"/>
                <w:sz w:val="24"/>
                <w:szCs w:val="24"/>
              </w:rPr>
              <w:t>对地下水及土壤造成污染。</w:t>
            </w:r>
          </w:p>
          <w:p w14:paraId="1D8A35AA">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②非正常情况下地下水环境影响分析</w:t>
            </w:r>
          </w:p>
          <w:p w14:paraId="02DD1E62">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根据场地水文地质条件，污水处理设施、危废暂存</w:t>
            </w:r>
            <w:r>
              <w:rPr>
                <w:rFonts w:hint="default" w:ascii="Times New Roman" w:hAnsi="Times New Roman" w:eastAsia="宋体" w:cs="Times New Roman"/>
                <w:color w:val="000000" w:themeColor="text1"/>
                <w:sz w:val="24"/>
                <w:szCs w:val="24"/>
                <w:lang w:val="en-US" w:eastAsia="zh-CN"/>
              </w:rPr>
              <w:t>库</w:t>
            </w:r>
            <w:r>
              <w:rPr>
                <w:rFonts w:hint="default" w:ascii="Times New Roman" w:hAnsi="Times New Roman" w:eastAsia="宋体" w:cs="Times New Roman"/>
                <w:color w:val="000000" w:themeColor="text1"/>
                <w:sz w:val="24"/>
                <w:szCs w:val="24"/>
              </w:rPr>
              <w:t>若发生渗漏，废水或液态危废将通过地表水入渗进入地下污染地下水及土壤。</w:t>
            </w:r>
          </w:p>
          <w:p w14:paraId="1255FA71">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由于污染物的存在，非正常状况下，将不可避免</w:t>
            </w:r>
            <w:r>
              <w:rPr>
                <w:rFonts w:hint="eastAsia" w:cs="Times New Roman"/>
                <w:color w:val="000000" w:themeColor="text1"/>
                <w:sz w:val="24"/>
                <w:szCs w:val="24"/>
                <w:lang w:eastAsia="zh-CN"/>
              </w:rPr>
              <w:t>地</w:t>
            </w:r>
            <w:r>
              <w:rPr>
                <w:rFonts w:hint="default" w:ascii="Times New Roman" w:hAnsi="Times New Roman" w:eastAsia="宋体" w:cs="Times New Roman"/>
                <w:color w:val="000000" w:themeColor="text1"/>
                <w:sz w:val="24"/>
                <w:szCs w:val="24"/>
              </w:rPr>
              <w:t>会对项目所在区域周围，特别是下游部分区域的地下水及土壤产生一定程度的污染。因此，建设单位应积极采取有效的防渗措施，定期监控，一旦发现液态危废渗漏后，采取有效的应急措施，避免泄漏持续发生。</w:t>
            </w:r>
          </w:p>
          <w:p w14:paraId="4879C2B6">
            <w:pPr>
              <w:pStyle w:val="1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lang w:eastAsia="zh-CN"/>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eastAsia="zh-CN"/>
              </w:rPr>
              <w:t>）地下水、土壤防控措施</w:t>
            </w:r>
          </w:p>
          <w:p w14:paraId="5A5CDFD2">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本项目对地下水和土壤可能造成污染主要集中在项目运行期。针对可能发生的地下水和土壤污染，本项目污染防治措</w:t>
            </w:r>
            <w:r>
              <w:rPr>
                <w:rFonts w:hint="eastAsia" w:cs="Times New Roman"/>
                <w:color w:val="000000" w:themeColor="text1"/>
                <w:sz w:val="24"/>
                <w:szCs w:val="24"/>
                <w:lang w:eastAsia="zh-CN"/>
              </w:rPr>
              <w:t>施以</w:t>
            </w:r>
            <w:r>
              <w:rPr>
                <w:rFonts w:hint="default" w:ascii="Times New Roman" w:hAnsi="Times New Roman" w:eastAsia="宋体" w:cs="Times New Roman"/>
                <w:color w:val="000000" w:themeColor="text1"/>
                <w:sz w:val="24"/>
                <w:szCs w:val="24"/>
              </w:rPr>
              <w:t>“源头控制、分区防渗、污染监控、应急响应”相结合的原则，从污染物的产生、入渗、扩散、应急响应全方位进行防控。</w:t>
            </w:r>
          </w:p>
          <w:p w14:paraId="71B6CF50">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1）源头控制</w:t>
            </w:r>
          </w:p>
          <w:p w14:paraId="66E7CD3A">
            <w:pPr>
              <w:numPr>
                <w:ilvl w:val="0"/>
                <w:numId w:val="0"/>
              </w:numPr>
              <w:spacing w:line="360" w:lineRule="auto"/>
              <w:ind w:firstLine="480" w:firstLineChars="200"/>
              <w:rPr>
                <w:rFonts w:hint="eastAsia" w:ascii="Times New Roman" w:hAnsi="Times New Roman" w:eastAsia="宋体" w:cs="Times New Roman"/>
                <w:bCs/>
                <w:color w:val="000000" w:themeColor="text1"/>
                <w:sz w:val="24"/>
                <w:szCs w:val="20"/>
                <w:lang w:val="en-US" w:eastAsia="zh-CN"/>
              </w:rPr>
            </w:pPr>
            <w:r>
              <w:rPr>
                <w:rFonts w:hint="eastAsia" w:ascii="Times New Roman" w:hAnsi="Times New Roman" w:eastAsia="宋体" w:cs="Times New Roman"/>
                <w:bCs/>
                <w:color w:val="000000" w:themeColor="text1"/>
                <w:sz w:val="24"/>
                <w:szCs w:val="20"/>
                <w:lang w:val="en-US" w:eastAsia="zh-CN"/>
              </w:rPr>
              <w:t>项目废气可达标排放，废水经收集、处理，达标排放，各类</w:t>
            </w:r>
            <w:r>
              <w:rPr>
                <w:rFonts w:hint="eastAsia" w:cs="Times New Roman"/>
                <w:bCs/>
                <w:color w:val="000000" w:themeColor="text1"/>
                <w:sz w:val="24"/>
                <w:szCs w:val="20"/>
                <w:lang w:val="en-US" w:eastAsia="zh-CN"/>
              </w:rPr>
              <w:t>固体废物</w:t>
            </w:r>
            <w:r>
              <w:rPr>
                <w:rFonts w:hint="eastAsia" w:ascii="Times New Roman" w:hAnsi="Times New Roman" w:eastAsia="宋体" w:cs="Times New Roman"/>
                <w:bCs/>
                <w:color w:val="000000" w:themeColor="text1"/>
                <w:sz w:val="24"/>
                <w:szCs w:val="20"/>
                <w:lang w:val="en-US" w:eastAsia="zh-CN"/>
              </w:rPr>
              <w:t>均能得以妥善处置，有效减少了污染物的排放量。</w:t>
            </w:r>
          </w:p>
          <w:p w14:paraId="2ABD78B1">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2）分区防控措施</w:t>
            </w:r>
          </w:p>
          <w:p w14:paraId="087061E2">
            <w:pPr>
              <w:pStyle w:val="1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rPr>
              <w:t>企业应加强生产设备的管理，根据项目各功能单元是否可能对地下水造成污染及其风险程度，将项目所在区域划分为重点防渗区、一般防渗区和简单防渗区。重点防渗区是可能会对地下水造成污染，风险程度较高或污染物浓度较高，需要重点防治或者需要重点保护的区域。一般防渗区是可能会对地下水造成污染，但危害性或风险程度相对较低的区域。简单防渗区为不会对地下水造成污染的区域。</w:t>
            </w:r>
          </w:p>
          <w:p w14:paraId="38709153">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val="en-US" w:eastAsia="zh-CN"/>
              </w:rPr>
              <w:t>①</w:t>
            </w:r>
            <w:r>
              <w:rPr>
                <w:rFonts w:hint="default" w:ascii="Times New Roman" w:hAnsi="Times New Roman" w:eastAsia="宋体" w:cs="Times New Roman"/>
                <w:color w:val="000000" w:themeColor="text1"/>
                <w:sz w:val="24"/>
                <w:szCs w:val="24"/>
                <w:highlight w:val="none"/>
              </w:rPr>
              <w:t>重点防渗区</w:t>
            </w:r>
          </w:p>
          <w:p w14:paraId="5D656F0F">
            <w:pPr>
              <w:pStyle w:val="85"/>
              <w:keepNext w:val="0"/>
              <w:keepLines w:val="0"/>
              <w:suppressLineNumbers w:val="0"/>
              <w:spacing w:before="0" w:beforeAutospacing="0" w:after="0" w:afterAutospacing="0"/>
              <w:ind w:left="0" w:right="0"/>
              <w:rPr>
                <w:rFonts w:hint="default" w:ascii="Times New Roman" w:hAnsi="Times New Roman" w:eastAsia="宋体" w:cs="Times New Roman"/>
                <w:bCs w:val="0"/>
                <w:color w:val="000000" w:themeColor="text1"/>
                <w:kern w:val="2"/>
                <w:sz w:val="24"/>
                <w:szCs w:val="24"/>
                <w:lang w:val="en-US" w:eastAsia="zh-CN" w:bidi="ar-SA"/>
              </w:rPr>
            </w:pPr>
            <w:r>
              <w:rPr>
                <w:rFonts w:hint="default" w:ascii="Times New Roman" w:hAnsi="Times New Roman" w:eastAsia="宋体" w:cs="Times New Roman"/>
                <w:color w:val="000000" w:themeColor="text1"/>
                <w:sz w:val="24"/>
                <w:szCs w:val="24"/>
                <w:lang w:val="en-US" w:eastAsia="zh-CN"/>
              </w:rPr>
              <w:t>危废暂存库</w:t>
            </w:r>
            <w:r>
              <w:rPr>
                <w:rFonts w:hint="eastAsia" w:cs="Times New Roman"/>
                <w:color w:val="000000" w:themeColor="text1"/>
                <w:sz w:val="24"/>
                <w:szCs w:val="24"/>
                <w:lang w:val="en-US" w:eastAsia="zh-CN"/>
              </w:rPr>
              <w:t>、</w:t>
            </w:r>
            <w:r>
              <w:rPr>
                <w:rFonts w:hint="eastAsia" w:cs="Times New Roman"/>
                <w:b w:val="0"/>
                <w:bCs w:val="0"/>
                <w:color w:val="000000" w:themeColor="text1"/>
                <w:sz w:val="24"/>
                <w:szCs w:val="24"/>
                <w:lang w:val="en-US" w:eastAsia="zh-CN"/>
              </w:rPr>
              <w:t>化粪池</w:t>
            </w:r>
            <w:r>
              <w:rPr>
                <w:rFonts w:hint="default" w:ascii="Times New Roman" w:hAnsi="Times New Roman" w:eastAsia="宋体" w:cs="Times New Roman"/>
                <w:color w:val="000000" w:themeColor="text1"/>
                <w:sz w:val="24"/>
                <w:szCs w:val="24"/>
                <w:lang w:val="en-US" w:eastAsia="zh-CN"/>
              </w:rPr>
              <w:t>为本项目地下水重点污染区域</w:t>
            </w:r>
            <w:r>
              <w:rPr>
                <w:rFonts w:hint="default" w:ascii="Times New Roman" w:hAnsi="Times New Roman" w:eastAsia="宋体" w:cs="Times New Roman"/>
                <w:bCs w:val="0"/>
                <w:color w:val="000000" w:themeColor="text1"/>
                <w:kern w:val="2"/>
                <w:sz w:val="24"/>
                <w:szCs w:val="24"/>
                <w:lang w:val="en-US" w:eastAsia="zh-CN" w:bidi="ar-SA"/>
              </w:rPr>
              <w:t>。</w:t>
            </w:r>
            <w:r>
              <w:rPr>
                <w:rFonts w:hint="default" w:ascii="Times New Roman" w:hAnsi="Times New Roman" w:eastAsia="宋体" w:cs="Times New Roman"/>
                <w:color w:val="000000" w:themeColor="text1"/>
                <w:sz w:val="24"/>
                <w:szCs w:val="24"/>
                <w:lang w:val="en-US" w:eastAsia="zh-CN"/>
              </w:rPr>
              <w:t>危废暂存库</w:t>
            </w:r>
            <w:r>
              <w:rPr>
                <w:rFonts w:hint="default" w:ascii="Times New Roman" w:hAnsi="Times New Roman" w:eastAsia="宋体" w:cs="Times New Roman"/>
                <w:bCs w:val="0"/>
                <w:color w:val="000000" w:themeColor="text1"/>
                <w:kern w:val="2"/>
                <w:sz w:val="24"/>
                <w:szCs w:val="24"/>
                <w:lang w:val="en-US" w:eastAsia="zh-CN" w:bidi="ar-SA"/>
              </w:rPr>
              <w:t>用坚固、防渗的材料建造，同时地面硬化，且表面无裂隙。</w:t>
            </w:r>
          </w:p>
          <w:p w14:paraId="7854FD7F">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sz w:val="24"/>
                <w:szCs w:val="24"/>
                <w:highlight w:val="none"/>
              </w:rPr>
            </w:pPr>
            <w:r>
              <w:rPr>
                <w:rFonts w:hint="default" w:ascii="Times New Roman" w:hAnsi="Times New Roman" w:eastAsia="宋体" w:cs="Times New Roman"/>
                <w:color w:val="000000" w:themeColor="text1"/>
                <w:sz w:val="24"/>
                <w:szCs w:val="24"/>
                <w:highlight w:val="none"/>
                <w:lang w:val="en-US" w:eastAsia="zh-CN"/>
              </w:rPr>
              <w:t>②</w:t>
            </w:r>
            <w:r>
              <w:rPr>
                <w:rFonts w:hint="default" w:ascii="Times New Roman" w:hAnsi="Times New Roman" w:eastAsia="宋体" w:cs="Times New Roman"/>
                <w:color w:val="000000" w:themeColor="text1"/>
                <w:sz w:val="24"/>
                <w:szCs w:val="24"/>
                <w:highlight w:val="none"/>
              </w:rPr>
              <w:t>一般防渗区</w:t>
            </w:r>
          </w:p>
          <w:p w14:paraId="0AFCEC4F">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一般固废暂存库为一般防渗区。一般固废暂存库地面采取水泥硬化，并视情况采取防渗措施，可采用双层复合防渗结构，基础防渗层为至少1.5米厚粘土层。</w:t>
            </w:r>
            <w:r>
              <w:rPr>
                <w:rFonts w:hint="default" w:ascii="Times New Roman" w:hAnsi="Times New Roman" w:eastAsia="宋体" w:cs="Times New Roman"/>
                <w:bCs w:val="0"/>
                <w:color w:val="000000" w:themeColor="text1"/>
                <w:kern w:val="2"/>
                <w:sz w:val="24"/>
                <w:szCs w:val="24"/>
                <w:lang w:val="en-US" w:eastAsia="zh-CN" w:bidi="ar-SA"/>
              </w:rPr>
              <w:t>采取粘土铺底，四周壁用砖砌再用水泥硬化防渗。</w:t>
            </w:r>
            <w:r>
              <w:rPr>
                <w:rFonts w:hint="default" w:ascii="Times New Roman" w:hAnsi="Times New Roman" w:eastAsia="宋体" w:cs="Times New Roman"/>
                <w:color w:val="000000" w:themeColor="text1"/>
                <w:sz w:val="24"/>
                <w:szCs w:val="24"/>
                <w:lang w:val="en-US" w:eastAsia="zh-CN"/>
              </w:rPr>
              <w:t>一般防渗区的防渗性能应与1.5m厚粘土层（渗透系数1.0×10</w:t>
            </w:r>
            <w:r>
              <w:rPr>
                <w:rFonts w:hint="default" w:ascii="Times New Roman" w:hAnsi="Times New Roman" w:eastAsia="宋体" w:cs="Times New Roman"/>
                <w:color w:val="000000" w:themeColor="text1"/>
                <w:sz w:val="24"/>
                <w:szCs w:val="24"/>
                <w:vertAlign w:val="superscript"/>
                <w:lang w:val="en-US" w:eastAsia="zh-CN"/>
              </w:rPr>
              <w:t>-7</w:t>
            </w:r>
            <w:r>
              <w:rPr>
                <w:rFonts w:hint="default" w:ascii="Times New Roman" w:hAnsi="Times New Roman" w:eastAsia="宋体" w:cs="Times New Roman"/>
                <w:color w:val="000000" w:themeColor="text1"/>
                <w:sz w:val="24"/>
                <w:szCs w:val="24"/>
                <w:lang w:val="en-US" w:eastAsia="zh-CN"/>
              </w:rPr>
              <w:t>cm/s）等效。</w:t>
            </w:r>
          </w:p>
          <w:p w14:paraId="01ED2118">
            <w:pPr>
              <w:pStyle w:val="166"/>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③</w:t>
            </w:r>
            <w:r>
              <w:rPr>
                <w:rFonts w:hint="default" w:ascii="Times New Roman" w:hAnsi="Times New Roman" w:eastAsia="宋体" w:cs="Times New Roman"/>
                <w:color w:val="000000" w:themeColor="text1"/>
              </w:rPr>
              <w:t>简单防渗区</w:t>
            </w:r>
          </w:p>
          <w:p w14:paraId="7DA2963B">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厂区</w:t>
            </w:r>
            <w:r>
              <w:rPr>
                <w:rFonts w:hint="default" w:ascii="Times New Roman" w:hAnsi="Times New Roman" w:eastAsia="宋体" w:cs="Times New Roman"/>
                <w:color w:val="000000" w:themeColor="text1"/>
                <w:sz w:val="24"/>
                <w:szCs w:val="24"/>
                <w:lang w:val="en-US" w:eastAsia="zh-CN"/>
              </w:rPr>
              <w:t>其他地</w:t>
            </w:r>
            <w:r>
              <w:rPr>
                <w:rFonts w:hint="eastAsia" w:cs="Times New Roman"/>
                <w:color w:val="000000" w:themeColor="text1"/>
                <w:sz w:val="24"/>
                <w:szCs w:val="24"/>
                <w:lang w:val="en-US" w:eastAsia="zh-CN"/>
              </w:rPr>
              <w:t>方</w:t>
            </w:r>
            <w:r>
              <w:rPr>
                <w:rFonts w:hint="default" w:ascii="Times New Roman" w:hAnsi="Times New Roman" w:eastAsia="宋体" w:cs="Times New Roman"/>
                <w:color w:val="000000" w:themeColor="text1"/>
                <w:sz w:val="24"/>
                <w:szCs w:val="24"/>
                <w:lang w:val="en-US" w:eastAsia="zh-CN"/>
              </w:rPr>
              <w:t>为简单防渗区，可采用一般地面硬化进行防渗。</w:t>
            </w:r>
          </w:p>
          <w:p w14:paraId="349988AC">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bCs w:val="0"/>
                <w:color w:val="000000" w:themeColor="text1"/>
                <w:kern w:val="2"/>
                <w:sz w:val="24"/>
                <w:szCs w:val="24"/>
                <w:lang w:val="en-US" w:eastAsia="zh-CN" w:bidi="ar-SA"/>
              </w:rPr>
            </w:pPr>
            <w:r>
              <w:rPr>
                <w:rFonts w:hint="default" w:ascii="Times New Roman" w:hAnsi="Times New Roman" w:eastAsia="宋体" w:cs="Times New Roman"/>
                <w:bCs w:val="0"/>
                <w:color w:val="000000" w:themeColor="text1"/>
                <w:kern w:val="2"/>
                <w:sz w:val="24"/>
                <w:szCs w:val="24"/>
                <w:lang w:val="en-US" w:eastAsia="zh-CN" w:bidi="ar-SA"/>
              </w:rPr>
              <w:t>3）应急响应</w:t>
            </w:r>
          </w:p>
          <w:p w14:paraId="7B96659C">
            <w:pPr>
              <w:pStyle w:val="167"/>
              <w:keepNext w:val="0"/>
              <w:keepLines w:val="0"/>
              <w:suppressLineNumbers w:val="0"/>
              <w:adjustRightInd w:val="0"/>
              <w:snapToGrid w:val="0"/>
              <w:spacing w:before="0" w:beforeAutospacing="0" w:after="0" w:afterAutospacing="0" w:line="360" w:lineRule="auto"/>
              <w:ind w:left="0" w:right="0" w:firstLine="420"/>
              <w:rPr>
                <w:rFonts w:hint="default" w:ascii="Times New Roman" w:hAnsi="Times New Roman" w:eastAsia="宋体" w:cs="Times New Roman"/>
                <w:bCs w:val="0"/>
                <w:color w:val="000000" w:themeColor="text1"/>
                <w:kern w:val="2"/>
                <w:sz w:val="24"/>
                <w:szCs w:val="24"/>
                <w:lang w:val="en-US" w:eastAsia="zh-CN" w:bidi="ar-SA"/>
              </w:rPr>
            </w:pPr>
            <w:r>
              <w:rPr>
                <w:rFonts w:hint="default" w:ascii="Times New Roman" w:hAnsi="Times New Roman" w:eastAsia="宋体" w:cs="Times New Roman"/>
                <w:bCs w:val="0"/>
                <w:color w:val="000000" w:themeColor="text1"/>
                <w:kern w:val="2"/>
                <w:sz w:val="24"/>
                <w:szCs w:val="24"/>
                <w:lang w:val="en-US" w:eastAsia="zh-CN" w:bidi="ar-SA"/>
              </w:rPr>
              <w:t>制定地下水和土壤污染应急响应预案，明确污染状况下应采取的控制污染源、切断污染途径等措施。</w:t>
            </w:r>
          </w:p>
          <w:p w14:paraId="5CD056AA">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项目对可能产生地下水、土壤影响的各项途径均进行有效预防，在确保各项防渗措施得以落实，并加强维护和厂区环境管理的前提下，</w:t>
            </w:r>
            <w:r>
              <w:rPr>
                <w:rFonts w:hint="eastAsia" w:cs="Times New Roman"/>
                <w:color w:val="000000" w:themeColor="text1"/>
                <w:sz w:val="24"/>
                <w:szCs w:val="24"/>
                <w:lang w:val="en-US" w:eastAsia="zh-CN"/>
              </w:rPr>
              <w:t>可以</w:t>
            </w:r>
            <w:r>
              <w:rPr>
                <w:rFonts w:hint="default" w:ascii="Times New Roman" w:hAnsi="Times New Roman" w:eastAsia="宋体" w:cs="Times New Roman"/>
                <w:color w:val="000000" w:themeColor="text1"/>
                <w:sz w:val="24"/>
                <w:szCs w:val="24"/>
                <w:lang w:val="en-US" w:eastAsia="zh-CN"/>
              </w:rPr>
              <w:t>有效控制厂区内的废水和危险废物等出现下渗现象，避免污染地下水，因此项目不会对区域地下水环境产生明显影响。</w:t>
            </w:r>
          </w:p>
          <w:p w14:paraId="6B2F5953">
            <w:pPr>
              <w:pStyle w:val="105"/>
              <w:keepNext w:val="0"/>
              <w:keepLines w:val="0"/>
              <w:pageBreakBefore w:val="0"/>
              <w:widowControl/>
              <w:kinsoku/>
              <w:wordWrap/>
              <w:overflowPunct/>
              <w:topLinePunct w:val="0"/>
              <w:autoSpaceDE/>
              <w:autoSpaceDN/>
              <w:bidi w:val="0"/>
              <w:adjustRightInd/>
              <w:snapToGrid w:val="0"/>
              <w:spacing w:before="0" w:after="0" w:line="240" w:lineRule="auto"/>
              <w:ind w:right="0" w:firstLineChars="0"/>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 4-</w:t>
            </w:r>
            <w:r>
              <w:rPr>
                <w:rFonts w:hint="eastAsia" w:cs="Times New Roman"/>
                <w:b/>
                <w:bCs/>
                <w:color w:val="000000" w:themeColor="text1"/>
                <w:sz w:val="21"/>
                <w:szCs w:val="21"/>
                <w:lang w:val="en-US" w:eastAsia="zh-CN"/>
              </w:rPr>
              <w:t xml:space="preserve">29 </w:t>
            </w:r>
            <w:r>
              <w:rPr>
                <w:rFonts w:hint="default" w:ascii="Times New Roman" w:hAnsi="Times New Roman" w:eastAsia="宋体" w:cs="Times New Roman"/>
                <w:b/>
                <w:bCs/>
                <w:color w:val="000000" w:themeColor="text1"/>
                <w:sz w:val="21"/>
                <w:szCs w:val="21"/>
              </w:rPr>
              <w:t xml:space="preserve"> 分区防控措施一览表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59"/>
              <w:gridCol w:w="1286"/>
              <w:gridCol w:w="1271"/>
              <w:gridCol w:w="3713"/>
            </w:tblGrid>
            <w:tr w14:paraId="2F86B9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3" w:type="pct"/>
                  <w:vAlign w:val="center"/>
                </w:tcPr>
                <w:p w14:paraId="165B0DD0">
                  <w:pPr>
                    <w:pStyle w:val="100"/>
                    <w:adjustRightInd w:val="0"/>
                    <w:snapToGrid w:val="0"/>
                    <w:spacing w:before="31" w:after="31"/>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场地</w:t>
                  </w:r>
                </w:p>
              </w:tc>
              <w:tc>
                <w:tcPr>
                  <w:tcW w:w="791" w:type="pct"/>
                  <w:vAlign w:val="center"/>
                </w:tcPr>
                <w:p w14:paraId="195EAFC6">
                  <w:pPr>
                    <w:pStyle w:val="100"/>
                    <w:adjustRightInd w:val="0"/>
                    <w:snapToGrid w:val="0"/>
                    <w:spacing w:before="31" w:after="31"/>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防渗分区</w:t>
                  </w:r>
                </w:p>
              </w:tc>
              <w:tc>
                <w:tcPr>
                  <w:tcW w:w="781" w:type="pct"/>
                  <w:vAlign w:val="center"/>
                </w:tcPr>
                <w:p w14:paraId="1317DB0C">
                  <w:pPr>
                    <w:pStyle w:val="100"/>
                    <w:adjustRightInd w:val="0"/>
                    <w:snapToGrid w:val="0"/>
                    <w:spacing w:before="31" w:after="31"/>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污染防治区域及部位</w:t>
                  </w:r>
                </w:p>
              </w:tc>
              <w:tc>
                <w:tcPr>
                  <w:tcW w:w="2283" w:type="pct"/>
                  <w:vAlign w:val="center"/>
                </w:tcPr>
                <w:p w14:paraId="168BCF82">
                  <w:pPr>
                    <w:pStyle w:val="100"/>
                    <w:adjustRightInd w:val="0"/>
                    <w:snapToGrid w:val="0"/>
                    <w:spacing w:before="31" w:after="31"/>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防渗要求</w:t>
                  </w:r>
                </w:p>
              </w:tc>
            </w:tr>
            <w:tr w14:paraId="6B419F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3" w:type="pct"/>
                  <w:vAlign w:val="center"/>
                </w:tcPr>
                <w:p w14:paraId="6905E5B6">
                  <w:pPr>
                    <w:pStyle w:val="100"/>
                    <w:adjustRightInd w:val="0"/>
                    <w:snapToGrid w:val="0"/>
                    <w:spacing w:before="31" w:after="31"/>
                    <w:rPr>
                      <w:rFonts w:hint="default" w:ascii="Times New Roman" w:hAnsi="Times New Roman" w:eastAsia="宋体" w:cs="Times New Roman"/>
                      <w:color w:val="000000" w:themeColor="text1"/>
                      <w:sz w:val="21"/>
                      <w:szCs w:val="21"/>
                      <w:lang w:val="en-US"/>
                    </w:rPr>
                  </w:pPr>
                  <w:r>
                    <w:rPr>
                      <w:rFonts w:hint="default" w:ascii="Times New Roman" w:hAnsi="Times New Roman" w:eastAsia="宋体" w:cs="Times New Roman"/>
                      <w:b w:val="0"/>
                      <w:bCs w:val="0"/>
                      <w:color w:val="000000" w:themeColor="text1"/>
                      <w:sz w:val="21"/>
                      <w:szCs w:val="21"/>
                      <w:lang w:val="en-US" w:eastAsia="zh-CN"/>
                    </w:rPr>
                    <w:t>危废暂存库、</w:t>
                  </w:r>
                  <w:r>
                    <w:rPr>
                      <w:rFonts w:hint="eastAsia" w:ascii="Times New Roman" w:hAnsi="Times New Roman" w:eastAsia="宋体" w:cs="Times New Roman"/>
                      <w:b w:val="0"/>
                      <w:bCs w:val="0"/>
                      <w:color w:val="000000" w:themeColor="text1"/>
                      <w:sz w:val="21"/>
                      <w:szCs w:val="21"/>
                      <w:lang w:val="en-US" w:eastAsia="zh-CN"/>
                    </w:rPr>
                    <w:t>化粪池</w:t>
                  </w:r>
                </w:p>
              </w:tc>
              <w:tc>
                <w:tcPr>
                  <w:tcW w:w="791" w:type="pct"/>
                  <w:vAlign w:val="center"/>
                </w:tcPr>
                <w:p w14:paraId="69F13165">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重点防渗区</w:t>
                  </w:r>
                </w:p>
              </w:tc>
              <w:tc>
                <w:tcPr>
                  <w:tcW w:w="781" w:type="pct"/>
                  <w:vAlign w:val="center"/>
                </w:tcPr>
                <w:p w14:paraId="254B28D1">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地面</w:t>
                  </w:r>
                </w:p>
              </w:tc>
              <w:tc>
                <w:tcPr>
                  <w:tcW w:w="2283" w:type="pct"/>
                  <w:vAlign w:val="center"/>
                </w:tcPr>
                <w:p w14:paraId="74162531">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等效粘土防渗层 Mb≥6m，K≤10</w:t>
                  </w:r>
                  <w:r>
                    <w:rPr>
                      <w:rFonts w:hint="default" w:ascii="Times New Roman" w:hAnsi="Times New Roman" w:eastAsia="宋体" w:cs="Times New Roman"/>
                      <w:color w:val="000000" w:themeColor="text1"/>
                      <w:sz w:val="21"/>
                      <w:szCs w:val="21"/>
                      <w:vertAlign w:val="superscript"/>
                    </w:rPr>
                    <w:t>-7</w:t>
                  </w:r>
                  <w:r>
                    <w:rPr>
                      <w:rFonts w:hint="default" w:ascii="Times New Roman" w:hAnsi="Times New Roman" w:eastAsia="宋体" w:cs="Times New Roman"/>
                      <w:color w:val="000000" w:themeColor="text1"/>
                      <w:sz w:val="21"/>
                      <w:szCs w:val="21"/>
                    </w:rPr>
                    <w:t>cm/s</w:t>
                  </w:r>
                </w:p>
              </w:tc>
            </w:tr>
            <w:tr w14:paraId="6B461B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98" w:type="dxa"/>
                  <w:vAlign w:val="center"/>
                </w:tcPr>
                <w:p w14:paraId="7453408E">
                  <w:pPr>
                    <w:pStyle w:val="100"/>
                    <w:adjustRightInd w:val="0"/>
                    <w:snapToGrid w:val="0"/>
                    <w:spacing w:before="31" w:after="31"/>
                    <w:ind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一般固废暂存间、生产车间</w:t>
                  </w:r>
                </w:p>
              </w:tc>
              <w:tc>
                <w:tcPr>
                  <w:tcW w:w="1313" w:type="dxa"/>
                  <w:vAlign w:val="center"/>
                </w:tcPr>
                <w:p w14:paraId="21060D3D">
                  <w:pPr>
                    <w:pStyle w:val="100"/>
                    <w:adjustRightInd w:val="0"/>
                    <w:snapToGrid w:val="0"/>
                    <w:spacing w:before="31" w:after="31"/>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一般防渗区</w:t>
                  </w:r>
                </w:p>
              </w:tc>
              <w:tc>
                <w:tcPr>
                  <w:tcW w:w="1297" w:type="dxa"/>
                  <w:vAlign w:val="center"/>
                </w:tcPr>
                <w:p w14:paraId="3E27BB42">
                  <w:pPr>
                    <w:pStyle w:val="100"/>
                    <w:adjustRightInd w:val="0"/>
                    <w:snapToGrid w:val="0"/>
                    <w:spacing w:before="31" w:after="31"/>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地面</w:t>
                  </w:r>
                </w:p>
              </w:tc>
              <w:tc>
                <w:tcPr>
                  <w:tcW w:w="3790" w:type="dxa"/>
                  <w:vAlign w:val="center"/>
                </w:tcPr>
                <w:p w14:paraId="0A60614A">
                  <w:pPr>
                    <w:pStyle w:val="100"/>
                    <w:adjustRightInd w:val="0"/>
                    <w:snapToGrid w:val="0"/>
                    <w:spacing w:before="31" w:after="31"/>
                    <w:ind w:firstLine="0" w:firstLineChars="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等效粘土防渗层 Mb≥1.5m，K≤10</w:t>
                  </w:r>
                  <w:r>
                    <w:rPr>
                      <w:rFonts w:hint="default" w:ascii="Times New Roman" w:hAnsi="Times New Roman" w:eastAsia="宋体" w:cs="Times New Roman"/>
                      <w:color w:val="000000" w:themeColor="text1"/>
                      <w:sz w:val="21"/>
                      <w:szCs w:val="21"/>
                      <w:vertAlign w:val="superscript"/>
                    </w:rPr>
                    <w:t>-7</w:t>
                  </w:r>
                  <w:r>
                    <w:rPr>
                      <w:rFonts w:hint="default" w:ascii="Times New Roman" w:hAnsi="Times New Roman" w:eastAsia="宋体" w:cs="Times New Roman"/>
                      <w:color w:val="000000" w:themeColor="text1"/>
                      <w:sz w:val="21"/>
                      <w:szCs w:val="21"/>
                    </w:rPr>
                    <w:t>cm/s</w:t>
                  </w:r>
                </w:p>
              </w:tc>
            </w:tr>
            <w:tr w14:paraId="1A8EFC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3" w:type="pct"/>
                  <w:vAlign w:val="center"/>
                </w:tcPr>
                <w:p w14:paraId="5B6630E0">
                  <w:pPr>
                    <w:pStyle w:val="100"/>
                    <w:adjustRightInd w:val="0"/>
                    <w:snapToGrid w:val="0"/>
                    <w:spacing w:before="31" w:after="31"/>
                    <w:rPr>
                      <w:rFonts w:hint="default" w:ascii="Times New Roman" w:hAnsi="Times New Roman" w:eastAsia="宋体" w:cs="Times New Roman"/>
                      <w:color w:val="000000" w:themeColor="text1"/>
                      <w:sz w:val="21"/>
                      <w:szCs w:val="21"/>
                      <w:lang w:val="en-US"/>
                    </w:rPr>
                  </w:pPr>
                  <w:r>
                    <w:rPr>
                      <w:rFonts w:hint="eastAsia" w:cs="Times New Roman"/>
                      <w:color w:val="000000" w:themeColor="text1"/>
                      <w:sz w:val="21"/>
                      <w:szCs w:val="21"/>
                      <w:lang w:val="en-US" w:eastAsia="zh-CN"/>
                    </w:rPr>
                    <w:t>厂区</w:t>
                  </w:r>
                  <w:r>
                    <w:rPr>
                      <w:rFonts w:hint="eastAsia" w:ascii="Times New Roman" w:hAnsi="Times New Roman" w:eastAsia="宋体" w:cs="Times New Roman"/>
                      <w:color w:val="000000" w:themeColor="text1"/>
                      <w:sz w:val="21"/>
                      <w:szCs w:val="21"/>
                      <w:lang w:val="en-US" w:eastAsia="zh-CN"/>
                    </w:rPr>
                    <w:t>道路、办公楼</w:t>
                  </w:r>
                </w:p>
              </w:tc>
              <w:tc>
                <w:tcPr>
                  <w:tcW w:w="791" w:type="pct"/>
                  <w:vAlign w:val="center"/>
                </w:tcPr>
                <w:p w14:paraId="777EA445">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eastAsia" w:cs="Times New Roman"/>
                      <w:color w:val="000000" w:themeColor="text1"/>
                      <w:sz w:val="21"/>
                      <w:szCs w:val="21"/>
                      <w:lang w:val="en-US" w:eastAsia="zh-CN"/>
                    </w:rPr>
                    <w:t>简单</w:t>
                  </w:r>
                  <w:r>
                    <w:rPr>
                      <w:rFonts w:hint="default" w:ascii="Times New Roman" w:hAnsi="Times New Roman" w:eastAsia="宋体" w:cs="Times New Roman"/>
                      <w:color w:val="000000" w:themeColor="text1"/>
                      <w:sz w:val="21"/>
                      <w:szCs w:val="21"/>
                    </w:rPr>
                    <w:t>防渗区</w:t>
                  </w:r>
                </w:p>
              </w:tc>
              <w:tc>
                <w:tcPr>
                  <w:tcW w:w="781" w:type="pct"/>
                  <w:vAlign w:val="center"/>
                </w:tcPr>
                <w:p w14:paraId="2CCA867F">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地面</w:t>
                  </w:r>
                </w:p>
              </w:tc>
              <w:tc>
                <w:tcPr>
                  <w:tcW w:w="2283" w:type="pct"/>
                  <w:vAlign w:val="center"/>
                </w:tcPr>
                <w:p w14:paraId="47213874">
                  <w:pPr>
                    <w:pStyle w:val="100"/>
                    <w:adjustRightInd w:val="0"/>
                    <w:snapToGrid w:val="0"/>
                    <w:spacing w:before="31" w:after="31"/>
                    <w:rPr>
                      <w:rFonts w:hint="default" w:ascii="Times New Roman" w:hAnsi="Times New Roman" w:eastAsia="宋体" w:cs="Times New Roman"/>
                      <w:color w:val="000000" w:themeColor="text1"/>
                      <w:sz w:val="21"/>
                      <w:szCs w:val="21"/>
                    </w:rPr>
                  </w:pPr>
                  <w:r>
                    <w:rPr>
                      <w:rFonts w:hint="eastAsia" w:ascii="Times New Roman" w:hAnsi="Times New Roman" w:eastAsia="宋体" w:cs="Times New Roman"/>
                      <w:bCs/>
                      <w:color w:val="000000" w:themeColor="text1"/>
                      <w:sz w:val="21"/>
                      <w:szCs w:val="21"/>
                      <w:lang w:val="en-US" w:eastAsia="zh-CN"/>
                    </w:rPr>
                    <w:t>地面硬化处理</w:t>
                  </w:r>
                </w:p>
              </w:tc>
            </w:tr>
          </w:tbl>
          <w:p w14:paraId="0792165B">
            <w:pPr>
              <w:pStyle w:val="122"/>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rFonts w:hint="default" w:ascii="Times New Roman" w:hAnsi="Times New Roman" w:eastAsia="宋体" w:cs="Times New Roman"/>
                <w:b/>
                <w:bCs/>
                <w:color w:val="000000" w:themeColor="text1"/>
              </w:rPr>
            </w:pPr>
            <w:r>
              <w:rPr>
                <w:rFonts w:hint="default" w:ascii="Times New Roman" w:hAnsi="Times New Roman" w:cs="Times New Roman"/>
                <w:color w:val="000000" w:themeColor="text1"/>
              </w:rPr>
              <w:t>由污染途径及对应措施分析可知，项目对可能产生地下水影响的各项途径均进行有效预防，在确保各项防渗措施得以落实，并加强维护和厂区环境管理的前提下，可有效控制厂区内的废水污染物下渗现象，避免污染地下水，因此项目不会对区域地下水环境产生明显影响。</w:t>
            </w:r>
          </w:p>
          <w:p w14:paraId="787B854A">
            <w:pPr>
              <w:pStyle w:val="129"/>
              <w:keepNext w:val="0"/>
              <w:keepLines w:val="0"/>
              <w:pageBreakBefore w:val="0"/>
              <w:widowControl w:val="0"/>
              <w:numPr>
                <w:ilvl w:val="0"/>
                <w:numId w:val="0"/>
              </w:numPr>
              <w:kinsoku/>
              <w:wordWrap/>
              <w:overflowPunct/>
              <w:topLinePunct w:val="0"/>
              <w:autoSpaceDE/>
              <w:autoSpaceDN/>
              <w:bidi w:val="0"/>
              <w:adjustRightInd w:val="0"/>
              <w:snapToGrid w:val="0"/>
              <w:ind w:firstLine="482" w:firstLineChars="20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lang w:val="en-US" w:eastAsia="zh-CN"/>
              </w:rPr>
              <w:t>6、</w:t>
            </w:r>
            <w:r>
              <w:rPr>
                <w:rFonts w:hint="default" w:ascii="Times New Roman" w:hAnsi="Times New Roman" w:eastAsia="宋体" w:cs="Times New Roman"/>
                <w:b/>
                <w:bCs/>
                <w:color w:val="000000" w:themeColor="text1"/>
              </w:rPr>
              <w:t>环境风险影响分析</w:t>
            </w:r>
          </w:p>
          <w:p w14:paraId="26001158">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环境风险评价的工作重点是预测事故</w:t>
            </w:r>
            <w:r>
              <w:rPr>
                <w:rFonts w:hint="eastAsia" w:cs="Times New Roman"/>
                <w:color w:val="000000" w:themeColor="text1"/>
                <w:sz w:val="24"/>
                <w:szCs w:val="24"/>
                <w:lang w:val="en-US" w:eastAsia="zh-CN"/>
              </w:rPr>
              <w:t>发生</w:t>
            </w:r>
            <w:r>
              <w:rPr>
                <w:rFonts w:hint="default" w:ascii="Times New Roman" w:hAnsi="Times New Roman" w:eastAsia="宋体" w:cs="Times New Roman"/>
                <w:color w:val="000000" w:themeColor="text1"/>
                <w:sz w:val="24"/>
                <w:szCs w:val="24"/>
                <w:lang w:val="en-US" w:eastAsia="zh-CN"/>
              </w:rPr>
              <w:t>主要为涉及有毒有害和易燃易爆危险物质生产、使用、储存（包括使用管线</w:t>
            </w:r>
            <w:r>
              <w:rPr>
                <w:rFonts w:hint="eastAsia" w:cs="Times New Roman"/>
                <w:color w:val="000000" w:themeColor="text1"/>
                <w:sz w:val="24"/>
                <w:szCs w:val="24"/>
                <w:lang w:val="en-US" w:eastAsia="zh-CN"/>
              </w:rPr>
              <w:t>运输</w:t>
            </w:r>
            <w:r>
              <w:rPr>
                <w:rFonts w:hint="default" w:ascii="Times New Roman" w:hAnsi="Times New Roman" w:eastAsia="宋体" w:cs="Times New Roman"/>
                <w:color w:val="000000" w:themeColor="text1"/>
                <w:sz w:val="24"/>
                <w:szCs w:val="24"/>
                <w:lang w:val="en-US" w:eastAsia="zh-CN"/>
              </w:rPr>
              <w:t>）的</w:t>
            </w:r>
            <w:r>
              <w:rPr>
                <w:rFonts w:hint="eastAsia" w:cs="Times New Roman"/>
                <w:color w:val="000000" w:themeColor="text1"/>
                <w:sz w:val="24"/>
                <w:szCs w:val="24"/>
                <w:lang w:val="en-US" w:eastAsia="zh-CN"/>
              </w:rPr>
              <w:t>建设项目</w:t>
            </w:r>
            <w:r>
              <w:rPr>
                <w:rFonts w:hint="default" w:ascii="Times New Roman" w:hAnsi="Times New Roman" w:eastAsia="宋体" w:cs="Times New Roman"/>
                <w:color w:val="000000" w:themeColor="text1"/>
                <w:sz w:val="24"/>
                <w:szCs w:val="24"/>
                <w:lang w:val="en-US" w:eastAsia="zh-CN"/>
              </w:rPr>
              <w:t>引起厂界外人群的伤害、环境质量的恶化，并提出相应的防护措施。风险识别</w:t>
            </w:r>
            <w:r>
              <w:rPr>
                <w:rFonts w:hint="eastAsia" w:cs="Times New Roman"/>
                <w:color w:val="000000" w:themeColor="text1"/>
                <w:sz w:val="24"/>
                <w:szCs w:val="24"/>
                <w:lang w:val="en-US" w:eastAsia="zh-CN"/>
              </w:rPr>
              <w:t>范围</w:t>
            </w:r>
            <w:r>
              <w:rPr>
                <w:rFonts w:hint="default" w:ascii="Times New Roman" w:hAnsi="Times New Roman" w:eastAsia="宋体" w:cs="Times New Roman"/>
                <w:color w:val="000000" w:themeColor="text1"/>
                <w:sz w:val="24"/>
                <w:szCs w:val="24"/>
                <w:lang w:val="en-US" w:eastAsia="zh-CN"/>
              </w:rPr>
              <w:t>可能发生的突发性事故（不包括人为破坏及自然灾害引发的事故）的环境风险评价。</w:t>
            </w:r>
          </w:p>
          <w:p w14:paraId="16B66AC5">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rPr>
              <w:t>（1）项目环境风险调查</w:t>
            </w:r>
          </w:p>
          <w:p w14:paraId="3A610D69">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rPr>
              <w:t>1）风险源调查</w:t>
            </w:r>
          </w:p>
          <w:p w14:paraId="742F4AE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000000" w:themeColor="text1"/>
                <w:sz w:val="24"/>
              </w:rPr>
            </w:pPr>
            <w:r>
              <w:rPr>
                <w:rFonts w:ascii="Times New Roman" w:hAnsi="Times New Roman" w:eastAsia="宋体" w:cs="Times New Roman"/>
                <w:color w:val="000000" w:themeColor="text1"/>
                <w:sz w:val="24"/>
              </w:rPr>
              <w:t>对照《建设项目环境风险评价技术导则》（HJ</w:t>
            </w:r>
            <w:r>
              <w:rPr>
                <w:rFonts w:hint="eastAsia" w:ascii="Times New Roman" w:hAnsi="Times New Roman" w:eastAsia="宋体" w:cs="Times New Roman"/>
                <w:color w:val="000000" w:themeColor="text1"/>
                <w:sz w:val="24"/>
                <w:lang w:val="en-US" w:eastAsia="zh-CN"/>
              </w:rPr>
              <w:t xml:space="preserve"> </w:t>
            </w:r>
            <w:r>
              <w:rPr>
                <w:rFonts w:ascii="Times New Roman" w:hAnsi="Times New Roman" w:eastAsia="宋体" w:cs="Times New Roman"/>
                <w:color w:val="000000" w:themeColor="text1"/>
                <w:sz w:val="24"/>
              </w:rPr>
              <w:t>169-2018</w:t>
            </w:r>
            <w:r>
              <w:rPr>
                <w:rFonts w:hint="eastAsia" w:ascii="Times New Roman" w:hAnsi="Times New Roman" w:eastAsia="宋体" w:cs="Times New Roman"/>
                <w:color w:val="000000" w:themeColor="text1"/>
                <w:sz w:val="24"/>
                <w:lang w:eastAsia="zh-CN"/>
              </w:rPr>
              <w:t>）</w:t>
            </w:r>
            <w:r>
              <w:rPr>
                <w:rFonts w:ascii="Times New Roman" w:hAnsi="Times New Roman" w:eastAsia="宋体" w:cs="Times New Roman"/>
                <w:color w:val="000000" w:themeColor="text1"/>
                <w:sz w:val="24"/>
              </w:rPr>
              <w:t>附录B，</w:t>
            </w:r>
            <w:r>
              <w:rPr>
                <w:rFonts w:hint="eastAsia" w:ascii="Times New Roman" w:hAnsi="Times New Roman" w:eastAsia="宋体" w:cs="Times New Roman"/>
                <w:color w:val="000000" w:themeColor="text1"/>
                <w:sz w:val="24"/>
                <w:lang w:val="en-US" w:eastAsia="zh-CN"/>
              </w:rPr>
              <w:t>本次</w:t>
            </w:r>
            <w:r>
              <w:rPr>
                <w:rFonts w:hint="eastAsia" w:cs="Times New Roman"/>
                <w:color w:val="000000" w:themeColor="text1"/>
                <w:sz w:val="24"/>
                <w:lang w:val="en-US" w:eastAsia="zh-CN"/>
              </w:rPr>
              <w:t>扩建项目</w:t>
            </w:r>
            <w:r>
              <w:rPr>
                <w:rFonts w:hint="eastAsia" w:ascii="Times New Roman" w:hAnsi="Times New Roman" w:eastAsia="宋体" w:cs="Times New Roman"/>
                <w:color w:val="000000" w:themeColor="text1"/>
                <w:sz w:val="24"/>
                <w:lang w:val="en-US" w:eastAsia="zh-CN"/>
              </w:rPr>
              <w:t>不涉及</w:t>
            </w:r>
            <w:r>
              <w:rPr>
                <w:rFonts w:ascii="Times New Roman" w:hAnsi="Times New Roman" w:eastAsia="宋体" w:cs="Times New Roman"/>
                <w:color w:val="000000" w:themeColor="text1"/>
                <w:sz w:val="24"/>
              </w:rPr>
              <w:t>危险物质</w:t>
            </w:r>
            <w:r>
              <w:rPr>
                <w:rFonts w:hint="eastAsia" w:ascii="Times New Roman" w:hAnsi="Times New Roman" w:eastAsia="宋体" w:cs="Times New Roman"/>
                <w:color w:val="000000" w:themeColor="text1"/>
                <w:sz w:val="24"/>
                <w:lang w:eastAsia="zh-CN"/>
              </w:rPr>
              <w:t>，</w:t>
            </w:r>
            <w:r>
              <w:rPr>
                <w:rFonts w:hint="eastAsia" w:ascii="Times New Roman" w:hAnsi="Times New Roman" w:eastAsia="宋体" w:cs="Times New Roman"/>
                <w:color w:val="000000" w:themeColor="text1"/>
                <w:sz w:val="24"/>
                <w:lang w:val="en-US" w:eastAsia="zh-CN"/>
              </w:rPr>
              <w:t>现有</w:t>
            </w:r>
            <w:r>
              <w:rPr>
                <w:rFonts w:ascii="Times New Roman" w:hAnsi="Times New Roman" w:eastAsia="宋体" w:cs="Times New Roman"/>
                <w:color w:val="000000" w:themeColor="text1"/>
                <w:sz w:val="24"/>
              </w:rPr>
              <w:t>项目生产中</w:t>
            </w:r>
            <w:r>
              <w:rPr>
                <w:rFonts w:hint="eastAsia" w:cs="Times New Roman"/>
                <w:color w:val="000000" w:themeColor="text1"/>
                <w:sz w:val="24"/>
                <w:lang w:eastAsia="zh-CN"/>
              </w:rPr>
              <w:t>涉及</w:t>
            </w:r>
            <w:r>
              <w:rPr>
                <w:rFonts w:ascii="Times New Roman" w:hAnsi="Times New Roman" w:eastAsia="宋体" w:cs="Times New Roman"/>
                <w:color w:val="000000" w:themeColor="text1"/>
                <w:sz w:val="24"/>
              </w:rPr>
              <w:t>的危险物质主要为</w:t>
            </w:r>
            <w:r>
              <w:rPr>
                <w:rFonts w:hint="eastAsia" w:ascii="Times New Roman" w:hAnsi="Times New Roman" w:eastAsia="宋体" w:cs="Times New Roman"/>
                <w:color w:val="000000" w:themeColor="text1"/>
                <w:sz w:val="24"/>
                <w:lang w:val="en-US" w:eastAsia="zh-CN"/>
              </w:rPr>
              <w:t>润滑油、废润滑油</w:t>
            </w:r>
            <w:r>
              <w:rPr>
                <w:rFonts w:ascii="Times New Roman" w:hAnsi="Times New Roman" w:eastAsia="宋体" w:cs="Times New Roman"/>
                <w:color w:val="000000" w:themeColor="text1"/>
                <w:sz w:val="24"/>
              </w:rPr>
              <w:t>。</w:t>
            </w:r>
          </w:p>
          <w:p w14:paraId="4DE1574A">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rPr>
            </w:pPr>
            <w:r>
              <w:rPr>
                <w:rFonts w:hint="eastAsia" w:ascii="Times New Roman" w:hAnsi="Times New Roman" w:eastAsia="宋体" w:cs="Times New Roman"/>
                <w:color w:val="000000" w:themeColor="text1"/>
                <w:sz w:val="24"/>
              </w:rPr>
              <w:t>项目主要</w:t>
            </w:r>
            <w:r>
              <w:rPr>
                <w:rFonts w:hint="eastAsia" w:ascii="Times New Roman" w:hAnsi="Times New Roman" w:cs="Times New Roman"/>
                <w:color w:val="000000" w:themeColor="text1"/>
                <w:sz w:val="24"/>
                <w:lang w:val="en-US" w:eastAsia="zh-CN"/>
              </w:rPr>
              <w:t>风险</w:t>
            </w:r>
            <w:r>
              <w:rPr>
                <w:rFonts w:hint="eastAsia" w:ascii="Times New Roman" w:hAnsi="Times New Roman" w:eastAsia="宋体" w:cs="Times New Roman"/>
                <w:color w:val="000000" w:themeColor="text1"/>
                <w:sz w:val="24"/>
              </w:rPr>
              <w:t>物质理化性质如下表所示。</w:t>
            </w:r>
          </w:p>
          <w:p w14:paraId="0B25EA8E">
            <w:pPr>
              <w:pStyle w:val="2"/>
              <w:spacing w:line="240" w:lineRule="auto"/>
              <w:jc w:val="center"/>
              <w:outlineLvl w:val="0"/>
              <w:rPr>
                <w:rFonts w:hint="eastAsia"/>
                <w:b/>
                <w:bCs/>
                <w:color w:val="000000" w:themeColor="text1"/>
                <w:sz w:val="21"/>
                <w:szCs w:val="21"/>
              </w:rPr>
            </w:pPr>
            <w:r>
              <w:rPr>
                <w:rFonts w:hint="eastAsia"/>
                <w:b/>
                <w:bCs/>
                <w:color w:val="000000" w:themeColor="text1"/>
                <w:sz w:val="21"/>
                <w:szCs w:val="21"/>
              </w:rPr>
              <w:t>表4-</w:t>
            </w:r>
            <w:r>
              <w:rPr>
                <w:rFonts w:hint="eastAsia"/>
                <w:b/>
                <w:bCs/>
                <w:color w:val="000000" w:themeColor="text1"/>
                <w:sz w:val="21"/>
                <w:szCs w:val="21"/>
                <w:lang w:val="en-US" w:eastAsia="zh-CN"/>
              </w:rPr>
              <w:t>30</w:t>
            </w:r>
            <w:r>
              <w:rPr>
                <w:rFonts w:hint="eastAsia"/>
                <w:b/>
                <w:bCs/>
                <w:color w:val="000000" w:themeColor="text1"/>
                <w:sz w:val="21"/>
                <w:szCs w:val="21"/>
              </w:rPr>
              <w:t xml:space="preserve">   天然气理化性质及危险特性一览表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430"/>
              <w:gridCol w:w="1400"/>
              <w:gridCol w:w="1680"/>
              <w:gridCol w:w="753"/>
              <w:gridCol w:w="1828"/>
              <w:gridCol w:w="604"/>
            </w:tblGrid>
            <w:tr w14:paraId="0DBD5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restart"/>
                  <w:noWrap w:val="0"/>
                  <w:vAlign w:val="center"/>
                </w:tcPr>
                <w:p w14:paraId="262F57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标识</w:t>
                  </w:r>
                </w:p>
              </w:tc>
              <w:tc>
                <w:tcPr>
                  <w:tcW w:w="5701" w:type="dxa"/>
                  <w:gridSpan w:val="4"/>
                  <w:noWrap w:val="0"/>
                  <w:vAlign w:val="center"/>
                </w:tcPr>
                <w:p w14:paraId="575DA3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中文名：天然气（含甲烷的，压缩的）</w:t>
                  </w:r>
                </w:p>
              </w:tc>
              <w:tc>
                <w:tcPr>
                  <w:tcW w:w="2631" w:type="dxa"/>
                  <w:gridSpan w:val="2"/>
                  <w:noWrap w:val="0"/>
                  <w:vAlign w:val="center"/>
                </w:tcPr>
                <w:p w14:paraId="3666A7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危险货物编号:21007</w:t>
                  </w:r>
                </w:p>
              </w:tc>
            </w:tr>
            <w:tr w14:paraId="1046A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07D50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5701" w:type="dxa"/>
                  <w:gridSpan w:val="4"/>
                  <w:noWrap w:val="0"/>
                  <w:vAlign w:val="center"/>
                </w:tcPr>
                <w:p w14:paraId="5C18BB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英文名：Natural gas</w:t>
                  </w:r>
                </w:p>
              </w:tc>
              <w:tc>
                <w:tcPr>
                  <w:tcW w:w="2631" w:type="dxa"/>
                  <w:gridSpan w:val="2"/>
                  <w:noWrap w:val="0"/>
                  <w:vAlign w:val="center"/>
                </w:tcPr>
                <w:p w14:paraId="51AB15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UN编号：1971</w:t>
                  </w:r>
                </w:p>
              </w:tc>
            </w:tr>
            <w:tr w14:paraId="5879A8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6384F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3069" w:type="dxa"/>
                  <w:gridSpan w:val="2"/>
                  <w:noWrap w:val="0"/>
                  <w:vAlign w:val="center"/>
                </w:tcPr>
                <w:p w14:paraId="2298E1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分子式：/</w:t>
                  </w:r>
                </w:p>
              </w:tc>
              <w:tc>
                <w:tcPr>
                  <w:tcW w:w="2632" w:type="dxa"/>
                  <w:gridSpan w:val="2"/>
                  <w:noWrap w:val="0"/>
                  <w:vAlign w:val="center"/>
                </w:tcPr>
                <w:p w14:paraId="54132C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分子量：/</w:t>
                  </w:r>
                </w:p>
              </w:tc>
              <w:tc>
                <w:tcPr>
                  <w:tcW w:w="2631" w:type="dxa"/>
                  <w:gridSpan w:val="2"/>
                  <w:noWrap w:val="0"/>
                  <w:vAlign w:val="center"/>
                </w:tcPr>
                <w:p w14:paraId="75690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CAS号：</w:t>
                  </w:r>
                  <w:r>
                    <w:rPr>
                      <w:rFonts w:ascii="TimesNewRomanPSMT" w:hAnsi="TimesNewRomanPSMT" w:eastAsia="TimesNewRomanPSMT" w:cs="TimesNewRomanPSMT"/>
                      <w:color w:val="000000" w:themeColor="text1"/>
                      <w:kern w:val="0"/>
                      <w:sz w:val="21"/>
                      <w:szCs w:val="21"/>
                      <w:lang w:bidi="ar"/>
                    </w:rPr>
                    <w:t>8006-14-2</w:t>
                  </w:r>
                </w:p>
              </w:tc>
            </w:tr>
            <w:tr w14:paraId="6148E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restart"/>
                  <w:noWrap w:val="0"/>
                  <w:vAlign w:val="center"/>
                </w:tcPr>
                <w:p w14:paraId="5498D9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理化性质</w:t>
                  </w:r>
                </w:p>
              </w:tc>
              <w:tc>
                <w:tcPr>
                  <w:tcW w:w="1551" w:type="dxa"/>
                  <w:noWrap w:val="0"/>
                  <w:vAlign w:val="center"/>
                </w:tcPr>
                <w:p w14:paraId="1D687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外观与形状</w:t>
                  </w:r>
                </w:p>
              </w:tc>
              <w:tc>
                <w:tcPr>
                  <w:tcW w:w="6781" w:type="dxa"/>
                  <w:gridSpan w:val="5"/>
                  <w:noWrap w:val="0"/>
                  <w:vAlign w:val="center"/>
                </w:tcPr>
                <w:p w14:paraId="7F79E8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无色无臭气体</w:t>
                  </w:r>
                </w:p>
              </w:tc>
            </w:tr>
            <w:tr w14:paraId="279AB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0AB9F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59D1DF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熔点（℃）</w:t>
                  </w:r>
                </w:p>
              </w:tc>
              <w:tc>
                <w:tcPr>
                  <w:tcW w:w="1518" w:type="dxa"/>
                  <w:noWrap w:val="0"/>
                  <w:vAlign w:val="center"/>
                </w:tcPr>
                <w:p w14:paraId="384D3338">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0"/>
                    <w:rPr>
                      <w:color w:val="000000" w:themeColor="text1"/>
                      <w:sz w:val="21"/>
                      <w:szCs w:val="21"/>
                    </w:rPr>
                  </w:pPr>
                  <w:r>
                    <w:rPr>
                      <w:rFonts w:hint="eastAsia"/>
                      <w:color w:val="000000" w:themeColor="text1"/>
                      <w:sz w:val="21"/>
                      <w:szCs w:val="21"/>
                    </w:rPr>
                    <w:t>/</w:t>
                  </w:r>
                </w:p>
              </w:tc>
              <w:tc>
                <w:tcPr>
                  <w:tcW w:w="1826" w:type="dxa"/>
                  <w:noWrap w:val="0"/>
                  <w:vAlign w:val="center"/>
                </w:tcPr>
                <w:p w14:paraId="3DFCD5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相对密度（水=1）</w:t>
                  </w:r>
                </w:p>
              </w:tc>
              <w:tc>
                <w:tcPr>
                  <w:tcW w:w="806" w:type="dxa"/>
                  <w:noWrap w:val="0"/>
                  <w:vAlign w:val="center"/>
                </w:tcPr>
                <w:p w14:paraId="0ABE80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0.415</w:t>
                  </w:r>
                </w:p>
              </w:tc>
              <w:tc>
                <w:tcPr>
                  <w:tcW w:w="1989" w:type="dxa"/>
                  <w:noWrap w:val="0"/>
                  <w:vAlign w:val="center"/>
                </w:tcPr>
                <w:p w14:paraId="573D5B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相对密度（空气=1）</w:t>
                  </w:r>
                </w:p>
              </w:tc>
              <w:tc>
                <w:tcPr>
                  <w:tcW w:w="642" w:type="dxa"/>
                  <w:noWrap w:val="0"/>
                  <w:vAlign w:val="center"/>
                </w:tcPr>
                <w:p w14:paraId="009E8E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0.55</w:t>
                  </w:r>
                </w:p>
              </w:tc>
            </w:tr>
            <w:tr w14:paraId="69A9E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046712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6FA54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沸点（℃）</w:t>
                  </w:r>
                </w:p>
              </w:tc>
              <w:tc>
                <w:tcPr>
                  <w:tcW w:w="1518" w:type="dxa"/>
                  <w:noWrap w:val="0"/>
                  <w:vAlign w:val="center"/>
                </w:tcPr>
                <w:p w14:paraId="1C67D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-161.5</w:t>
                  </w:r>
                </w:p>
              </w:tc>
              <w:tc>
                <w:tcPr>
                  <w:tcW w:w="2632" w:type="dxa"/>
                  <w:gridSpan w:val="2"/>
                  <w:noWrap w:val="0"/>
                  <w:vAlign w:val="center"/>
                </w:tcPr>
                <w:p w14:paraId="3AC2A2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饱和蒸气压（kPa）</w:t>
                  </w:r>
                </w:p>
              </w:tc>
              <w:tc>
                <w:tcPr>
                  <w:tcW w:w="2631" w:type="dxa"/>
                  <w:gridSpan w:val="2"/>
                  <w:noWrap w:val="0"/>
                  <w:vAlign w:val="center"/>
                </w:tcPr>
                <w:p w14:paraId="6A079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r>
            <w:tr w14:paraId="793D8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22DE18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713FF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溶解性</w:t>
                  </w:r>
                </w:p>
              </w:tc>
              <w:tc>
                <w:tcPr>
                  <w:tcW w:w="6781" w:type="dxa"/>
                  <w:gridSpan w:val="5"/>
                  <w:noWrap w:val="0"/>
                  <w:vAlign w:val="center"/>
                </w:tcPr>
                <w:p w14:paraId="3A3EE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微溶于水，溶于乙醇、乙醚</w:t>
                  </w:r>
                </w:p>
              </w:tc>
            </w:tr>
            <w:tr w14:paraId="38603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restart"/>
                  <w:noWrap w:val="0"/>
                  <w:vAlign w:val="center"/>
                </w:tcPr>
                <w:p w14:paraId="34FA3F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毒性及健康危害</w:t>
                  </w:r>
                </w:p>
              </w:tc>
              <w:tc>
                <w:tcPr>
                  <w:tcW w:w="1551" w:type="dxa"/>
                  <w:noWrap w:val="0"/>
                  <w:vAlign w:val="center"/>
                </w:tcPr>
                <w:p w14:paraId="3881D9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侵入途径</w:t>
                  </w:r>
                </w:p>
              </w:tc>
              <w:tc>
                <w:tcPr>
                  <w:tcW w:w="6781" w:type="dxa"/>
                  <w:gridSpan w:val="5"/>
                  <w:noWrap w:val="0"/>
                  <w:vAlign w:val="center"/>
                </w:tcPr>
                <w:p w14:paraId="70ABD3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吸入</w:t>
                  </w:r>
                </w:p>
              </w:tc>
            </w:tr>
            <w:tr w14:paraId="23AF17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40A04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66D38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毒性</w:t>
                  </w:r>
                </w:p>
              </w:tc>
              <w:tc>
                <w:tcPr>
                  <w:tcW w:w="6781" w:type="dxa"/>
                  <w:gridSpan w:val="5"/>
                  <w:noWrap w:val="0"/>
                  <w:vAlign w:val="center"/>
                </w:tcPr>
                <w:p w14:paraId="3204A3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r>
            <w:tr w14:paraId="45005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26C91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7C0694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rPr>
                  </w:pPr>
                  <w:r>
                    <w:rPr>
                      <w:rFonts w:hint="eastAsia"/>
                      <w:color w:val="000000" w:themeColor="text1"/>
                      <w:sz w:val="21"/>
                      <w:szCs w:val="21"/>
                    </w:rPr>
                    <w:t>健康危害</w:t>
                  </w:r>
                </w:p>
              </w:tc>
              <w:tc>
                <w:tcPr>
                  <w:tcW w:w="6781" w:type="dxa"/>
                  <w:gridSpan w:val="5"/>
                  <w:noWrap w:val="0"/>
                  <w:vAlign w:val="center"/>
                </w:tcPr>
                <w:p w14:paraId="503417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天然气主要由甲烷组成，其性质与纯甲烷相似，属“单纯窒息性”气体，高浓度时因缺氧而引起窒息。空气中甲烷浓度达到25%~30%时，出现头昏、呼吸加速、运动失调。</w:t>
                  </w:r>
                </w:p>
              </w:tc>
            </w:tr>
            <w:tr w14:paraId="41B9F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1DF4E6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p>
              </w:tc>
              <w:tc>
                <w:tcPr>
                  <w:tcW w:w="1551" w:type="dxa"/>
                  <w:noWrap w:val="0"/>
                  <w:vAlign w:val="center"/>
                </w:tcPr>
                <w:p w14:paraId="6C7BC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急救方法</w:t>
                  </w:r>
                </w:p>
              </w:tc>
              <w:tc>
                <w:tcPr>
                  <w:tcW w:w="6781" w:type="dxa"/>
                  <w:gridSpan w:val="5"/>
                  <w:noWrap w:val="0"/>
                  <w:vAlign w:val="center"/>
                </w:tcPr>
                <w:p w14:paraId="26B5C5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应使吸入天然气的患者脱离污染区，安置休息并保暖；当呼吸失调时进行输氧；如呼吸停止，应先清洗口腔和呼吸道中的粘液及呕吐物，然后立即进行口对口人工呼吸，并送医院急救。</w:t>
                  </w:r>
                </w:p>
              </w:tc>
            </w:tr>
            <w:tr w14:paraId="2B66E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restart"/>
                  <w:noWrap w:val="0"/>
                  <w:vAlign w:val="center"/>
                </w:tcPr>
                <w:p w14:paraId="41BCDB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rPr>
                  </w:pPr>
                  <w:r>
                    <w:rPr>
                      <w:rFonts w:hint="eastAsia"/>
                      <w:b/>
                      <w:bCs/>
                      <w:color w:val="000000" w:themeColor="text1"/>
                      <w:sz w:val="21"/>
                      <w:szCs w:val="21"/>
                    </w:rPr>
                    <w:t>燃烧爆炸危险性</w:t>
                  </w:r>
                </w:p>
              </w:tc>
              <w:tc>
                <w:tcPr>
                  <w:tcW w:w="1551" w:type="dxa"/>
                  <w:noWrap w:val="0"/>
                  <w:vAlign w:val="center"/>
                </w:tcPr>
                <w:p w14:paraId="7DEABC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燃烧性</w:t>
                  </w:r>
                </w:p>
              </w:tc>
              <w:tc>
                <w:tcPr>
                  <w:tcW w:w="1518" w:type="dxa"/>
                  <w:noWrap w:val="0"/>
                  <w:vAlign w:val="center"/>
                </w:tcPr>
                <w:p w14:paraId="09BA59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易燃</w:t>
                  </w:r>
                </w:p>
              </w:tc>
              <w:tc>
                <w:tcPr>
                  <w:tcW w:w="2632" w:type="dxa"/>
                  <w:gridSpan w:val="2"/>
                  <w:noWrap w:val="0"/>
                  <w:vAlign w:val="center"/>
                </w:tcPr>
                <w:p w14:paraId="1F792E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燃烧分解物</w:t>
                  </w:r>
                </w:p>
              </w:tc>
              <w:tc>
                <w:tcPr>
                  <w:tcW w:w="2631" w:type="dxa"/>
                  <w:gridSpan w:val="2"/>
                  <w:noWrap w:val="0"/>
                  <w:vAlign w:val="center"/>
                </w:tcPr>
                <w:p w14:paraId="44848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r>
            <w:tr w14:paraId="310DB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383B34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584A94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闪点（℃）</w:t>
                  </w:r>
                </w:p>
              </w:tc>
              <w:tc>
                <w:tcPr>
                  <w:tcW w:w="1518" w:type="dxa"/>
                  <w:noWrap w:val="0"/>
                  <w:vAlign w:val="center"/>
                </w:tcPr>
                <w:p w14:paraId="2614EC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w:t>
                  </w:r>
                </w:p>
              </w:tc>
              <w:tc>
                <w:tcPr>
                  <w:tcW w:w="2632" w:type="dxa"/>
                  <w:gridSpan w:val="2"/>
                  <w:noWrap w:val="0"/>
                  <w:vAlign w:val="center"/>
                </w:tcPr>
                <w:p w14:paraId="0FA82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爆炸上限（v%）</w:t>
                  </w:r>
                </w:p>
              </w:tc>
              <w:tc>
                <w:tcPr>
                  <w:tcW w:w="2631" w:type="dxa"/>
                  <w:gridSpan w:val="2"/>
                  <w:noWrap w:val="0"/>
                  <w:vAlign w:val="center"/>
                </w:tcPr>
                <w:p w14:paraId="432917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15</w:t>
                  </w:r>
                </w:p>
              </w:tc>
            </w:tr>
            <w:tr w14:paraId="555B4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5F4D3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430B2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引燃温度（℃）</w:t>
                  </w:r>
                </w:p>
              </w:tc>
              <w:tc>
                <w:tcPr>
                  <w:tcW w:w="1518" w:type="dxa"/>
                  <w:noWrap w:val="0"/>
                  <w:vAlign w:val="center"/>
                </w:tcPr>
                <w:p w14:paraId="56B38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537</w:t>
                  </w:r>
                </w:p>
              </w:tc>
              <w:tc>
                <w:tcPr>
                  <w:tcW w:w="2632" w:type="dxa"/>
                  <w:gridSpan w:val="2"/>
                  <w:noWrap w:val="0"/>
                  <w:vAlign w:val="center"/>
                </w:tcPr>
                <w:p w14:paraId="042C53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爆炸下限（v%）</w:t>
                  </w:r>
                </w:p>
              </w:tc>
              <w:tc>
                <w:tcPr>
                  <w:tcW w:w="2631" w:type="dxa"/>
                  <w:gridSpan w:val="2"/>
                  <w:noWrap w:val="0"/>
                  <w:vAlign w:val="center"/>
                </w:tcPr>
                <w:p w14:paraId="31F9C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5.3</w:t>
                  </w:r>
                </w:p>
              </w:tc>
            </w:tr>
            <w:tr w14:paraId="0C92A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14C926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105108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危险特性</w:t>
                  </w:r>
                </w:p>
              </w:tc>
              <w:tc>
                <w:tcPr>
                  <w:tcW w:w="6781" w:type="dxa"/>
                  <w:gridSpan w:val="5"/>
                  <w:noWrap w:val="0"/>
                  <w:vAlign w:val="center"/>
                </w:tcPr>
                <w:p w14:paraId="59227D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蒸气能与空气形成爆炸性混合物；遇热源、明火有着火、爆炸危险。与五氟化溴、氯气、次氯酸、三氟化氮、液氧、二氟化溴、强氧化剂接触剧烈反应。</w:t>
                  </w:r>
                </w:p>
              </w:tc>
            </w:tr>
            <w:tr w14:paraId="53739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5505B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571CC1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储运条件</w:t>
                  </w:r>
                </w:p>
              </w:tc>
              <w:tc>
                <w:tcPr>
                  <w:tcW w:w="6781" w:type="dxa"/>
                  <w:gridSpan w:val="5"/>
                  <w:noWrap w:val="0"/>
                  <w:vAlign w:val="center"/>
                </w:tcPr>
                <w:p w14:paraId="1B596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储存于阴凉、通风良好的专用库房内或大型气柜，远离容易起火的地方。与五氟化溴、氯气、次氯酸、三氟化氮、液氧、二氟化溴、强氧化剂隔离储运。</w:t>
                  </w:r>
                </w:p>
              </w:tc>
            </w:tr>
            <w:tr w14:paraId="5F274E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2AC40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527FAD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rPr>
                  </w:pPr>
                  <w:r>
                    <w:rPr>
                      <w:rFonts w:hint="eastAsia"/>
                      <w:color w:val="000000" w:themeColor="text1"/>
                      <w:sz w:val="21"/>
                      <w:szCs w:val="21"/>
                    </w:rPr>
                    <w:t>泄露处理</w:t>
                  </w:r>
                </w:p>
              </w:tc>
              <w:tc>
                <w:tcPr>
                  <w:tcW w:w="6781" w:type="dxa"/>
                  <w:gridSpan w:val="5"/>
                  <w:noWrap w:val="0"/>
                  <w:vAlign w:val="center"/>
                </w:tcPr>
                <w:p w14:paraId="6C0E31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1"/>
                      <w:szCs w:val="21"/>
                    </w:rPr>
                  </w:pPr>
                  <w:r>
                    <w:rPr>
                      <w:rFonts w:hint="eastAsia"/>
                      <w:color w:val="000000" w:themeColor="text1"/>
                      <w:sz w:val="21"/>
                      <w:szCs w:val="21"/>
                    </w:rPr>
                    <w:t>泄露处理：切断火源，勿使其燃烧，同时关闭阀门，制止泄露；并用雾状水保护阀门人员，操作时必须穿戴防毒面具与手套。对残余废气或钢瓶泄露出气要用排风机排至空旷地方。</w:t>
                  </w:r>
                </w:p>
              </w:tc>
            </w:tr>
            <w:tr w14:paraId="38D9A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55" w:type="dxa"/>
                  <w:vMerge w:val="continue"/>
                  <w:noWrap w:val="0"/>
                  <w:vAlign w:val="center"/>
                </w:tcPr>
                <w:p w14:paraId="67BB0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p>
              </w:tc>
              <w:tc>
                <w:tcPr>
                  <w:tcW w:w="1551" w:type="dxa"/>
                  <w:noWrap w:val="0"/>
                  <w:vAlign w:val="center"/>
                </w:tcPr>
                <w:p w14:paraId="0E452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灭火方法</w:t>
                  </w:r>
                </w:p>
              </w:tc>
              <w:tc>
                <w:tcPr>
                  <w:tcW w:w="6781" w:type="dxa"/>
                  <w:gridSpan w:val="5"/>
                  <w:noWrap w:val="0"/>
                  <w:vAlign w:val="center"/>
                </w:tcPr>
                <w:p w14:paraId="4752D5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1"/>
                      <w:szCs w:val="21"/>
                    </w:rPr>
                  </w:pPr>
                  <w:r>
                    <w:rPr>
                      <w:rFonts w:hint="eastAsia"/>
                      <w:color w:val="000000" w:themeColor="text1"/>
                      <w:sz w:val="21"/>
                      <w:szCs w:val="21"/>
                    </w:rPr>
                    <w:t>切断气源，喷水冷却容器。灭火剂：雾状水、泡沫、干粉、二氧化碳</w:t>
                  </w:r>
                </w:p>
              </w:tc>
            </w:tr>
          </w:tbl>
          <w:p w14:paraId="3A58E2EB">
            <w:pPr>
              <w:pStyle w:val="3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after="0" w:line="240" w:lineRule="auto"/>
              <w:ind w:leftChars="0"/>
              <w:jc w:val="center"/>
              <w:textAlignment w:val="auto"/>
              <w:rPr>
                <w:rFonts w:ascii="Times New Roman" w:hAnsi="Times New Roman" w:eastAsia="宋体"/>
                <w:b/>
                <w:bCs/>
                <w:color w:val="000000" w:themeColor="text1"/>
                <w:sz w:val="21"/>
                <w:szCs w:val="21"/>
              </w:rPr>
            </w:pPr>
            <w:r>
              <w:rPr>
                <w:rFonts w:hint="eastAsia" w:ascii="Times New Roman" w:hAnsi="Times New Roman" w:cs="Times New Roman"/>
                <w:b/>
                <w:bCs/>
                <w:color w:val="000000" w:themeColor="text1"/>
                <w:sz w:val="21"/>
                <w:szCs w:val="21"/>
                <w:lang w:val="en-US" w:eastAsia="zh-CN"/>
              </w:rPr>
              <w:t xml:space="preserve">表4-31 </w:t>
            </w:r>
            <w:r>
              <w:rPr>
                <w:rFonts w:hint="eastAsia" w:ascii="Times New Roman" w:hAnsi="Times New Roman" w:eastAsia="宋体" w:cs="Times New Roman"/>
                <w:b/>
                <w:bCs/>
                <w:color w:val="000000" w:themeColor="text1"/>
                <w:sz w:val="21"/>
                <w:szCs w:val="21"/>
              </w:rPr>
              <w:t>矿物油的理化性质和危险特性</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075"/>
              <w:gridCol w:w="1441"/>
              <w:gridCol w:w="1203"/>
              <w:gridCol w:w="1237"/>
              <w:gridCol w:w="1211"/>
              <w:gridCol w:w="1197"/>
            </w:tblGrid>
            <w:tr w14:paraId="66CCD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3A1735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标识</w:t>
                  </w:r>
                </w:p>
              </w:tc>
              <w:tc>
                <w:tcPr>
                  <w:tcW w:w="3719" w:type="dxa"/>
                  <w:gridSpan w:val="3"/>
                  <w:tcBorders>
                    <w:tl2br w:val="nil"/>
                    <w:tr2bl w:val="nil"/>
                  </w:tcBorders>
                  <w:noWrap w:val="0"/>
                  <w:vAlign w:val="top"/>
                </w:tcPr>
                <w:p w14:paraId="69AC42E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olor w:val="000000" w:themeColor="text1"/>
                      <w:sz w:val="21"/>
                      <w:szCs w:val="21"/>
                      <w:lang w:val="en-US" w:eastAsia="zh-CN"/>
                    </w:rPr>
                  </w:pPr>
                  <w:r>
                    <w:rPr>
                      <w:rFonts w:hint="eastAsia" w:ascii="Times New Roman" w:hAnsi="Times New Roman" w:eastAsia="宋体"/>
                      <w:color w:val="000000" w:themeColor="text1"/>
                      <w:sz w:val="21"/>
                      <w:szCs w:val="21"/>
                    </w:rPr>
                    <w:t>中文名：</w:t>
                  </w:r>
                  <w:r>
                    <w:rPr>
                      <w:rFonts w:hint="eastAsia" w:ascii="Times New Roman" w:hAnsi="Times New Roman" w:eastAsia="宋体"/>
                      <w:color w:val="000000" w:themeColor="text1"/>
                      <w:sz w:val="21"/>
                      <w:szCs w:val="21"/>
                      <w:lang w:val="en-US" w:eastAsia="zh-CN"/>
                    </w:rPr>
                    <w:t>矿物油</w:t>
                  </w:r>
                </w:p>
              </w:tc>
              <w:tc>
                <w:tcPr>
                  <w:tcW w:w="3645" w:type="dxa"/>
                  <w:gridSpan w:val="3"/>
                  <w:tcBorders>
                    <w:tl2br w:val="nil"/>
                    <w:tr2bl w:val="nil"/>
                  </w:tcBorders>
                  <w:noWrap w:val="0"/>
                  <w:vAlign w:val="top"/>
                </w:tcPr>
                <w:p w14:paraId="35C6684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英文名：Iubricating</w:t>
                  </w:r>
                </w:p>
              </w:tc>
            </w:tr>
            <w:tr w14:paraId="1726D2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tcBorders>
                    <w:tl2br w:val="nil"/>
                    <w:tr2bl w:val="nil"/>
                  </w:tcBorders>
                  <w:noWrap w:val="0"/>
                  <w:vAlign w:val="center"/>
                </w:tcPr>
                <w:p w14:paraId="443E6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理化性质</w:t>
                  </w:r>
                </w:p>
              </w:tc>
              <w:tc>
                <w:tcPr>
                  <w:tcW w:w="1075" w:type="dxa"/>
                  <w:tcBorders>
                    <w:tl2br w:val="nil"/>
                    <w:tr2bl w:val="nil"/>
                  </w:tcBorders>
                  <w:noWrap w:val="0"/>
                  <w:vAlign w:val="top"/>
                </w:tcPr>
                <w:p w14:paraId="2BC2D5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外观与性状</w:t>
                  </w:r>
                </w:p>
              </w:tc>
              <w:tc>
                <w:tcPr>
                  <w:tcW w:w="2644" w:type="dxa"/>
                  <w:gridSpan w:val="2"/>
                  <w:tcBorders>
                    <w:tl2br w:val="nil"/>
                    <w:tr2bl w:val="nil"/>
                  </w:tcBorders>
                  <w:noWrap w:val="0"/>
                  <w:vAlign w:val="top"/>
                </w:tcPr>
                <w:p w14:paraId="69903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淡黄色粘稠液体</w:t>
                  </w:r>
                </w:p>
              </w:tc>
              <w:tc>
                <w:tcPr>
                  <w:tcW w:w="1237" w:type="dxa"/>
                  <w:tcBorders>
                    <w:tl2br w:val="nil"/>
                    <w:tr2bl w:val="nil"/>
                  </w:tcBorders>
                  <w:noWrap w:val="0"/>
                  <w:vAlign w:val="top"/>
                </w:tcPr>
                <w:p w14:paraId="48B29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闪点（℃）</w:t>
                  </w:r>
                </w:p>
              </w:tc>
              <w:tc>
                <w:tcPr>
                  <w:tcW w:w="2408" w:type="dxa"/>
                  <w:gridSpan w:val="2"/>
                  <w:tcBorders>
                    <w:tl2br w:val="nil"/>
                    <w:tr2bl w:val="nil"/>
                  </w:tcBorders>
                  <w:noWrap w:val="0"/>
                  <w:vAlign w:val="top"/>
                </w:tcPr>
                <w:p w14:paraId="2ED59B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120</w:t>
                  </w:r>
                  <w:r>
                    <w:rPr>
                      <w:rFonts w:ascii="Times New Roman" w:hAnsi="Times New Roman" w:eastAsia="宋体" w:cs="Times New Roman"/>
                      <w:color w:val="000000" w:themeColor="text1"/>
                      <w:sz w:val="21"/>
                      <w:szCs w:val="21"/>
                    </w:rPr>
                    <w:t>~</w:t>
                  </w:r>
                  <w:r>
                    <w:rPr>
                      <w:rFonts w:hint="eastAsia" w:ascii="Times New Roman" w:hAnsi="Times New Roman" w:eastAsia="宋体"/>
                      <w:color w:val="000000" w:themeColor="text1"/>
                      <w:sz w:val="21"/>
                      <w:szCs w:val="21"/>
                    </w:rPr>
                    <w:t>340</w:t>
                  </w:r>
                </w:p>
              </w:tc>
            </w:tr>
            <w:tr w14:paraId="167B59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l2br w:val="nil"/>
                    <w:tr2bl w:val="nil"/>
                  </w:tcBorders>
                  <w:noWrap w:val="0"/>
                  <w:vAlign w:val="center"/>
                </w:tcPr>
                <w:p w14:paraId="0EB58B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p>
              </w:tc>
              <w:tc>
                <w:tcPr>
                  <w:tcW w:w="1075" w:type="dxa"/>
                  <w:tcBorders>
                    <w:tl2br w:val="nil"/>
                    <w:tr2bl w:val="nil"/>
                  </w:tcBorders>
                  <w:noWrap w:val="0"/>
                  <w:vAlign w:val="top"/>
                </w:tcPr>
                <w:p w14:paraId="1ED9A4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自燃点（℃）</w:t>
                  </w:r>
                </w:p>
              </w:tc>
              <w:tc>
                <w:tcPr>
                  <w:tcW w:w="1441" w:type="dxa"/>
                  <w:tcBorders>
                    <w:tl2br w:val="nil"/>
                    <w:tr2bl w:val="nil"/>
                  </w:tcBorders>
                  <w:noWrap w:val="0"/>
                  <w:vAlign w:val="top"/>
                </w:tcPr>
                <w:p w14:paraId="1569D1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300</w:t>
                  </w:r>
                  <w:r>
                    <w:rPr>
                      <w:rFonts w:ascii="Times New Roman" w:hAnsi="Times New Roman" w:eastAsia="宋体" w:cs="Times New Roman"/>
                      <w:color w:val="000000" w:themeColor="text1"/>
                      <w:sz w:val="21"/>
                      <w:szCs w:val="21"/>
                    </w:rPr>
                    <w:t>~</w:t>
                  </w:r>
                  <w:r>
                    <w:rPr>
                      <w:rFonts w:hint="eastAsia" w:ascii="Times New Roman" w:hAnsi="Times New Roman" w:eastAsia="宋体"/>
                      <w:color w:val="000000" w:themeColor="text1"/>
                      <w:sz w:val="21"/>
                      <w:szCs w:val="21"/>
                    </w:rPr>
                    <w:t>350</w:t>
                  </w:r>
                </w:p>
              </w:tc>
              <w:tc>
                <w:tcPr>
                  <w:tcW w:w="1203" w:type="dxa"/>
                  <w:tcBorders>
                    <w:tl2br w:val="nil"/>
                    <w:tr2bl w:val="nil"/>
                  </w:tcBorders>
                  <w:noWrap w:val="0"/>
                  <w:vAlign w:val="top"/>
                </w:tcPr>
                <w:p w14:paraId="60B5A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b/>
                      <w:bCs/>
                      <w:color w:val="000000" w:themeColor="text1"/>
                      <w:sz w:val="21"/>
                      <w:szCs w:val="21"/>
                    </w:rPr>
                    <w:t>相对密度（水=1）</w:t>
                  </w:r>
                </w:p>
              </w:tc>
              <w:tc>
                <w:tcPr>
                  <w:tcW w:w="1237" w:type="dxa"/>
                  <w:tcBorders>
                    <w:tl2br w:val="nil"/>
                    <w:tr2bl w:val="nil"/>
                  </w:tcBorders>
                  <w:noWrap w:val="0"/>
                  <w:vAlign w:val="top"/>
                </w:tcPr>
                <w:p w14:paraId="2D9FDE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934.8</w:t>
                  </w:r>
                </w:p>
              </w:tc>
              <w:tc>
                <w:tcPr>
                  <w:tcW w:w="1211" w:type="dxa"/>
                  <w:tcBorders>
                    <w:tl2br w:val="nil"/>
                    <w:tr2bl w:val="nil"/>
                  </w:tcBorders>
                  <w:noWrap w:val="0"/>
                  <w:vAlign w:val="top"/>
                </w:tcPr>
                <w:p w14:paraId="4DED29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b/>
                      <w:bCs/>
                      <w:color w:val="000000" w:themeColor="text1"/>
                      <w:sz w:val="21"/>
                      <w:szCs w:val="21"/>
                    </w:rPr>
                    <w:t>相对密度（空气=1）</w:t>
                  </w:r>
                </w:p>
              </w:tc>
              <w:tc>
                <w:tcPr>
                  <w:tcW w:w="1197" w:type="dxa"/>
                  <w:tcBorders>
                    <w:tl2br w:val="nil"/>
                    <w:tr2bl w:val="nil"/>
                  </w:tcBorders>
                  <w:noWrap w:val="0"/>
                  <w:vAlign w:val="top"/>
                </w:tcPr>
                <w:p w14:paraId="290BA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0.85</w:t>
                  </w:r>
                </w:p>
              </w:tc>
            </w:tr>
            <w:tr w14:paraId="0EC955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l2br w:val="nil"/>
                    <w:tr2bl w:val="nil"/>
                  </w:tcBorders>
                  <w:noWrap w:val="0"/>
                  <w:vAlign w:val="center"/>
                </w:tcPr>
                <w:p w14:paraId="1E2322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p>
              </w:tc>
              <w:tc>
                <w:tcPr>
                  <w:tcW w:w="1075" w:type="dxa"/>
                  <w:tcBorders>
                    <w:tl2br w:val="nil"/>
                    <w:tr2bl w:val="nil"/>
                  </w:tcBorders>
                  <w:noWrap w:val="0"/>
                  <w:vAlign w:val="top"/>
                </w:tcPr>
                <w:p w14:paraId="71577A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沸点（℃）</w:t>
                  </w:r>
                </w:p>
              </w:tc>
              <w:tc>
                <w:tcPr>
                  <w:tcW w:w="1441" w:type="dxa"/>
                  <w:tcBorders>
                    <w:tl2br w:val="nil"/>
                    <w:tr2bl w:val="nil"/>
                  </w:tcBorders>
                  <w:noWrap w:val="0"/>
                  <w:vAlign w:val="top"/>
                </w:tcPr>
                <w:p w14:paraId="663501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-252.8</w:t>
                  </w:r>
                </w:p>
              </w:tc>
              <w:tc>
                <w:tcPr>
                  <w:tcW w:w="2440" w:type="dxa"/>
                  <w:gridSpan w:val="2"/>
                  <w:tcBorders>
                    <w:tl2br w:val="nil"/>
                    <w:tr2bl w:val="nil"/>
                  </w:tcBorders>
                  <w:noWrap w:val="0"/>
                  <w:vAlign w:val="top"/>
                </w:tcPr>
                <w:p w14:paraId="067A0D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b/>
                      <w:bCs/>
                      <w:color w:val="000000" w:themeColor="text1"/>
                      <w:sz w:val="21"/>
                      <w:szCs w:val="21"/>
                    </w:rPr>
                    <w:t>饱和蒸气压（kPa）</w:t>
                  </w:r>
                </w:p>
              </w:tc>
              <w:tc>
                <w:tcPr>
                  <w:tcW w:w="2408" w:type="dxa"/>
                  <w:gridSpan w:val="2"/>
                  <w:tcBorders>
                    <w:tl2br w:val="nil"/>
                    <w:tr2bl w:val="nil"/>
                  </w:tcBorders>
                  <w:noWrap w:val="0"/>
                  <w:vAlign w:val="top"/>
                </w:tcPr>
                <w:p w14:paraId="73BC79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0.13/145.8℃</w:t>
                  </w:r>
                </w:p>
              </w:tc>
            </w:tr>
            <w:tr w14:paraId="1BB55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l2br w:val="nil"/>
                    <w:tr2bl w:val="nil"/>
                  </w:tcBorders>
                  <w:noWrap w:val="0"/>
                  <w:vAlign w:val="center"/>
                </w:tcPr>
                <w:p w14:paraId="676CF7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p>
              </w:tc>
              <w:tc>
                <w:tcPr>
                  <w:tcW w:w="1075" w:type="dxa"/>
                  <w:tcBorders>
                    <w:tl2br w:val="nil"/>
                    <w:tr2bl w:val="nil"/>
                  </w:tcBorders>
                  <w:noWrap w:val="0"/>
                  <w:vAlign w:val="top"/>
                </w:tcPr>
                <w:p w14:paraId="0D372F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溶解性</w:t>
                  </w:r>
                </w:p>
              </w:tc>
              <w:tc>
                <w:tcPr>
                  <w:tcW w:w="6289" w:type="dxa"/>
                  <w:gridSpan w:val="5"/>
                  <w:tcBorders>
                    <w:tl2br w:val="nil"/>
                    <w:tr2bl w:val="nil"/>
                  </w:tcBorders>
                  <w:noWrap w:val="0"/>
                  <w:vAlign w:val="top"/>
                </w:tcPr>
                <w:p w14:paraId="5196A6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溶于苯、乙醇、乙醚、氯仿、丙酮等多数有机溶剂</w:t>
                  </w:r>
                </w:p>
              </w:tc>
            </w:tr>
            <w:tr w14:paraId="5A9D9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restart"/>
                  <w:tcBorders>
                    <w:tl2br w:val="nil"/>
                    <w:tr2bl w:val="nil"/>
                  </w:tcBorders>
                  <w:noWrap w:val="0"/>
                  <w:vAlign w:val="center"/>
                </w:tcPr>
                <w:p w14:paraId="7D56EB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燃烧爆炸危险</w:t>
                  </w:r>
                </w:p>
              </w:tc>
              <w:tc>
                <w:tcPr>
                  <w:tcW w:w="1075" w:type="dxa"/>
                  <w:tcBorders>
                    <w:tl2br w:val="nil"/>
                    <w:tr2bl w:val="nil"/>
                  </w:tcBorders>
                  <w:noWrap w:val="0"/>
                  <w:vAlign w:val="top"/>
                </w:tcPr>
                <w:p w14:paraId="18D6BF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危险特性</w:t>
                  </w:r>
                </w:p>
              </w:tc>
              <w:tc>
                <w:tcPr>
                  <w:tcW w:w="2644" w:type="dxa"/>
                  <w:gridSpan w:val="2"/>
                  <w:tcBorders>
                    <w:tl2br w:val="nil"/>
                    <w:tr2bl w:val="nil"/>
                  </w:tcBorders>
                  <w:noWrap w:val="0"/>
                  <w:vAlign w:val="top"/>
                </w:tcPr>
                <w:p w14:paraId="0DF0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可燃液体、火灾危险性为丙B类；遇明火、高热可燃</w:t>
                  </w:r>
                </w:p>
              </w:tc>
              <w:tc>
                <w:tcPr>
                  <w:tcW w:w="3645" w:type="dxa"/>
                  <w:gridSpan w:val="3"/>
                  <w:tcBorders>
                    <w:tl2br w:val="nil"/>
                    <w:tr2bl w:val="nil"/>
                  </w:tcBorders>
                  <w:noWrap w:val="0"/>
                  <w:vAlign w:val="top"/>
                </w:tcPr>
                <w:p w14:paraId="6A9B7B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燃烧分解产物 CO、CO</w:t>
                  </w:r>
                  <w:r>
                    <w:rPr>
                      <w:rFonts w:hint="eastAsia" w:ascii="Times New Roman" w:hAnsi="Times New Roman" w:eastAsia="宋体"/>
                      <w:color w:val="000000" w:themeColor="text1"/>
                      <w:sz w:val="21"/>
                      <w:szCs w:val="21"/>
                      <w:vertAlign w:val="subscript"/>
                    </w:rPr>
                    <w:t>2</w:t>
                  </w:r>
                  <w:r>
                    <w:rPr>
                      <w:rFonts w:hint="eastAsia" w:ascii="Times New Roman" w:hAnsi="Times New Roman" w:eastAsia="宋体"/>
                      <w:color w:val="000000" w:themeColor="text1"/>
                      <w:sz w:val="21"/>
                      <w:szCs w:val="21"/>
                    </w:rPr>
                    <w:t>等有毒有害气体</w:t>
                  </w:r>
                </w:p>
              </w:tc>
            </w:tr>
            <w:tr w14:paraId="13EA1F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l2br w:val="nil"/>
                    <w:tr2bl w:val="nil"/>
                  </w:tcBorders>
                  <w:noWrap w:val="0"/>
                  <w:vAlign w:val="center"/>
                </w:tcPr>
                <w:p w14:paraId="6AAF0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p>
              </w:tc>
              <w:tc>
                <w:tcPr>
                  <w:tcW w:w="1075" w:type="dxa"/>
                  <w:tcBorders>
                    <w:tl2br w:val="nil"/>
                    <w:tr2bl w:val="nil"/>
                  </w:tcBorders>
                  <w:noWrap w:val="0"/>
                  <w:vAlign w:val="top"/>
                </w:tcPr>
                <w:p w14:paraId="5913F0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稳定性</w:t>
                  </w:r>
                </w:p>
              </w:tc>
              <w:tc>
                <w:tcPr>
                  <w:tcW w:w="2644" w:type="dxa"/>
                  <w:gridSpan w:val="2"/>
                  <w:tcBorders>
                    <w:tl2br w:val="nil"/>
                    <w:tr2bl w:val="nil"/>
                  </w:tcBorders>
                  <w:noWrap w:val="0"/>
                  <w:vAlign w:val="top"/>
                </w:tcPr>
                <w:p w14:paraId="5363C04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稳定</w:t>
                  </w:r>
                </w:p>
              </w:tc>
              <w:tc>
                <w:tcPr>
                  <w:tcW w:w="3645" w:type="dxa"/>
                  <w:gridSpan w:val="3"/>
                  <w:tcBorders>
                    <w:tl2br w:val="nil"/>
                    <w:tr2bl w:val="nil"/>
                  </w:tcBorders>
                  <w:noWrap w:val="0"/>
                  <w:vAlign w:val="top"/>
                </w:tcPr>
                <w:p w14:paraId="2938B7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禁忌物 硝酸等强氧化剂</w:t>
                  </w:r>
                </w:p>
              </w:tc>
            </w:tr>
            <w:tr w14:paraId="043603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vMerge w:val="continue"/>
                  <w:tcBorders>
                    <w:tl2br w:val="nil"/>
                    <w:tr2bl w:val="nil"/>
                  </w:tcBorders>
                  <w:noWrap w:val="0"/>
                  <w:vAlign w:val="center"/>
                </w:tcPr>
                <w:p w14:paraId="106DE8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olor w:val="000000" w:themeColor="text1"/>
                      <w:sz w:val="21"/>
                      <w:szCs w:val="21"/>
                    </w:rPr>
                  </w:pPr>
                </w:p>
              </w:tc>
              <w:tc>
                <w:tcPr>
                  <w:tcW w:w="1075" w:type="dxa"/>
                  <w:tcBorders>
                    <w:tl2br w:val="nil"/>
                    <w:tr2bl w:val="nil"/>
                  </w:tcBorders>
                  <w:noWrap w:val="0"/>
                  <w:vAlign w:val="top"/>
                </w:tcPr>
                <w:p w14:paraId="161EE9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灭火方法</w:t>
                  </w:r>
                </w:p>
              </w:tc>
              <w:tc>
                <w:tcPr>
                  <w:tcW w:w="6289" w:type="dxa"/>
                  <w:gridSpan w:val="5"/>
                  <w:tcBorders>
                    <w:tl2br w:val="nil"/>
                    <w:tr2bl w:val="nil"/>
                  </w:tcBorders>
                  <w:noWrap w:val="0"/>
                  <w:vAlign w:val="top"/>
                </w:tcPr>
                <w:p w14:paraId="511CAB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消防人员须佩戴防毒面具、穿全身消防服，在上风向灭火。尽可能将容器从</w:t>
                  </w:r>
                  <w:r>
                    <w:rPr>
                      <w:rFonts w:hint="eastAsia" w:ascii="Times New Roman" w:hAnsi="Times New Roman"/>
                      <w:color w:val="000000" w:themeColor="text1"/>
                      <w:sz w:val="21"/>
                      <w:szCs w:val="21"/>
                      <w:lang w:eastAsia="zh-CN"/>
                    </w:rPr>
                    <w:t>火场</w:t>
                  </w:r>
                  <w:r>
                    <w:rPr>
                      <w:rFonts w:hint="eastAsia" w:ascii="Times New Roman" w:hAnsi="Times New Roman" w:eastAsia="宋体"/>
                      <w:color w:val="000000" w:themeColor="text1"/>
                      <w:sz w:val="21"/>
                      <w:szCs w:val="21"/>
                    </w:rPr>
                    <w:t>移至空旷处。喷水保持弧长容器冷却，直至灭火结束。处在火场中的容器若已变色或从安全泄压装置中产生声音，必须立即撤离。灭火剂：雾状水、泡沫、干粉、二氧化碳、砂土。</w:t>
                  </w:r>
                </w:p>
              </w:tc>
            </w:tr>
            <w:tr w14:paraId="31154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34FBB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健康危害</w:t>
                  </w:r>
                </w:p>
              </w:tc>
              <w:tc>
                <w:tcPr>
                  <w:tcW w:w="7364" w:type="dxa"/>
                  <w:gridSpan w:val="6"/>
                  <w:tcBorders>
                    <w:tl2br w:val="nil"/>
                    <w:tr2bl w:val="nil"/>
                  </w:tcBorders>
                  <w:noWrap w:val="0"/>
                  <w:vAlign w:val="top"/>
                </w:tcPr>
                <w:p w14:paraId="065069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急性吸入，可出现乏力、头晕、头痛恶心，严重者可引起油脂性肺炎。慢接触者，暴露部位可发生油性痤疮和接触性皮炎。可引发神经衰弱综合症，呼吸道和眼刺激症状及慢性油脂性肺炎。</w:t>
                  </w:r>
                </w:p>
              </w:tc>
            </w:tr>
            <w:tr w14:paraId="52DF3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790D34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急救措施</w:t>
                  </w:r>
                </w:p>
              </w:tc>
              <w:tc>
                <w:tcPr>
                  <w:tcW w:w="7364" w:type="dxa"/>
                  <w:gridSpan w:val="6"/>
                  <w:tcBorders>
                    <w:tl2br w:val="nil"/>
                    <w:tr2bl w:val="nil"/>
                  </w:tcBorders>
                  <w:noWrap w:val="0"/>
                  <w:vAlign w:val="top"/>
                </w:tcPr>
                <w:p w14:paraId="2312BE6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皮肤接触：脱去污染的衣着，用大量流动清水清洗，就医。</w:t>
                  </w:r>
                </w:p>
                <w:p w14:paraId="4592E3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眼接触：提起眼睑，用流动清水或生理盐水冲洗。就医。</w:t>
                  </w:r>
                </w:p>
                <w:p w14:paraId="0FFCA0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吸入：迅速脱离现场至空气新鲜处，保持呼吸畅通。如呼吸困难，给输氧。如呼吸停止，立即进行人工呼吸。就医。</w:t>
                  </w:r>
                </w:p>
                <w:p w14:paraId="036B6A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食用：饮适量温水，催吐。就医。</w:t>
                  </w:r>
                </w:p>
              </w:tc>
            </w:tr>
            <w:tr w14:paraId="50AD7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739B5F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防护处理</w:t>
                  </w:r>
                </w:p>
              </w:tc>
              <w:tc>
                <w:tcPr>
                  <w:tcW w:w="7364" w:type="dxa"/>
                  <w:gridSpan w:val="6"/>
                  <w:tcBorders>
                    <w:tl2br w:val="nil"/>
                    <w:tr2bl w:val="nil"/>
                  </w:tcBorders>
                  <w:noWrap w:val="0"/>
                  <w:vAlign w:val="top"/>
                </w:tcPr>
                <w:p w14:paraId="4D8ACB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呼吸系统防护：空气中浓度超标时，必须佩戴自吸过滤式防毒面具（半面罩）；紧急事态抢救或撤离时，应佩戴空气呼吸器。</w:t>
                  </w:r>
                </w:p>
                <w:p w14:paraId="5674A9C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眼睛防护：戴化学安全防护眼镜。身体防护：穿防毒渗透工作服。手防护：戴橡胶耐油手套。</w:t>
                  </w:r>
                </w:p>
                <w:p w14:paraId="6FD512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其他：工作现场严禁吸烟，避免长期反复接触。</w:t>
                  </w:r>
                </w:p>
              </w:tc>
            </w:tr>
            <w:tr w14:paraId="7942CF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668204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泄漏处理</w:t>
                  </w:r>
                </w:p>
              </w:tc>
              <w:tc>
                <w:tcPr>
                  <w:tcW w:w="7364" w:type="dxa"/>
                  <w:gridSpan w:val="6"/>
                  <w:tcBorders>
                    <w:tl2br w:val="nil"/>
                    <w:tr2bl w:val="nil"/>
                  </w:tcBorders>
                  <w:noWrap w:val="0"/>
                  <w:vAlign w:val="top"/>
                </w:tcPr>
                <w:p w14:paraId="3A1A51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迅速撤离泄漏污染区人员至安全区，并进行隔离，严格限制出入。切断火源。建议应急处理人员戴自给正式呼吸器，穿防毒服。尽可能切断泄漏源，防止流入下水道、排洪沟等限制性空间。小量泄漏：用砂土或其他不燃材料吸附或吸收，减少挥发。大量泄漏：构筑围堤或挖坑收容。用泵转移至槽车或专用收集器内，回收或运至废物处理场所处置。</w:t>
                  </w:r>
                </w:p>
              </w:tc>
            </w:tr>
            <w:tr w14:paraId="25947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0B31B4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储存要求</w:t>
                  </w:r>
                </w:p>
              </w:tc>
              <w:tc>
                <w:tcPr>
                  <w:tcW w:w="7364" w:type="dxa"/>
                  <w:gridSpan w:val="6"/>
                  <w:tcBorders>
                    <w:tl2br w:val="nil"/>
                    <w:tr2bl w:val="nil"/>
                  </w:tcBorders>
                  <w:noWrap w:val="0"/>
                  <w:vAlign w:val="top"/>
                </w:tcPr>
                <w:p w14:paraId="278B68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储存于阴凉、通风的库房。远离火种、热源。应与氧化剂分开存放，切忌混储。配备相应品种和数量的消防器材。储区应备有泄漏应急处理设备和合适的收容材料。</w:t>
                  </w:r>
                </w:p>
              </w:tc>
            </w:tr>
            <w:tr w14:paraId="778A6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42" w:type="dxa"/>
                  <w:tcBorders>
                    <w:tl2br w:val="nil"/>
                    <w:tr2bl w:val="nil"/>
                  </w:tcBorders>
                  <w:noWrap w:val="0"/>
                  <w:vAlign w:val="center"/>
                </w:tcPr>
                <w:p w14:paraId="7EC93B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b/>
                      <w:bCs/>
                      <w:color w:val="000000" w:themeColor="text1"/>
                      <w:sz w:val="21"/>
                      <w:szCs w:val="21"/>
                    </w:rPr>
                  </w:pPr>
                  <w:r>
                    <w:rPr>
                      <w:rFonts w:hint="eastAsia" w:ascii="Times New Roman" w:hAnsi="Times New Roman" w:eastAsia="宋体"/>
                      <w:b/>
                      <w:bCs/>
                      <w:color w:val="000000" w:themeColor="text1"/>
                      <w:sz w:val="21"/>
                      <w:szCs w:val="21"/>
                    </w:rPr>
                    <w:t>运输要求</w:t>
                  </w:r>
                </w:p>
              </w:tc>
              <w:tc>
                <w:tcPr>
                  <w:tcW w:w="7364" w:type="dxa"/>
                  <w:gridSpan w:val="6"/>
                  <w:tcBorders>
                    <w:tl2br w:val="nil"/>
                    <w:tr2bl w:val="nil"/>
                  </w:tcBorders>
                  <w:noWrap w:val="0"/>
                  <w:vAlign w:val="top"/>
                </w:tcPr>
                <w:p w14:paraId="4018F1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用油罐、油罐车、油船、铁通、塑料桶等盛装。盛装时切不可装满，要留出必要的安全空间。</w:t>
                  </w:r>
                </w:p>
                <w:p w14:paraId="4A5BB6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Times New Roman" w:hAnsi="Times New Roman" w:eastAsia="宋体"/>
                      <w:color w:val="000000" w:themeColor="text1"/>
                      <w:sz w:val="21"/>
                      <w:szCs w:val="21"/>
                    </w:rPr>
                  </w:pPr>
                  <w:r>
                    <w:rPr>
                      <w:rFonts w:hint="eastAsia" w:ascii="Times New Roman" w:hAnsi="Times New Roman" w:eastAsia="宋体"/>
                      <w:color w:val="000000" w:themeColor="text1"/>
                      <w:sz w:val="21"/>
                      <w:szCs w:val="21"/>
                    </w:rPr>
                    <w:t>运输前应先检查包装容器是否完整、密封，运输过程中要确保容器不泄露、不倒塌、不坠落、不损坏。严禁与氧化剂、食用化学品等混装混运。运输车船必须彻底清洗、消毒，否则不得装运其他物品。船运时，配装位置应远离</w:t>
                  </w:r>
                  <w:r>
                    <w:rPr>
                      <w:rFonts w:hint="eastAsia" w:ascii="Times New Roman" w:hAnsi="Times New Roman"/>
                      <w:color w:val="000000" w:themeColor="text1"/>
                      <w:sz w:val="21"/>
                      <w:szCs w:val="21"/>
                      <w:lang w:eastAsia="zh-CN"/>
                    </w:rPr>
                    <w:t>卧室</w:t>
                  </w:r>
                  <w:r>
                    <w:rPr>
                      <w:rFonts w:hint="eastAsia" w:ascii="Times New Roman" w:hAnsi="Times New Roman" w:eastAsia="宋体"/>
                      <w:color w:val="000000" w:themeColor="text1"/>
                      <w:sz w:val="21"/>
                      <w:szCs w:val="21"/>
                    </w:rPr>
                    <w:t>、厨房，并与机舱、电源、火源等部位隔离。公路运输时要按规定路线行驶。</w:t>
                  </w:r>
                </w:p>
              </w:tc>
            </w:tr>
          </w:tbl>
          <w:p w14:paraId="262F7B9F">
            <w:pPr>
              <w:keepNext w:val="0"/>
              <w:keepLines w:val="0"/>
              <w:suppressLineNumbers w:val="0"/>
              <w:spacing w:before="0" w:beforeAutospacing="0" w:after="0" w:afterAutospacing="0" w:line="360" w:lineRule="auto"/>
              <w:ind w:left="0" w:right="0" w:firstLine="420"/>
              <w:rPr>
                <w:rFonts w:hint="default" w:ascii="Times New Roman" w:hAnsi="Times New Roman" w:eastAsia="宋体" w:cs="Times New Roman"/>
                <w:color w:val="000000" w:themeColor="text1"/>
                <w:sz w:val="24"/>
              </w:rPr>
            </w:pPr>
            <w:r>
              <w:rPr>
                <w:rFonts w:hint="default" w:ascii="Times New Roman" w:hAnsi="Times New Roman" w:eastAsia="宋体" w:cs="Times New Roman"/>
                <w:color w:val="000000" w:themeColor="text1"/>
                <w:sz w:val="24"/>
              </w:rPr>
              <w:t>2）环境风险潜势初判</w:t>
            </w:r>
          </w:p>
          <w:p w14:paraId="15C0ABBF">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据《建设项目环境风险评价技术导则》（HJ169-2018），计算项目所涉及的每种危险物质在厂界内的最大存在总量与其在附录B中对应临界量的比值</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。当存在多种危险物质时，则按下式计算物质总量与其临界量比值</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w:t>
            </w:r>
          </w:p>
          <w:p w14:paraId="1CABF0DA">
            <w:pPr>
              <w:keepNext w:val="0"/>
              <w:keepLines w:val="0"/>
              <w:pageBreakBefore w:val="0"/>
              <w:suppressLineNumbers w:val="0"/>
              <w:tabs>
                <w:tab w:val="center" w:pos="4200"/>
                <w:tab w:val="right" w:pos="8400"/>
              </w:tabs>
              <w:kinsoku/>
              <w:wordWrap/>
              <w:topLinePunct w:val="0"/>
              <w:bidi w:val="0"/>
              <w:adjustRightInd w:val="0"/>
              <w:snapToGrid w:val="0"/>
              <w:spacing w:before="0" w:beforeAutospacing="0" w:after="0" w:afterAutospacing="0"/>
              <w:ind w:left="0" w:right="0" w:firstLine="480"/>
              <w:jc w:val="center"/>
              <w:textAlignment w:val="center"/>
              <w:rPr>
                <w:rFonts w:hint="default" w:ascii="Times New Roman" w:hAnsi="Times New Roman" w:eastAsia="宋体" w:cs="Times New Roman"/>
                <w:color w:val="000000" w:themeColor="text1"/>
                <w:position w:val="-32"/>
              </w:rPr>
            </w:pPr>
            <w:r>
              <w:rPr>
                <w:rFonts w:hint="default" w:ascii="Times New Roman" w:hAnsi="Times New Roman" w:eastAsia="宋体" w:cs="Times New Roman"/>
                <w:color w:val="000000" w:themeColor="text1"/>
                <w:position w:val="-30"/>
              </w:rPr>
              <w:object>
                <v:shape id="_x0000_i1059" o:spt="75" type="#_x0000_t75" style="height:33.75pt;width:137.25pt;" o:ole="t" filled="f" o:preferrelative="t" stroked="f" coordsize="21600,21600">
                  <v:path/>
                  <v:fill on="f" focussize="0,0"/>
                  <v:stroke on="f" joinstyle="miter"/>
                  <v:imagedata r:id="rId88" o:title=""/>
                  <o:lock v:ext="edit" aspectratio="t"/>
                  <w10:wrap type="none"/>
                  <w10:anchorlock/>
                </v:shape>
                <o:OLEObject Type="Embed" ProgID="Equation.3" ShapeID="_x0000_i1059" DrawAspect="Content" ObjectID="_1468075760" r:id="rId87">
                  <o:LockedField>false</o:LockedField>
                </o:OLEObject>
              </w:object>
            </w:r>
          </w:p>
          <w:p w14:paraId="06367771">
            <w:pPr>
              <w:keepNext w:val="0"/>
              <w:keepLines w:val="0"/>
              <w:pageBreakBefore w:val="0"/>
              <w:suppressLineNumbers w:val="0"/>
              <w:kinsoku/>
              <w:wordWrap/>
              <w:topLinePunct w:val="0"/>
              <w:bidi w:val="0"/>
              <w:spacing w:before="0" w:beforeAutospacing="0" w:after="0" w:afterAutospacing="0"/>
              <w:ind w:left="0" w:right="0"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式中：</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1</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2</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3</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n</w:t>
            </w:r>
            <w:r>
              <w:rPr>
                <w:rFonts w:hint="default" w:ascii="Times New Roman" w:hAnsi="Times New Roman" w:eastAsia="宋体" w:cs="Times New Roman"/>
                <w:color w:val="000000" w:themeColor="text1"/>
              </w:rPr>
              <w:t>——每种危险物质的最大存在总量，t；</w:t>
            </w:r>
          </w:p>
          <w:p w14:paraId="7EC37B28">
            <w:pPr>
              <w:keepNext w:val="0"/>
              <w:keepLines w:val="0"/>
              <w:pageBreakBefore w:val="0"/>
              <w:suppressLineNumbers w:val="0"/>
              <w:kinsoku/>
              <w:wordWrap/>
              <w:topLinePunct w:val="0"/>
              <w:bidi w:val="0"/>
              <w:spacing w:before="0" w:beforeAutospacing="0" w:after="0" w:afterAutospacing="0"/>
              <w:ind w:left="0" w:right="0" w:firstLine="1200" w:firstLineChars="500"/>
              <w:rPr>
                <w:rFonts w:hint="default" w:ascii="Times New Roman" w:hAnsi="Times New Roman" w:eastAsia="宋体" w:cs="Times New Roman"/>
                <w:color w:val="000000" w:themeColor="text1"/>
              </w:rPr>
            </w:pP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1</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2</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i/>
                <w:iCs/>
                <w:color w:val="000000" w:themeColor="text1"/>
                <w:vertAlign w:val="subscript"/>
              </w:rPr>
              <w:t>3</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vertAlign w:val="subscript"/>
              </w:rPr>
              <w:t>n</w:t>
            </w:r>
            <w:r>
              <w:rPr>
                <w:rFonts w:hint="default" w:ascii="Times New Roman" w:hAnsi="Times New Roman" w:eastAsia="宋体" w:cs="Times New Roman"/>
                <w:color w:val="000000" w:themeColor="text1"/>
              </w:rPr>
              <w:t>——每种危险物质的临界量，t。</w:t>
            </w:r>
          </w:p>
          <w:p w14:paraId="14DE4CCD">
            <w:pPr>
              <w:keepNext w:val="0"/>
              <w:keepLines w:val="0"/>
              <w:pageBreakBefore w:val="0"/>
              <w:suppressLineNumbers w:val="0"/>
              <w:kinsoku/>
              <w:wordWrap/>
              <w:topLinePunct w:val="0"/>
              <w:bidi w:val="0"/>
              <w:spacing w:before="0" w:beforeAutospacing="0" w:after="0" w:afterAutospacing="0"/>
              <w:ind w:left="0" w:right="0" w:firstLine="1200" w:firstLineChars="5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当</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＜1时，该项目环境风险潜势为Ⅰ。</w:t>
            </w:r>
          </w:p>
          <w:p w14:paraId="4FDCA23F">
            <w:pPr>
              <w:keepNext w:val="0"/>
              <w:keepLines w:val="0"/>
              <w:pageBreakBefore w:val="0"/>
              <w:suppressLineNumbers w:val="0"/>
              <w:kinsoku/>
              <w:wordWrap/>
              <w:topLinePunct w:val="0"/>
              <w:bidi w:val="0"/>
              <w:spacing w:before="0" w:beforeAutospacing="0" w:after="0" w:afterAutospacing="0"/>
              <w:ind w:left="0" w:right="0" w:firstLine="1200" w:firstLineChars="50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当</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≥1时，将</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值划分为：（1）1≤</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＜10；（2）10≤</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＜100；（3）</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≥100。</w:t>
            </w:r>
          </w:p>
          <w:p w14:paraId="7E775609">
            <w:pPr>
              <w:keepNext w:val="0"/>
              <w:keepLines w:val="0"/>
              <w:pageBreakBefore w:val="0"/>
              <w:suppressLineNumbers w:val="0"/>
              <w:kinsoku/>
              <w:wordWrap/>
              <w:topLinePunct w:val="0"/>
              <w:bidi w:val="0"/>
              <w:spacing w:before="0" w:beforeAutospacing="0" w:after="0" w:afterAutospacing="0" w:line="240" w:lineRule="auto"/>
              <w:ind w:left="0" w:right="0" w:firstLine="482"/>
              <w:jc w:val="center"/>
              <w:rPr>
                <w:rFonts w:hint="default" w:ascii="Times New Roman" w:hAnsi="Times New Roman" w:eastAsia="宋体" w:cs="Times New Roman"/>
                <w:b/>
                <w:bCs/>
                <w:color w:val="000000" w:themeColor="text1"/>
                <w:sz w:val="21"/>
                <w:szCs w:val="21"/>
                <w:lang w:val="en-US" w:eastAsia="zh-CN"/>
              </w:rPr>
            </w:pPr>
            <w:r>
              <w:rPr>
                <w:rFonts w:hint="default" w:ascii="Times New Roman" w:hAnsi="Times New Roman" w:eastAsia="宋体" w:cs="Times New Roman"/>
                <w:b/>
                <w:bCs/>
                <w:color w:val="000000" w:themeColor="text1"/>
                <w:sz w:val="21"/>
                <w:szCs w:val="21"/>
              </w:rPr>
              <w:t>表4-</w:t>
            </w:r>
            <w:r>
              <w:rPr>
                <w:rFonts w:hint="eastAsia" w:cs="Times New Roman"/>
                <w:b/>
                <w:bCs/>
                <w:color w:val="000000" w:themeColor="text1"/>
                <w:sz w:val="21"/>
                <w:szCs w:val="21"/>
                <w:lang w:val="en-US" w:eastAsia="zh-CN"/>
              </w:rPr>
              <w:t>32</w:t>
            </w:r>
            <w:r>
              <w:rPr>
                <w:rFonts w:hint="eastAsia" w:ascii="Times New Roman" w:hAnsi="Times New Roman" w:eastAsia="宋体" w:cs="Times New Roman"/>
                <w:b/>
                <w:bCs/>
                <w:color w:val="000000" w:themeColor="text1"/>
                <w:sz w:val="21"/>
                <w:szCs w:val="21"/>
                <w:lang w:val="en-US" w:eastAsia="zh-CN"/>
              </w:rPr>
              <w:t xml:space="preserve"> </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bCs/>
                <w:color w:val="000000" w:themeColor="text1"/>
                <w:sz w:val="21"/>
                <w:szCs w:val="21"/>
                <w:lang w:val="en-US" w:eastAsia="zh-CN"/>
              </w:rPr>
              <w:t>危险源识别表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562"/>
              <w:gridCol w:w="1406"/>
              <w:gridCol w:w="1184"/>
              <w:gridCol w:w="1632"/>
              <w:gridCol w:w="1669"/>
            </w:tblGrid>
            <w:tr w14:paraId="07FAEC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2" w:type="pct"/>
                  <w:tcBorders>
                    <w:tl2br w:val="nil"/>
                    <w:tr2bl w:val="nil"/>
                  </w:tcBorders>
                  <w:noWrap w:val="0"/>
                  <w:vAlign w:val="center"/>
                </w:tcPr>
                <w:p w14:paraId="75D5EF1A">
                  <w:pPr>
                    <w:keepNext w:val="0"/>
                    <w:keepLines w:val="0"/>
                    <w:pageBreakBefore w:val="0"/>
                    <w:widowControl w:val="0"/>
                    <w:kinsoku/>
                    <w:wordWrap/>
                    <w:overflowPunct/>
                    <w:topLinePunct w:val="0"/>
                    <w:bidi w:val="0"/>
                    <w:spacing w:line="240" w:lineRule="auto"/>
                    <w:ind w:left="0" w:leftChars="0" w:firstLine="0" w:firstLineChars="0"/>
                    <w:jc w:val="center"/>
                    <w:textAlignment w:val="auto"/>
                    <w:rPr>
                      <w:b/>
                      <w:bCs/>
                      <w:color w:val="000000" w:themeColor="text1"/>
                      <w:sz w:val="21"/>
                      <w:szCs w:val="21"/>
                    </w:rPr>
                  </w:pPr>
                  <w:r>
                    <w:rPr>
                      <w:b/>
                      <w:bCs/>
                      <w:color w:val="000000" w:themeColor="text1"/>
                      <w:sz w:val="21"/>
                      <w:szCs w:val="21"/>
                    </w:rPr>
                    <w:t>序号</w:t>
                  </w:r>
                </w:p>
              </w:tc>
              <w:tc>
                <w:tcPr>
                  <w:tcW w:w="962" w:type="pct"/>
                  <w:tcBorders>
                    <w:tl2br w:val="nil"/>
                    <w:tr2bl w:val="nil"/>
                  </w:tcBorders>
                  <w:noWrap w:val="0"/>
                  <w:vAlign w:val="center"/>
                </w:tcPr>
                <w:p w14:paraId="026594B0">
                  <w:pPr>
                    <w:keepNext w:val="0"/>
                    <w:keepLines w:val="0"/>
                    <w:pageBreakBefore w:val="0"/>
                    <w:widowControl w:val="0"/>
                    <w:kinsoku/>
                    <w:wordWrap/>
                    <w:overflowPunct/>
                    <w:topLinePunct w:val="0"/>
                    <w:bidi w:val="0"/>
                    <w:spacing w:line="240" w:lineRule="auto"/>
                    <w:ind w:firstLine="0" w:firstLineChars="0"/>
                    <w:jc w:val="center"/>
                    <w:textAlignment w:val="auto"/>
                    <w:rPr>
                      <w:b/>
                      <w:bCs/>
                      <w:color w:val="000000" w:themeColor="text1"/>
                      <w:sz w:val="21"/>
                      <w:szCs w:val="21"/>
                    </w:rPr>
                  </w:pPr>
                  <w:r>
                    <w:rPr>
                      <w:b/>
                      <w:bCs/>
                      <w:color w:val="000000" w:themeColor="text1"/>
                      <w:sz w:val="21"/>
                      <w:szCs w:val="21"/>
                    </w:rPr>
                    <w:t>名称</w:t>
                  </w:r>
                </w:p>
              </w:tc>
              <w:tc>
                <w:tcPr>
                  <w:tcW w:w="865" w:type="pct"/>
                  <w:tcBorders>
                    <w:tl2br w:val="nil"/>
                    <w:tr2bl w:val="nil"/>
                  </w:tcBorders>
                  <w:noWrap w:val="0"/>
                  <w:vAlign w:val="center"/>
                </w:tcPr>
                <w:p w14:paraId="7867F6AE">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eastAsia="宋体"/>
                      <w:b/>
                      <w:bCs/>
                      <w:color w:val="000000" w:themeColor="text1"/>
                      <w:sz w:val="21"/>
                      <w:szCs w:val="21"/>
                      <w:lang w:eastAsia="zh-CN"/>
                    </w:rPr>
                  </w:pPr>
                  <w:r>
                    <w:rPr>
                      <w:b/>
                      <w:bCs/>
                      <w:color w:val="000000" w:themeColor="text1"/>
                      <w:sz w:val="21"/>
                      <w:szCs w:val="21"/>
                    </w:rPr>
                    <w:t>最大储量</w:t>
                  </w:r>
                  <w:r>
                    <w:rPr>
                      <w:rFonts w:hint="eastAsia"/>
                      <w:b/>
                      <w:bCs/>
                      <w:color w:val="000000" w:themeColor="text1"/>
                      <w:sz w:val="21"/>
                      <w:szCs w:val="21"/>
                    </w:rPr>
                    <w:t>（t</w:t>
                  </w:r>
                  <w:r>
                    <w:rPr>
                      <w:rFonts w:hint="eastAsia"/>
                      <w:b/>
                      <w:bCs/>
                      <w:color w:val="000000" w:themeColor="text1"/>
                      <w:sz w:val="21"/>
                      <w:szCs w:val="21"/>
                      <w:lang w:eastAsia="zh-CN"/>
                    </w:rPr>
                    <w:t>）</w:t>
                  </w:r>
                </w:p>
              </w:tc>
              <w:tc>
                <w:tcPr>
                  <w:tcW w:w="728" w:type="pct"/>
                  <w:tcBorders>
                    <w:tl2br w:val="nil"/>
                    <w:tr2bl w:val="nil"/>
                  </w:tcBorders>
                  <w:noWrap w:val="0"/>
                  <w:vAlign w:val="center"/>
                </w:tcPr>
                <w:p w14:paraId="2333D3AF">
                  <w:pPr>
                    <w:keepNext w:val="0"/>
                    <w:keepLines w:val="0"/>
                    <w:pageBreakBefore w:val="0"/>
                    <w:widowControl w:val="0"/>
                    <w:kinsoku/>
                    <w:wordWrap/>
                    <w:overflowPunct/>
                    <w:topLinePunct w:val="0"/>
                    <w:bidi w:val="0"/>
                    <w:spacing w:line="240" w:lineRule="auto"/>
                    <w:ind w:left="0" w:leftChars="0" w:firstLine="0" w:firstLineChars="0"/>
                    <w:jc w:val="center"/>
                    <w:textAlignment w:val="auto"/>
                    <w:rPr>
                      <w:b/>
                      <w:bCs/>
                      <w:color w:val="000000" w:themeColor="text1"/>
                      <w:sz w:val="21"/>
                      <w:szCs w:val="21"/>
                    </w:rPr>
                  </w:pPr>
                  <w:r>
                    <w:rPr>
                      <w:b/>
                      <w:bCs/>
                      <w:color w:val="000000" w:themeColor="text1"/>
                      <w:sz w:val="21"/>
                      <w:szCs w:val="21"/>
                    </w:rPr>
                    <w:t>CAS号</w:t>
                  </w:r>
                </w:p>
              </w:tc>
              <w:tc>
                <w:tcPr>
                  <w:tcW w:w="1004" w:type="pct"/>
                  <w:tcBorders>
                    <w:tl2br w:val="nil"/>
                    <w:tr2bl w:val="nil"/>
                  </w:tcBorders>
                  <w:noWrap w:val="0"/>
                  <w:vAlign w:val="center"/>
                </w:tcPr>
                <w:p w14:paraId="240C1A1B">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b/>
                      <w:bCs/>
                      <w:color w:val="000000" w:themeColor="text1"/>
                      <w:sz w:val="21"/>
                      <w:szCs w:val="21"/>
                      <w:lang w:eastAsia="zh-CN"/>
                    </w:rPr>
                  </w:pPr>
                  <w:r>
                    <w:rPr>
                      <w:b/>
                      <w:bCs/>
                      <w:color w:val="000000" w:themeColor="text1"/>
                      <w:sz w:val="21"/>
                      <w:szCs w:val="21"/>
                    </w:rPr>
                    <w:t>临界量（t</w:t>
                  </w:r>
                  <w:r>
                    <w:rPr>
                      <w:rFonts w:hint="eastAsia"/>
                      <w:b/>
                      <w:bCs/>
                      <w:color w:val="000000" w:themeColor="text1"/>
                      <w:sz w:val="21"/>
                      <w:szCs w:val="21"/>
                      <w:lang w:eastAsia="zh-CN"/>
                    </w:rPr>
                    <w:t>）</w:t>
                  </w:r>
                </w:p>
              </w:tc>
              <w:tc>
                <w:tcPr>
                  <w:tcW w:w="1027" w:type="pct"/>
                  <w:tcBorders>
                    <w:tl2br w:val="nil"/>
                    <w:tr2bl w:val="nil"/>
                  </w:tcBorders>
                  <w:noWrap w:val="0"/>
                  <w:vAlign w:val="center"/>
                </w:tcPr>
                <w:p w14:paraId="22D42751">
                  <w:pPr>
                    <w:keepNext w:val="0"/>
                    <w:keepLines w:val="0"/>
                    <w:pageBreakBefore w:val="0"/>
                    <w:widowControl w:val="0"/>
                    <w:kinsoku/>
                    <w:wordWrap/>
                    <w:overflowPunct/>
                    <w:topLinePunct w:val="0"/>
                    <w:bidi w:val="0"/>
                    <w:spacing w:line="240" w:lineRule="auto"/>
                    <w:ind w:firstLine="0" w:firstLineChars="0"/>
                    <w:jc w:val="center"/>
                    <w:textAlignment w:val="auto"/>
                    <w:rPr>
                      <w:b/>
                      <w:bCs/>
                      <w:color w:val="000000" w:themeColor="text1"/>
                      <w:sz w:val="21"/>
                      <w:szCs w:val="21"/>
                    </w:rPr>
                  </w:pPr>
                  <w:r>
                    <w:rPr>
                      <w:b/>
                      <w:bCs/>
                      <w:color w:val="000000" w:themeColor="text1"/>
                      <w:sz w:val="21"/>
                      <w:szCs w:val="21"/>
                    </w:rPr>
                    <w:t>Q值</w:t>
                  </w:r>
                </w:p>
              </w:tc>
            </w:tr>
            <w:tr w14:paraId="33B70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14:paraId="32FDDCEC">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color w:val="000000" w:themeColor="text1"/>
                      <w:sz w:val="21"/>
                      <w:szCs w:val="21"/>
                      <w:lang w:eastAsia="zh-CN"/>
                    </w:rPr>
                  </w:pPr>
                  <w:r>
                    <w:rPr>
                      <w:rFonts w:hint="eastAsia"/>
                      <w:color w:val="000000" w:themeColor="text1"/>
                      <w:sz w:val="21"/>
                      <w:szCs w:val="21"/>
                      <w:lang w:val="en-US" w:eastAsia="zh-CN"/>
                    </w:rPr>
                    <w:t>1</w:t>
                  </w:r>
                </w:p>
              </w:tc>
              <w:tc>
                <w:tcPr>
                  <w:tcW w:w="962" w:type="pct"/>
                  <w:tcBorders>
                    <w:tl2br w:val="nil"/>
                    <w:tr2bl w:val="nil"/>
                  </w:tcBorders>
                  <w:noWrap w:val="0"/>
                  <w:vAlign w:val="center"/>
                </w:tcPr>
                <w:p w14:paraId="637929D1">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润滑油</w:t>
                  </w:r>
                </w:p>
              </w:tc>
              <w:tc>
                <w:tcPr>
                  <w:tcW w:w="865" w:type="pct"/>
                  <w:tcBorders>
                    <w:tl2br w:val="nil"/>
                    <w:tr2bl w:val="nil"/>
                  </w:tcBorders>
                  <w:noWrap w:val="0"/>
                  <w:vAlign w:val="center"/>
                </w:tcPr>
                <w:p w14:paraId="54BBD371">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0.1</w:t>
                  </w:r>
                </w:p>
              </w:tc>
              <w:tc>
                <w:tcPr>
                  <w:tcW w:w="728" w:type="pct"/>
                  <w:tcBorders>
                    <w:tl2br w:val="nil"/>
                    <w:tr2bl w:val="nil"/>
                  </w:tcBorders>
                  <w:noWrap w:val="0"/>
                  <w:vAlign w:val="center"/>
                </w:tcPr>
                <w:p w14:paraId="18142F6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000000" w:themeColor="text1"/>
                      <w:sz w:val="21"/>
                      <w:szCs w:val="21"/>
                    </w:rPr>
                  </w:pPr>
                  <w:r>
                    <w:rPr>
                      <w:rFonts w:hint="eastAsia"/>
                      <w:color w:val="000000" w:themeColor="text1"/>
                      <w:sz w:val="21"/>
                      <w:szCs w:val="21"/>
                    </w:rPr>
                    <w:t>/</w:t>
                  </w:r>
                </w:p>
              </w:tc>
              <w:tc>
                <w:tcPr>
                  <w:tcW w:w="1004" w:type="pct"/>
                  <w:tcBorders>
                    <w:tl2br w:val="nil"/>
                    <w:tr2bl w:val="nil"/>
                  </w:tcBorders>
                  <w:noWrap w:val="0"/>
                  <w:vAlign w:val="center"/>
                </w:tcPr>
                <w:p w14:paraId="1045269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2500</w:t>
                  </w:r>
                </w:p>
              </w:tc>
              <w:tc>
                <w:tcPr>
                  <w:tcW w:w="1027" w:type="pct"/>
                  <w:tcBorders>
                    <w:tl2br w:val="nil"/>
                    <w:tr2bl w:val="nil"/>
                  </w:tcBorders>
                  <w:noWrap w:val="0"/>
                  <w:vAlign w:val="center"/>
                </w:tcPr>
                <w:p w14:paraId="508CEBD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0.00004</w:t>
                  </w:r>
                </w:p>
              </w:tc>
            </w:tr>
            <w:tr w14:paraId="0E24EF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14:paraId="7B87F215">
                  <w:pPr>
                    <w:keepNext w:val="0"/>
                    <w:keepLines w:val="0"/>
                    <w:pageBreakBefore w:val="0"/>
                    <w:widowControl w:val="0"/>
                    <w:kinsoku/>
                    <w:wordWrap/>
                    <w:overflowPunct/>
                    <w:topLinePunct w:val="0"/>
                    <w:bidi w:val="0"/>
                    <w:spacing w:line="240" w:lineRule="auto"/>
                    <w:ind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2</w:t>
                  </w:r>
                </w:p>
              </w:tc>
              <w:tc>
                <w:tcPr>
                  <w:tcW w:w="962" w:type="pct"/>
                  <w:tcBorders>
                    <w:tl2br w:val="nil"/>
                    <w:tr2bl w:val="nil"/>
                  </w:tcBorders>
                  <w:noWrap w:val="0"/>
                  <w:vAlign w:val="center"/>
                </w:tcPr>
                <w:p w14:paraId="7CAD799C">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eastAsia" w:eastAsia="宋体"/>
                      <w:color w:val="000000" w:themeColor="text1"/>
                      <w:sz w:val="21"/>
                      <w:szCs w:val="21"/>
                      <w:lang w:val="en-US" w:eastAsia="zh-CN"/>
                    </w:rPr>
                  </w:pPr>
                  <w:r>
                    <w:rPr>
                      <w:rFonts w:hint="eastAsia"/>
                      <w:color w:val="000000" w:themeColor="text1"/>
                      <w:sz w:val="21"/>
                      <w:szCs w:val="21"/>
                      <w:lang w:val="en-US" w:eastAsia="zh-CN"/>
                    </w:rPr>
                    <w:t>废润滑油</w:t>
                  </w:r>
                </w:p>
              </w:tc>
              <w:tc>
                <w:tcPr>
                  <w:tcW w:w="865" w:type="pct"/>
                  <w:tcBorders>
                    <w:tl2br w:val="nil"/>
                    <w:tr2bl w:val="nil"/>
                  </w:tcBorders>
                  <w:noWrap w:val="0"/>
                  <w:vAlign w:val="center"/>
                </w:tcPr>
                <w:p w14:paraId="4D8FD6E9">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rPr>
                    <w:t>0.</w:t>
                  </w:r>
                  <w:r>
                    <w:rPr>
                      <w:rFonts w:hint="eastAsia"/>
                      <w:color w:val="000000" w:themeColor="text1"/>
                      <w:sz w:val="21"/>
                      <w:szCs w:val="21"/>
                      <w:lang w:val="en-US" w:eastAsia="zh-CN"/>
                    </w:rPr>
                    <w:t>075</w:t>
                  </w:r>
                </w:p>
              </w:tc>
              <w:tc>
                <w:tcPr>
                  <w:tcW w:w="728" w:type="pct"/>
                  <w:tcBorders>
                    <w:tl2br w:val="nil"/>
                    <w:tr2bl w:val="nil"/>
                  </w:tcBorders>
                  <w:noWrap w:val="0"/>
                  <w:vAlign w:val="center"/>
                </w:tcPr>
                <w:p w14:paraId="31EB5C1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color w:val="000000" w:themeColor="text1"/>
                      <w:sz w:val="21"/>
                      <w:szCs w:val="21"/>
                    </w:rPr>
                  </w:pPr>
                  <w:r>
                    <w:rPr>
                      <w:rFonts w:hint="eastAsia"/>
                      <w:color w:val="000000" w:themeColor="text1"/>
                      <w:sz w:val="21"/>
                      <w:szCs w:val="21"/>
                    </w:rPr>
                    <w:t>/</w:t>
                  </w:r>
                </w:p>
              </w:tc>
              <w:tc>
                <w:tcPr>
                  <w:tcW w:w="1004" w:type="pct"/>
                  <w:tcBorders>
                    <w:tl2br w:val="nil"/>
                    <w:tr2bl w:val="nil"/>
                  </w:tcBorders>
                  <w:noWrap w:val="0"/>
                  <w:vAlign w:val="center"/>
                </w:tcPr>
                <w:p w14:paraId="70038D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2500</w:t>
                  </w:r>
                </w:p>
              </w:tc>
              <w:tc>
                <w:tcPr>
                  <w:tcW w:w="1027" w:type="pct"/>
                  <w:tcBorders>
                    <w:tl2br w:val="nil"/>
                    <w:tr2bl w:val="nil"/>
                  </w:tcBorders>
                  <w:noWrap w:val="0"/>
                  <w:vAlign w:val="center"/>
                </w:tcPr>
                <w:p w14:paraId="12698A8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0.00003</w:t>
                  </w:r>
                </w:p>
              </w:tc>
            </w:tr>
            <w:tr w14:paraId="37C3F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14:paraId="5B7D947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color w:val="000000" w:themeColor="text1"/>
                      <w:sz w:val="21"/>
                      <w:szCs w:val="21"/>
                      <w:lang w:val="en-US" w:eastAsia="zh-CN"/>
                    </w:rPr>
                  </w:pPr>
                  <w:r>
                    <w:rPr>
                      <w:rFonts w:hint="eastAsia"/>
                      <w:color w:val="000000" w:themeColor="text1"/>
                      <w:sz w:val="21"/>
                      <w:szCs w:val="21"/>
                      <w:lang w:val="en-US" w:eastAsia="zh-CN"/>
                    </w:rPr>
                    <w:t>3</w:t>
                  </w:r>
                </w:p>
              </w:tc>
              <w:tc>
                <w:tcPr>
                  <w:tcW w:w="962" w:type="pct"/>
                  <w:tcBorders>
                    <w:tl2br w:val="nil"/>
                    <w:tr2bl w:val="nil"/>
                  </w:tcBorders>
                  <w:noWrap w:val="0"/>
                  <w:vAlign w:val="center"/>
                </w:tcPr>
                <w:p w14:paraId="5DCF187F">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color w:val="000000" w:themeColor="text1"/>
                      <w:sz w:val="21"/>
                      <w:szCs w:val="21"/>
                      <w:lang w:val="en-US" w:eastAsia="zh-CN"/>
                    </w:rPr>
                  </w:pPr>
                  <w:r>
                    <w:rPr>
                      <w:rFonts w:hint="eastAsia"/>
                      <w:color w:val="000000" w:themeColor="text1"/>
                      <w:sz w:val="21"/>
                      <w:szCs w:val="21"/>
                      <w:lang w:val="en-US" w:eastAsia="zh-CN"/>
                    </w:rPr>
                    <w:t>天然气</w:t>
                  </w:r>
                </w:p>
              </w:tc>
              <w:tc>
                <w:tcPr>
                  <w:tcW w:w="865" w:type="pct"/>
                  <w:tcBorders>
                    <w:tl2br w:val="nil"/>
                    <w:tr2bl w:val="nil"/>
                  </w:tcBorders>
                  <w:noWrap w:val="0"/>
                  <w:vAlign w:val="center"/>
                </w:tcPr>
                <w:p w14:paraId="3FEB5545">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0.023t（在线量）</w:t>
                  </w:r>
                </w:p>
              </w:tc>
              <w:tc>
                <w:tcPr>
                  <w:tcW w:w="728" w:type="pct"/>
                  <w:tcBorders>
                    <w:tl2br w:val="nil"/>
                    <w:tr2bl w:val="nil"/>
                  </w:tcBorders>
                  <w:noWrap w:val="0"/>
                  <w:vAlign w:val="center"/>
                </w:tcPr>
                <w:p w14:paraId="3F40AEA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w:t>
                  </w:r>
                </w:p>
              </w:tc>
              <w:tc>
                <w:tcPr>
                  <w:tcW w:w="1004" w:type="pct"/>
                  <w:tcBorders>
                    <w:tl2br w:val="nil"/>
                    <w:tr2bl w:val="nil"/>
                  </w:tcBorders>
                  <w:noWrap w:val="0"/>
                  <w:vAlign w:val="center"/>
                </w:tcPr>
                <w:p w14:paraId="4A7C1B1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000000" w:themeColor="text1"/>
                      <w:sz w:val="21"/>
                      <w:szCs w:val="21"/>
                      <w:lang w:val="en-US" w:eastAsia="zh-CN"/>
                    </w:rPr>
                  </w:pPr>
                  <w:r>
                    <w:rPr>
                      <w:rFonts w:hint="eastAsia"/>
                      <w:color w:val="000000" w:themeColor="text1"/>
                      <w:sz w:val="21"/>
                      <w:szCs w:val="21"/>
                      <w:lang w:val="en-US" w:eastAsia="zh-CN"/>
                    </w:rPr>
                    <w:t>10</w:t>
                  </w:r>
                </w:p>
              </w:tc>
              <w:tc>
                <w:tcPr>
                  <w:tcW w:w="1027" w:type="pct"/>
                  <w:tcBorders>
                    <w:tl2br w:val="nil"/>
                    <w:tr2bl w:val="nil"/>
                  </w:tcBorders>
                  <w:noWrap w:val="0"/>
                  <w:vAlign w:val="center"/>
                </w:tcPr>
                <w:p w14:paraId="54B49EE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color w:val="000000" w:themeColor="text1"/>
                      <w:sz w:val="21"/>
                      <w:szCs w:val="21"/>
                      <w:lang w:val="en-US" w:eastAsia="zh-CN"/>
                    </w:rPr>
                    <w:t>0.0023</w:t>
                  </w:r>
                </w:p>
              </w:tc>
            </w:tr>
            <w:tr w14:paraId="5284C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2" w:type="pct"/>
                  <w:gridSpan w:val="5"/>
                  <w:tcBorders>
                    <w:tl2br w:val="nil"/>
                    <w:tr2bl w:val="nil"/>
                  </w:tcBorders>
                  <w:noWrap w:val="0"/>
                  <w:vAlign w:val="center"/>
                </w:tcPr>
                <w:p w14:paraId="188D71B9">
                  <w:pPr>
                    <w:keepNext w:val="0"/>
                    <w:keepLines w:val="0"/>
                    <w:pageBreakBefore w:val="0"/>
                    <w:widowControl w:val="0"/>
                    <w:kinsoku/>
                    <w:wordWrap/>
                    <w:overflowPunct/>
                    <w:topLinePunct w:val="0"/>
                    <w:bidi w:val="0"/>
                    <w:spacing w:line="240" w:lineRule="auto"/>
                    <w:ind w:firstLine="0" w:firstLineChars="0"/>
                    <w:jc w:val="center"/>
                    <w:textAlignment w:val="auto"/>
                    <w:rPr>
                      <w:color w:val="000000" w:themeColor="text1"/>
                      <w:sz w:val="21"/>
                      <w:szCs w:val="21"/>
                    </w:rPr>
                  </w:pPr>
                  <w:r>
                    <w:rPr>
                      <w:color w:val="000000" w:themeColor="text1"/>
                      <w:sz w:val="21"/>
                      <w:szCs w:val="21"/>
                    </w:rPr>
                    <w:t>合计</w:t>
                  </w:r>
                </w:p>
              </w:tc>
              <w:tc>
                <w:tcPr>
                  <w:tcW w:w="1027" w:type="pct"/>
                  <w:tcBorders>
                    <w:tl2br w:val="nil"/>
                    <w:tr2bl w:val="nil"/>
                  </w:tcBorders>
                  <w:noWrap w:val="0"/>
                  <w:vAlign w:val="center"/>
                </w:tcPr>
                <w:p w14:paraId="736AE8A0">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eastAsia="宋体"/>
                      <w:color w:val="000000" w:themeColor="text1"/>
                      <w:sz w:val="21"/>
                      <w:szCs w:val="21"/>
                      <w:lang w:val="en-US" w:eastAsia="zh-CN"/>
                    </w:rPr>
                  </w:pPr>
                  <w:r>
                    <w:rPr>
                      <w:rFonts w:hint="eastAsia" w:eastAsia="宋体"/>
                      <w:color w:val="000000" w:themeColor="text1"/>
                      <w:sz w:val="21"/>
                      <w:szCs w:val="21"/>
                      <w:lang w:val="en-US" w:eastAsia="zh-CN"/>
                    </w:rPr>
                    <w:t>0.00</w:t>
                  </w:r>
                  <w:r>
                    <w:rPr>
                      <w:rFonts w:hint="eastAsia"/>
                      <w:color w:val="000000" w:themeColor="text1"/>
                      <w:sz w:val="21"/>
                      <w:szCs w:val="21"/>
                      <w:lang w:val="en-US" w:eastAsia="zh-CN"/>
                    </w:rPr>
                    <w:t>23</w:t>
                  </w:r>
                  <w:r>
                    <w:rPr>
                      <w:rFonts w:hint="eastAsia" w:eastAsia="宋体"/>
                      <w:color w:val="000000" w:themeColor="text1"/>
                      <w:sz w:val="21"/>
                      <w:szCs w:val="21"/>
                      <w:lang w:val="en-US" w:eastAsia="zh-CN"/>
                    </w:rPr>
                    <w:t>7</w:t>
                  </w:r>
                </w:p>
              </w:tc>
            </w:tr>
          </w:tbl>
          <w:p w14:paraId="57B968F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right="0" w:firstLine="48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经计算，本项目</w:t>
            </w:r>
            <w:r>
              <w:rPr>
                <w:rFonts w:hint="default" w:ascii="Times New Roman" w:hAnsi="Times New Roman" w:eastAsia="宋体" w:cs="Times New Roman"/>
                <w:i/>
                <w:iCs/>
                <w:color w:val="000000" w:themeColor="text1"/>
              </w:rPr>
              <w:t>Q</w:t>
            </w:r>
            <w:r>
              <w:rPr>
                <w:rFonts w:hint="default" w:ascii="Times New Roman" w:hAnsi="Times New Roman" w:eastAsia="宋体" w:cs="Times New Roman"/>
                <w:color w:val="000000" w:themeColor="text1"/>
              </w:rPr>
              <w:t xml:space="preserve">＜1。 </w:t>
            </w:r>
          </w:p>
          <w:p w14:paraId="7734DF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right="0" w:firstLine="48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 xml:space="preserve">根据《建设项目环境影响报告表编制技术指南（污染影响类）（试行）》，本项目危险物质临界量比值小于1，无需开展环境风险专题。 </w:t>
            </w:r>
          </w:p>
          <w:p w14:paraId="32F755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right="0" w:firstLine="48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3）评价工作等级划分</w:t>
            </w:r>
          </w:p>
          <w:p w14:paraId="32282C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ind w:left="0" w:right="0" w:firstLine="48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根据建设项目涉及的物质及工艺系统危险性和所在地的环境敏感性确定环境风险潜势，按照</w:t>
            </w:r>
            <w:r>
              <w:rPr>
                <w:rFonts w:hint="default" w:ascii="Times New Roman" w:hAnsi="Times New Roman" w:eastAsia="宋体" w:cs="Times New Roman"/>
                <w:color w:val="000000" w:themeColor="text1"/>
                <w:lang w:val="en-US" w:eastAsia="zh-CN"/>
              </w:rPr>
              <w:t>下</w:t>
            </w:r>
            <w:r>
              <w:rPr>
                <w:rFonts w:hint="default" w:ascii="Times New Roman" w:hAnsi="Times New Roman" w:eastAsia="宋体" w:cs="Times New Roman"/>
                <w:color w:val="000000" w:themeColor="text1"/>
              </w:rPr>
              <w:t>表确定工作等级。</w:t>
            </w:r>
          </w:p>
          <w:p w14:paraId="1EE5063E">
            <w:pPr>
              <w:keepNext w:val="0"/>
              <w:keepLines w:val="0"/>
              <w:suppressLineNumbers w:val="0"/>
              <w:tabs>
                <w:tab w:val="left" w:pos="0"/>
              </w:tabs>
              <w:adjustRightInd w:val="0"/>
              <w:snapToGrid w:val="0"/>
              <w:spacing w:before="0" w:beforeAutospacing="0" w:after="0" w:afterAutospacing="0" w:line="240" w:lineRule="auto"/>
              <w:ind w:left="0" w:right="0" w:firstLine="482"/>
              <w:jc w:val="center"/>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33</w:t>
            </w:r>
            <w:r>
              <w:rPr>
                <w:rFonts w:hint="default" w:ascii="Times New Roman" w:hAnsi="Times New Roman" w:eastAsia="宋体" w:cs="Times New Roman"/>
                <w:b/>
                <w:color w:val="000000" w:themeColor="text1"/>
                <w:kern w:val="0"/>
                <w:sz w:val="21"/>
                <w:szCs w:val="21"/>
              </w:rPr>
              <w:t xml:space="preserve"> </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color w:val="000000" w:themeColor="text1"/>
                <w:sz w:val="21"/>
                <w:szCs w:val="21"/>
              </w:rPr>
              <w:t>环境风险评价工作级别判定表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1370"/>
              <w:gridCol w:w="1621"/>
              <w:gridCol w:w="1621"/>
              <w:gridCol w:w="1634"/>
            </w:tblGrid>
            <w:tr w14:paraId="7B5683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56" w:type="pct"/>
                  <w:vAlign w:val="center"/>
                </w:tcPr>
                <w:p w14:paraId="6F94FA71">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Cs w:val="21"/>
                    </w:rPr>
                  </w:pPr>
                  <w:r>
                    <w:rPr>
                      <w:rFonts w:hint="default" w:ascii="Times New Roman" w:hAnsi="Times New Roman" w:eastAsia="宋体" w:cs="Times New Roman"/>
                      <w:b/>
                      <w:bCs/>
                      <w:color w:val="000000" w:themeColor="text1"/>
                      <w:szCs w:val="21"/>
                    </w:rPr>
                    <w:t>环境风险潜势</w:t>
                  </w:r>
                </w:p>
              </w:tc>
              <w:tc>
                <w:tcPr>
                  <w:tcW w:w="843" w:type="pct"/>
                  <w:vAlign w:val="center"/>
                </w:tcPr>
                <w:p w14:paraId="40E4408C">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Cs w:val="21"/>
                    </w:rPr>
                  </w:pPr>
                  <w:r>
                    <w:rPr>
                      <w:rFonts w:hint="default" w:ascii="Times New Roman" w:hAnsi="Times New Roman" w:eastAsia="宋体" w:cs="Times New Roman"/>
                      <w:b/>
                      <w:bCs/>
                      <w:color w:val="000000" w:themeColor="text1"/>
                      <w:szCs w:val="21"/>
                    </w:rPr>
                    <w:t>Ⅳ、Ⅳ+</w:t>
                  </w:r>
                </w:p>
              </w:tc>
              <w:tc>
                <w:tcPr>
                  <w:tcW w:w="998" w:type="pct"/>
                  <w:vAlign w:val="center"/>
                </w:tcPr>
                <w:p w14:paraId="351298F8">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Cs w:val="21"/>
                    </w:rPr>
                  </w:pPr>
                  <w:r>
                    <w:rPr>
                      <w:rFonts w:hint="default" w:ascii="Times New Roman" w:hAnsi="Times New Roman" w:eastAsia="宋体" w:cs="Times New Roman"/>
                      <w:b/>
                      <w:bCs/>
                      <w:color w:val="000000" w:themeColor="text1"/>
                      <w:szCs w:val="21"/>
                    </w:rPr>
                    <w:t>Ⅲ</w:t>
                  </w:r>
                </w:p>
              </w:tc>
              <w:tc>
                <w:tcPr>
                  <w:tcW w:w="998" w:type="pct"/>
                  <w:vAlign w:val="center"/>
                </w:tcPr>
                <w:p w14:paraId="0982F679">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Cs w:val="21"/>
                    </w:rPr>
                  </w:pPr>
                  <w:r>
                    <w:rPr>
                      <w:rFonts w:hint="default" w:ascii="Times New Roman" w:hAnsi="Times New Roman" w:eastAsia="宋体" w:cs="Times New Roman"/>
                      <w:b/>
                      <w:bCs/>
                      <w:color w:val="000000" w:themeColor="text1"/>
                      <w:szCs w:val="21"/>
                    </w:rPr>
                    <w:t>Ⅱ</w:t>
                  </w:r>
                </w:p>
              </w:tc>
              <w:tc>
                <w:tcPr>
                  <w:tcW w:w="1002" w:type="pct"/>
                  <w:vAlign w:val="center"/>
                </w:tcPr>
                <w:p w14:paraId="3A6EA817">
                  <w:pPr>
                    <w:keepNext w:val="0"/>
                    <w:keepLines w:val="0"/>
                    <w:suppressLineNumbers w:val="0"/>
                    <w:autoSpaceDE w:val="0"/>
                    <w:autoSpaceDN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Cs w:val="21"/>
                    </w:rPr>
                  </w:pPr>
                  <w:r>
                    <w:rPr>
                      <w:rFonts w:hint="default" w:ascii="Times New Roman" w:hAnsi="Times New Roman" w:eastAsia="宋体" w:cs="Times New Roman"/>
                      <w:b/>
                      <w:bCs/>
                      <w:color w:val="000000" w:themeColor="text1"/>
                      <w:szCs w:val="21"/>
                    </w:rPr>
                    <w:t>Ⅰ</w:t>
                  </w:r>
                </w:p>
              </w:tc>
            </w:tr>
            <w:tr w14:paraId="35E25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56" w:type="pct"/>
                  <w:vAlign w:val="center"/>
                </w:tcPr>
                <w:p w14:paraId="221C0B7D">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评价工作等级</w:t>
                  </w:r>
                </w:p>
              </w:tc>
              <w:tc>
                <w:tcPr>
                  <w:tcW w:w="843" w:type="pct"/>
                  <w:vAlign w:val="center"/>
                </w:tcPr>
                <w:p w14:paraId="7F5DBFFF">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一</w:t>
                  </w:r>
                </w:p>
              </w:tc>
              <w:tc>
                <w:tcPr>
                  <w:tcW w:w="998" w:type="pct"/>
                  <w:vAlign w:val="center"/>
                </w:tcPr>
                <w:p w14:paraId="18FF93E2">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二</w:t>
                  </w:r>
                </w:p>
              </w:tc>
              <w:tc>
                <w:tcPr>
                  <w:tcW w:w="998" w:type="pct"/>
                  <w:vAlign w:val="center"/>
                </w:tcPr>
                <w:p w14:paraId="71335F7C">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三</w:t>
                  </w:r>
                </w:p>
              </w:tc>
              <w:tc>
                <w:tcPr>
                  <w:tcW w:w="1002" w:type="pct"/>
                  <w:vAlign w:val="center"/>
                </w:tcPr>
                <w:p w14:paraId="6889B744">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简单分析a</w:t>
                  </w:r>
                </w:p>
              </w:tc>
            </w:tr>
            <w:tr w14:paraId="7EBDC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1F40ECDD">
                  <w:pPr>
                    <w:pStyle w:val="55"/>
                    <w:keepNext w:val="0"/>
                    <w:keepLines w:val="0"/>
                    <w:suppressLineNumbers w:val="0"/>
                    <w:spacing w:before="0" w:beforeAutospacing="0" w:after="0" w:afterAutospacing="0"/>
                    <w:ind w:righ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a 是相对于详细评价工作内容而言，在描述危险物质、环境影响途径、环境危害结果、风险防范措施等方面给出定性说明。</w:t>
                  </w:r>
                </w:p>
              </w:tc>
            </w:tr>
          </w:tbl>
          <w:p w14:paraId="50A176C1">
            <w:pPr>
              <w:keepNext w:val="0"/>
              <w:keepLines w:val="0"/>
              <w:pageBreakBefore w:val="0"/>
              <w:widowControl/>
              <w:suppressLineNumbers w:val="0"/>
              <w:kinsoku/>
              <w:wordWrap/>
              <w:overflowPunct/>
              <w:topLinePunct w:val="0"/>
              <w:autoSpaceDE/>
              <w:autoSpaceDN/>
              <w:bidi w:val="0"/>
              <w:adjustRightInd/>
              <w:snapToGrid/>
              <w:spacing w:before="157" w:beforeLines="50" w:beforeAutospacing="0" w:after="0" w:afterAutospacing="0"/>
              <w:ind w:left="0" w:right="0" w:firstLine="480"/>
              <w:jc w:val="both"/>
              <w:textAlignment w:val="auto"/>
              <w:rPr>
                <w:rFonts w:hint="default" w:ascii="Times New Roman" w:hAnsi="Times New Roman" w:eastAsia="宋体" w:cs="Times New Roman"/>
                <w:color w:val="000000" w:themeColor="text1"/>
                <w:kern w:val="0"/>
              </w:rPr>
            </w:pPr>
            <w:r>
              <w:rPr>
                <w:rFonts w:hint="default" w:ascii="Times New Roman" w:hAnsi="Times New Roman" w:eastAsia="宋体" w:cs="Times New Roman"/>
                <w:color w:val="000000" w:themeColor="text1"/>
                <w:kern w:val="0"/>
              </w:rPr>
              <w:t>根据《建设项目环境风险评价技术导则》（HJ169-2018）评价工作等级划分标准的要求，确定本次环境风险评价工作等级为简单分析。</w:t>
            </w:r>
          </w:p>
          <w:p w14:paraId="096924A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20"/>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2</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环境风险影响分析</w:t>
            </w:r>
          </w:p>
          <w:p w14:paraId="0C080978">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①</w:t>
            </w:r>
            <w:r>
              <w:rPr>
                <w:rFonts w:hint="eastAsia" w:cs="Times New Roman"/>
                <w:bCs/>
                <w:color w:val="000000" w:themeColor="text1"/>
                <w:sz w:val="24"/>
                <w:szCs w:val="24"/>
                <w:lang w:val="en-US" w:eastAsia="zh-CN"/>
              </w:rPr>
              <w:t>废润滑油</w:t>
            </w:r>
            <w:r>
              <w:rPr>
                <w:rFonts w:hint="eastAsia" w:ascii="Times New Roman" w:hAnsi="Times New Roman" w:eastAsia="宋体" w:cs="Times New Roman"/>
                <w:bCs/>
                <w:color w:val="000000" w:themeColor="text1"/>
                <w:sz w:val="24"/>
                <w:szCs w:val="24"/>
                <w:lang w:val="en-US" w:eastAsia="zh-CN"/>
              </w:rPr>
              <w:t>、机油</w:t>
            </w:r>
            <w:r>
              <w:rPr>
                <w:rFonts w:hint="eastAsia" w:cs="Times New Roman"/>
                <w:bCs/>
                <w:color w:val="000000" w:themeColor="text1"/>
                <w:sz w:val="24"/>
                <w:szCs w:val="24"/>
                <w:lang w:val="en-US" w:eastAsia="zh-CN"/>
              </w:rPr>
              <w:t>泄漏</w:t>
            </w:r>
            <w:r>
              <w:rPr>
                <w:rFonts w:hint="default" w:ascii="Times New Roman" w:hAnsi="Times New Roman" w:eastAsia="宋体" w:cs="Times New Roman"/>
                <w:bCs/>
                <w:color w:val="000000" w:themeColor="text1"/>
                <w:sz w:val="24"/>
                <w:szCs w:val="24"/>
              </w:rPr>
              <w:t>、火灾导致的事故分析</w:t>
            </w:r>
          </w:p>
          <w:p w14:paraId="56CD03CB">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仓库、</w:t>
            </w:r>
            <w:r>
              <w:rPr>
                <w:rFonts w:hint="eastAsia" w:ascii="Times New Roman" w:hAnsi="Times New Roman" w:eastAsia="宋体" w:cs="Times New Roman"/>
                <w:bCs/>
                <w:color w:val="000000" w:themeColor="text1"/>
                <w:sz w:val="24"/>
                <w:szCs w:val="24"/>
                <w:lang w:val="en-US" w:eastAsia="zh-CN"/>
              </w:rPr>
              <w:t>危废暂存间</w:t>
            </w:r>
            <w:r>
              <w:rPr>
                <w:rFonts w:hint="default" w:ascii="Times New Roman" w:hAnsi="Times New Roman" w:eastAsia="宋体" w:cs="Times New Roman"/>
                <w:bCs/>
                <w:color w:val="000000" w:themeColor="text1"/>
                <w:sz w:val="24"/>
                <w:szCs w:val="24"/>
              </w:rPr>
              <w:t>管理不善时可能发生火灾。火灾事故散发的烟气对周围大气直接造成影响。原材料现场火灾扑救主要采用干粉，大的火灾扑救产生消防水可能进入附近水体对水体造成危害。消防废水中含有</w:t>
            </w:r>
            <w:r>
              <w:rPr>
                <w:rFonts w:hint="eastAsia" w:ascii="Times New Roman" w:hAnsi="Times New Roman" w:eastAsia="宋体" w:cs="Times New Roman"/>
                <w:bCs/>
                <w:color w:val="000000" w:themeColor="text1"/>
                <w:sz w:val="24"/>
                <w:szCs w:val="24"/>
                <w:lang w:val="en-US" w:eastAsia="zh-CN"/>
              </w:rPr>
              <w:t>油类</w:t>
            </w:r>
            <w:r>
              <w:rPr>
                <w:rFonts w:hint="default" w:ascii="Times New Roman" w:hAnsi="Times New Roman" w:eastAsia="宋体" w:cs="Times New Roman"/>
                <w:bCs/>
                <w:color w:val="000000" w:themeColor="text1"/>
                <w:sz w:val="24"/>
                <w:szCs w:val="24"/>
              </w:rPr>
              <w:t>，但考虑到本项目使用及储存的原料量较少，其进入水体并经稀释后，不会造成较大的危害。 项目的火灾事故风险可控。</w:t>
            </w:r>
          </w:p>
          <w:p w14:paraId="39EB9D23">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②废气处理装置失效事故分析</w:t>
            </w:r>
          </w:p>
          <w:p w14:paraId="3DCBCA67">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本项目产生的</w:t>
            </w:r>
            <w:r>
              <w:rPr>
                <w:rFonts w:hint="eastAsia" w:ascii="Times New Roman" w:hAnsi="Times New Roman" w:eastAsia="宋体" w:cs="Times New Roman"/>
                <w:bCs/>
                <w:color w:val="000000" w:themeColor="text1"/>
                <w:sz w:val="24"/>
                <w:szCs w:val="24"/>
                <w:lang w:val="en-US" w:eastAsia="zh-CN"/>
              </w:rPr>
              <w:t>颗粒物</w:t>
            </w:r>
            <w:r>
              <w:rPr>
                <w:rFonts w:hint="default" w:ascii="Times New Roman" w:hAnsi="Times New Roman" w:eastAsia="宋体" w:cs="Times New Roman"/>
                <w:bCs/>
                <w:color w:val="000000" w:themeColor="text1"/>
                <w:sz w:val="24"/>
                <w:szCs w:val="24"/>
              </w:rPr>
              <w:t>，</w:t>
            </w:r>
            <w:r>
              <w:rPr>
                <w:rFonts w:hint="eastAsia" w:ascii="Times New Roman" w:hAnsi="Times New Roman" w:eastAsia="宋体" w:cs="Times New Roman"/>
                <w:bCs/>
                <w:color w:val="000000" w:themeColor="text1"/>
                <w:sz w:val="24"/>
                <w:szCs w:val="24"/>
                <w:lang w:val="en-US" w:eastAsia="zh-CN"/>
              </w:rPr>
              <w:t>颗粒物经布袋除尘处理</w:t>
            </w:r>
            <w:r>
              <w:rPr>
                <w:rFonts w:hint="default" w:ascii="Times New Roman" w:hAnsi="Times New Roman" w:eastAsia="宋体" w:cs="Times New Roman"/>
                <w:bCs/>
                <w:color w:val="000000" w:themeColor="text1"/>
                <w:sz w:val="24"/>
                <w:szCs w:val="24"/>
              </w:rPr>
              <w:t>后达标排放，不会对周围环境造成明显影响。</w:t>
            </w:r>
          </w:p>
          <w:p w14:paraId="18376643">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t>车间事故排放时，对周围环境有一定的影响，但只要加强监管监控，制定好防范措施，其风险是可以控制和接受的。</w:t>
            </w:r>
          </w:p>
          <w:p w14:paraId="43306D4C">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default" w:ascii="Times New Roman" w:hAnsi="Times New Roman" w:eastAsia="宋体" w:cs="Times New Roman"/>
                <w:bCs/>
                <w:color w:val="000000" w:themeColor="text1"/>
                <w:sz w:val="24"/>
                <w:szCs w:val="24"/>
                <w:lang w:val="en-US" w:eastAsia="zh-CN"/>
              </w:rPr>
            </w:pPr>
            <w:r>
              <w:rPr>
                <w:rFonts w:hint="default" w:ascii="Times New Roman" w:hAnsi="Times New Roman" w:eastAsia="宋体" w:cs="Times New Roman"/>
                <w:bCs/>
                <w:color w:val="000000" w:themeColor="text1"/>
                <w:sz w:val="24"/>
                <w:szCs w:val="24"/>
              </w:rPr>
              <w:fldChar w:fldCharType="begin"/>
            </w:r>
            <w:r>
              <w:rPr>
                <w:rFonts w:hint="default" w:ascii="Times New Roman" w:hAnsi="Times New Roman" w:eastAsia="宋体" w:cs="Times New Roman"/>
                <w:bCs/>
                <w:color w:val="000000" w:themeColor="text1"/>
                <w:sz w:val="24"/>
                <w:szCs w:val="24"/>
              </w:rPr>
              <w:instrText xml:space="preserve"> = 3 \* GB3 \* MERGEFORMAT </w:instrText>
            </w:r>
            <w:r>
              <w:rPr>
                <w:rFonts w:hint="default" w:ascii="Times New Roman" w:hAnsi="Times New Roman" w:eastAsia="宋体" w:cs="Times New Roman"/>
                <w:bCs/>
                <w:color w:val="000000" w:themeColor="text1"/>
                <w:sz w:val="24"/>
                <w:szCs w:val="24"/>
              </w:rPr>
              <w:fldChar w:fldCharType="separate"/>
            </w:r>
            <w:r>
              <w:rPr>
                <w:rFonts w:hint="default" w:ascii="Times New Roman" w:hAnsi="Times New Roman" w:eastAsia="宋体" w:cs="Times New Roman"/>
                <w:bCs/>
                <w:color w:val="000000" w:themeColor="text1"/>
                <w:sz w:val="24"/>
                <w:szCs w:val="24"/>
              </w:rPr>
              <w:t>③</w:t>
            </w:r>
            <w:r>
              <w:rPr>
                <w:rFonts w:hint="default" w:ascii="Times New Roman" w:hAnsi="Times New Roman" w:eastAsia="宋体" w:cs="Times New Roman"/>
                <w:bCs/>
                <w:color w:val="000000" w:themeColor="text1"/>
                <w:sz w:val="24"/>
                <w:szCs w:val="24"/>
              </w:rPr>
              <w:fldChar w:fldCharType="end"/>
            </w:r>
            <w:r>
              <w:rPr>
                <w:rFonts w:hint="eastAsia" w:ascii="Times New Roman" w:hAnsi="Times New Roman" w:eastAsia="宋体" w:cs="Times New Roman"/>
                <w:bCs/>
                <w:color w:val="000000" w:themeColor="text1"/>
                <w:sz w:val="24"/>
                <w:szCs w:val="24"/>
                <w:lang w:val="en-US" w:eastAsia="zh-CN"/>
              </w:rPr>
              <w:t>天然气泄漏、爆炸事故</w:t>
            </w:r>
          </w:p>
          <w:p w14:paraId="0D2C40F0">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eastAsia"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rPr>
              <w:t>天然气属易燃、易爆炸，如果在储存、输送过程发生跑、冒、滴、漏，泄气过程中如果静电接地不好或管线、接头等有泄露，输气和管线出现过程或操作不当等引起泄露，蒸发出来的天然气在一定的浓度范围内，能够与空气形成爆炸性混合物，遇明火、静电及高温或与氧化剂接触等引起燃气爆炸，同时其蒸汽比空气重，能在较低处扩散到相当远的地方，遇明火会引着回燃，也会造成火灾爆炸事故。</w:t>
            </w:r>
          </w:p>
          <w:p w14:paraId="16C9BE47">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eastAsia" w:ascii="Times New Roman" w:hAnsi="Times New Roman" w:eastAsia="宋体" w:cs="Times New Roman"/>
                <w:bCs/>
                <w:color w:val="000000" w:themeColor="text1"/>
                <w:sz w:val="24"/>
                <w:szCs w:val="24"/>
              </w:rPr>
            </w:pPr>
            <w:r>
              <w:rPr>
                <w:rFonts w:hint="eastAsia" w:ascii="Times New Roman" w:hAnsi="Times New Roman" w:eastAsia="宋体" w:cs="Times New Roman"/>
                <w:bCs/>
                <w:color w:val="000000" w:themeColor="text1"/>
                <w:sz w:val="24"/>
                <w:szCs w:val="24"/>
              </w:rPr>
              <w:t>经对天然气泄漏导致的火灾爆炸事故原因的调查分析，可归纳如下：</w:t>
            </w:r>
          </w:p>
          <w:p w14:paraId="1D7D1973">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eastAsia" w:ascii="Times New Roman" w:hAnsi="Times New Roman" w:eastAsia="宋体" w:cs="Times New Roman"/>
                <w:bCs/>
                <w:color w:val="000000" w:themeColor="text1"/>
                <w:sz w:val="24"/>
                <w:szCs w:val="24"/>
              </w:rPr>
            </w:pPr>
            <w:r>
              <w:rPr>
                <w:rFonts w:hint="default" w:ascii="Times New Roman" w:hAnsi="Times New Roman" w:eastAsia="宋体" w:cs="Times New Roman"/>
                <w:bCs/>
                <w:color w:val="000000" w:themeColor="text1"/>
                <w:sz w:val="24"/>
                <w:szCs w:val="24"/>
              </w:rPr>
              <w:fldChar w:fldCharType="begin"/>
            </w:r>
            <w:r>
              <w:rPr>
                <w:rFonts w:hint="default" w:ascii="Times New Roman" w:hAnsi="Times New Roman" w:eastAsia="宋体" w:cs="Times New Roman"/>
                <w:bCs/>
                <w:color w:val="000000" w:themeColor="text1"/>
                <w:sz w:val="24"/>
                <w:szCs w:val="24"/>
              </w:rPr>
              <w:instrText xml:space="preserve"> = 1 \* GB3 \* MERGEFORMAT </w:instrText>
            </w:r>
            <w:r>
              <w:rPr>
                <w:rFonts w:hint="default" w:ascii="Times New Roman" w:hAnsi="Times New Roman" w:eastAsia="宋体" w:cs="Times New Roman"/>
                <w:bCs/>
                <w:color w:val="000000" w:themeColor="text1"/>
                <w:sz w:val="24"/>
                <w:szCs w:val="24"/>
              </w:rPr>
              <w:fldChar w:fldCharType="separate"/>
            </w:r>
            <w:r>
              <w:rPr>
                <w:rFonts w:hint="default" w:ascii="Times New Roman" w:hAnsi="Times New Roman" w:eastAsia="宋体" w:cs="Times New Roman"/>
                <w:bCs/>
                <w:color w:val="000000" w:themeColor="text1"/>
                <w:sz w:val="24"/>
                <w:szCs w:val="24"/>
              </w:rPr>
              <w:t>①</w:t>
            </w:r>
            <w:r>
              <w:rPr>
                <w:rFonts w:hint="default" w:ascii="Times New Roman" w:hAnsi="Times New Roman" w:eastAsia="宋体" w:cs="Times New Roman"/>
                <w:bCs/>
                <w:color w:val="000000" w:themeColor="text1"/>
                <w:sz w:val="24"/>
                <w:szCs w:val="24"/>
              </w:rPr>
              <w:fldChar w:fldCharType="end"/>
            </w:r>
            <w:r>
              <w:rPr>
                <w:rFonts w:hint="eastAsia" w:ascii="Times New Roman" w:hAnsi="Times New Roman" w:eastAsia="宋体" w:cs="Times New Roman"/>
                <w:bCs/>
                <w:color w:val="000000" w:themeColor="text1"/>
                <w:sz w:val="24"/>
                <w:szCs w:val="24"/>
              </w:rPr>
              <w:t>内部原因：阀门、管件腐蚀、老化、年久失修、仪表失灵、管理不善、维护保养不当、误操作等；工艺过程因素如温度、压力、流量、浓度、传热等不正常控制。</w:t>
            </w:r>
          </w:p>
          <w:p w14:paraId="34C72A61">
            <w:pPr>
              <w:keepNext w:val="0"/>
              <w:keepLines w:val="0"/>
              <w:pageBreakBefore w:val="0"/>
              <w:widowControl w:val="0"/>
              <w:kinsoku/>
              <w:wordWrap/>
              <w:overflowPunct/>
              <w:topLinePunct w:val="0"/>
              <w:autoSpaceDE/>
              <w:autoSpaceDN/>
              <w:bidi w:val="0"/>
              <w:spacing w:line="360" w:lineRule="auto"/>
              <w:ind w:right="0" w:firstLine="480" w:firstLineChars="200"/>
              <w:jc w:val="left"/>
              <w:textAlignment w:val="auto"/>
              <w:rPr>
                <w:rFonts w:hint="eastAsia" w:ascii="Times New Roman" w:hAnsi="Times New Roman" w:eastAsia="宋体" w:cs="Times New Roman"/>
                <w:bCs/>
                <w:color w:val="000000" w:themeColor="text1"/>
                <w:sz w:val="24"/>
                <w:szCs w:val="24"/>
                <w:lang w:eastAsia="zh-CN"/>
              </w:rPr>
            </w:pPr>
            <w:r>
              <w:rPr>
                <w:rFonts w:hint="default" w:ascii="Times New Roman" w:hAnsi="Times New Roman" w:eastAsia="宋体" w:cs="Times New Roman"/>
                <w:bCs/>
                <w:color w:val="000000" w:themeColor="text1"/>
                <w:sz w:val="24"/>
                <w:szCs w:val="24"/>
              </w:rPr>
              <w:fldChar w:fldCharType="begin"/>
            </w:r>
            <w:r>
              <w:rPr>
                <w:rFonts w:hint="default" w:ascii="Times New Roman" w:hAnsi="Times New Roman" w:eastAsia="宋体" w:cs="Times New Roman"/>
                <w:bCs/>
                <w:color w:val="000000" w:themeColor="text1"/>
                <w:sz w:val="24"/>
                <w:szCs w:val="24"/>
              </w:rPr>
              <w:instrText xml:space="preserve"> = 2 \* GB3 \* MERGEFORMAT </w:instrText>
            </w:r>
            <w:r>
              <w:rPr>
                <w:rFonts w:hint="default" w:ascii="Times New Roman" w:hAnsi="Times New Roman" w:eastAsia="宋体" w:cs="Times New Roman"/>
                <w:bCs/>
                <w:color w:val="000000" w:themeColor="text1"/>
                <w:sz w:val="24"/>
                <w:szCs w:val="24"/>
              </w:rPr>
              <w:fldChar w:fldCharType="separate"/>
            </w:r>
            <w:r>
              <w:rPr>
                <w:rFonts w:hint="default" w:ascii="Times New Roman" w:hAnsi="Times New Roman" w:eastAsia="宋体" w:cs="Times New Roman"/>
                <w:bCs/>
                <w:color w:val="000000" w:themeColor="text1"/>
                <w:sz w:val="24"/>
                <w:szCs w:val="24"/>
              </w:rPr>
              <w:t>②</w:t>
            </w:r>
            <w:r>
              <w:rPr>
                <w:rFonts w:hint="default" w:ascii="Times New Roman" w:hAnsi="Times New Roman" w:eastAsia="宋体" w:cs="Times New Roman"/>
                <w:bCs/>
                <w:color w:val="000000" w:themeColor="text1"/>
                <w:sz w:val="24"/>
                <w:szCs w:val="24"/>
              </w:rPr>
              <w:fldChar w:fldCharType="end"/>
            </w:r>
            <w:r>
              <w:rPr>
                <w:rFonts w:hint="eastAsia" w:ascii="Times New Roman" w:hAnsi="Times New Roman" w:eastAsia="宋体" w:cs="Times New Roman"/>
                <w:bCs/>
                <w:color w:val="000000" w:themeColor="text1"/>
                <w:sz w:val="24"/>
                <w:szCs w:val="24"/>
              </w:rPr>
              <w:t>外部原因：多发生在雷雨天或附近其他设施发生事故等。《工业污染事故评价技术手册》（中国环境出版社1992年第一版）给出了10种典型泄露设备类型和各种典型的损坏类型。管道、阀、储罐等典型损坏是管道裂空、法兰泄露和焊接不良，典型损坏尺寸为管径的20%或100%；储罐的典型损坏形状是容器损坏、接头泄露、焊接点断裂、罐体破裂</w:t>
            </w:r>
            <w:r>
              <w:rPr>
                <w:rFonts w:hint="eastAsia" w:ascii="Times New Roman" w:hAnsi="Times New Roman" w:eastAsia="宋体" w:cs="Times New Roman"/>
                <w:bCs/>
                <w:color w:val="000000" w:themeColor="text1"/>
                <w:sz w:val="24"/>
                <w:szCs w:val="24"/>
                <w:lang w:eastAsia="zh-CN"/>
              </w:rPr>
              <w:t>。</w:t>
            </w:r>
          </w:p>
          <w:p w14:paraId="7F0E2F31">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color w:val="000000" w:themeColor="text1"/>
                <w:sz w:val="24"/>
                <w:szCs w:val="24"/>
              </w:rPr>
              <w:t>（3）风险防范措施</w:t>
            </w:r>
          </w:p>
          <w:p w14:paraId="30EA6366">
            <w:pPr>
              <w:keepNext w:val="0"/>
              <w:keepLines w:val="0"/>
              <w:pageBreakBefore w:val="0"/>
              <w:kinsoku/>
              <w:wordWrap/>
              <w:overflowPunct/>
              <w:topLinePunct w:val="0"/>
              <w:autoSpaceDE/>
              <w:autoSpaceDN/>
              <w:bidi w:val="0"/>
              <w:adjustRightInd/>
              <w:snapToGrid/>
              <w:spacing w:line="360" w:lineRule="auto"/>
              <w:ind w:firstLine="482"/>
              <w:jc w:val="both"/>
              <w:textAlignment w:val="auto"/>
              <w:rPr>
                <w:snapToGrid w:val="0"/>
                <w:color w:val="000000" w:themeColor="text1"/>
                <w:sz w:val="24"/>
              </w:rPr>
            </w:pPr>
            <w:r>
              <w:rPr>
                <w:snapToGrid w:val="0"/>
                <w:color w:val="000000" w:themeColor="text1"/>
                <w:sz w:val="24"/>
              </w:rPr>
              <w:t>为了预防和减少项目环境风险事故，本评价提出以下风险防范措施：</w:t>
            </w:r>
          </w:p>
          <w:p w14:paraId="7CA38811">
            <w:pPr>
              <w:keepNext w:val="0"/>
              <w:keepLines w:val="0"/>
              <w:pageBreakBefore w:val="0"/>
              <w:kinsoku/>
              <w:wordWrap/>
              <w:overflowPunct/>
              <w:topLinePunct w:val="0"/>
              <w:autoSpaceDE/>
              <w:autoSpaceDN/>
              <w:bidi w:val="0"/>
              <w:adjustRightInd/>
              <w:snapToGrid/>
              <w:spacing w:line="360" w:lineRule="auto"/>
              <w:ind w:firstLine="482"/>
              <w:jc w:val="both"/>
              <w:textAlignment w:val="auto"/>
              <w:rPr>
                <w:color w:val="000000" w:themeColor="text1"/>
                <w:sz w:val="24"/>
              </w:rPr>
            </w:pPr>
            <w:r>
              <w:rPr>
                <w:rFonts w:hint="eastAsia"/>
                <w:color w:val="000000" w:themeColor="text1"/>
                <w:sz w:val="24"/>
                <w:lang w:val="en-US" w:eastAsia="zh-CN"/>
              </w:rPr>
              <w:t>1）已</w:t>
            </w:r>
            <w:r>
              <w:rPr>
                <w:color w:val="000000" w:themeColor="text1"/>
                <w:sz w:val="24"/>
              </w:rPr>
              <w:t>设立危险废物暂存间，做到防风、防雨、防晒；危险废物暂存间应配备通讯设备、照明设施、安全防护服装及工具，并设有应急防护设施。危险废物暂存间地面进行了防渗处理，危险废物分区存放，门口设置门槛。按相关规定设置了警示标志，由专人进行管理，建立台账登记危险废物处置记录，并且严格执行危险废物转移五联单管理制度，定期外运，全部交有资质单位处置。</w:t>
            </w:r>
          </w:p>
          <w:p w14:paraId="4E73EB62">
            <w:pPr>
              <w:keepNext w:val="0"/>
              <w:keepLines w:val="0"/>
              <w:pageBreakBefore w:val="0"/>
              <w:kinsoku/>
              <w:wordWrap/>
              <w:overflowPunct/>
              <w:topLinePunct w:val="0"/>
              <w:autoSpaceDE/>
              <w:autoSpaceDN/>
              <w:bidi w:val="0"/>
              <w:adjustRightInd/>
              <w:snapToGrid/>
              <w:spacing w:line="360" w:lineRule="auto"/>
              <w:ind w:firstLine="482"/>
              <w:jc w:val="both"/>
              <w:textAlignment w:val="auto"/>
              <w:rPr>
                <w:snapToGrid w:val="0"/>
                <w:color w:val="000000" w:themeColor="text1"/>
                <w:sz w:val="24"/>
              </w:rPr>
            </w:pPr>
            <w:r>
              <w:rPr>
                <w:rFonts w:hint="eastAsia"/>
                <w:snapToGrid w:val="0"/>
                <w:color w:val="000000" w:themeColor="text1"/>
                <w:sz w:val="24"/>
                <w:lang w:val="en-US" w:eastAsia="zh-CN"/>
              </w:rPr>
              <w:t>2）</w:t>
            </w:r>
            <w:r>
              <w:rPr>
                <w:snapToGrid w:val="0"/>
                <w:color w:val="000000" w:themeColor="text1"/>
                <w:sz w:val="24"/>
              </w:rPr>
              <w:t>应高度重视安全生产工作，严格执行各项安全生产规章制度，加强对危险岗位的巡检力度，及时消除事故隐患，安全工作由专人负责。</w:t>
            </w:r>
          </w:p>
          <w:p w14:paraId="1ACD522D">
            <w:pPr>
              <w:keepNext w:val="0"/>
              <w:keepLines w:val="0"/>
              <w:pageBreakBefore w:val="0"/>
              <w:kinsoku/>
              <w:wordWrap/>
              <w:overflowPunct/>
              <w:topLinePunct w:val="0"/>
              <w:autoSpaceDE/>
              <w:autoSpaceDN/>
              <w:bidi w:val="0"/>
              <w:adjustRightInd/>
              <w:snapToGrid/>
              <w:spacing w:line="360" w:lineRule="auto"/>
              <w:ind w:firstLine="482"/>
              <w:jc w:val="both"/>
              <w:textAlignment w:val="auto"/>
              <w:rPr>
                <w:snapToGrid w:val="0"/>
                <w:color w:val="000000" w:themeColor="text1"/>
                <w:sz w:val="24"/>
              </w:rPr>
            </w:pPr>
            <w:r>
              <w:rPr>
                <w:rFonts w:hint="eastAsia"/>
                <w:snapToGrid w:val="0"/>
                <w:color w:val="000000" w:themeColor="text1"/>
                <w:sz w:val="24"/>
                <w:lang w:val="en-US" w:eastAsia="zh-CN"/>
              </w:rPr>
              <w:t>3）</w:t>
            </w:r>
            <w:r>
              <w:rPr>
                <w:snapToGrid w:val="0"/>
                <w:color w:val="000000" w:themeColor="text1"/>
                <w:sz w:val="24"/>
              </w:rPr>
              <w:t>上岗操作人员按照规定进行培训，掌握本岗位各种工况下的操作规程。</w:t>
            </w:r>
          </w:p>
          <w:p w14:paraId="45337618">
            <w:pPr>
              <w:keepNext w:val="0"/>
              <w:keepLines w:val="0"/>
              <w:pageBreakBefore w:val="0"/>
              <w:kinsoku/>
              <w:wordWrap/>
              <w:overflowPunct/>
              <w:topLinePunct w:val="0"/>
              <w:autoSpaceDE/>
              <w:autoSpaceDN/>
              <w:bidi w:val="0"/>
              <w:adjustRightInd/>
              <w:snapToGrid/>
              <w:spacing w:line="360" w:lineRule="auto"/>
              <w:ind w:firstLine="482"/>
              <w:jc w:val="both"/>
              <w:textAlignment w:val="auto"/>
              <w:rPr>
                <w:snapToGrid w:val="0"/>
                <w:color w:val="000000" w:themeColor="text1"/>
                <w:sz w:val="24"/>
              </w:rPr>
            </w:pPr>
            <w:r>
              <w:rPr>
                <w:rFonts w:hint="eastAsia"/>
                <w:snapToGrid w:val="0"/>
                <w:color w:val="000000" w:themeColor="text1"/>
                <w:sz w:val="24"/>
                <w:lang w:val="en-US" w:eastAsia="zh-CN"/>
              </w:rPr>
              <w:t>4）</w:t>
            </w:r>
            <w:r>
              <w:rPr>
                <w:snapToGrid w:val="0"/>
                <w:color w:val="000000" w:themeColor="text1"/>
                <w:sz w:val="24"/>
              </w:rPr>
              <w:t>泄漏等事故发生时，有关负责人应有计划</w:t>
            </w:r>
            <w:r>
              <w:rPr>
                <w:rFonts w:hint="eastAsia"/>
                <w:snapToGrid w:val="0"/>
                <w:color w:val="000000" w:themeColor="text1"/>
                <w:sz w:val="24"/>
                <w:lang w:eastAsia="zh-CN"/>
              </w:rPr>
              <w:t>地</w:t>
            </w:r>
            <w:r>
              <w:rPr>
                <w:snapToGrid w:val="0"/>
                <w:color w:val="000000" w:themeColor="text1"/>
                <w:sz w:val="24"/>
              </w:rPr>
              <w:t>对漏洒物料进行处理，防止事态蔓延扩大。</w:t>
            </w:r>
          </w:p>
          <w:p w14:paraId="647FD8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rPr>
            </w:pPr>
            <w:r>
              <w:rPr>
                <w:rFonts w:hint="eastAsia" w:cs="Times New Roman"/>
                <w:color w:val="000000" w:themeColor="text1"/>
                <w:sz w:val="24"/>
                <w:szCs w:val="24"/>
                <w:lang w:val="en-US" w:eastAsia="zh-CN"/>
              </w:rPr>
              <w:t>5）</w:t>
            </w:r>
            <w:r>
              <w:rPr>
                <w:rFonts w:hint="default" w:ascii="Times New Roman" w:hAnsi="Times New Roman" w:eastAsia="宋体" w:cs="Times New Roman"/>
                <w:color w:val="000000" w:themeColor="text1"/>
                <w:sz w:val="24"/>
                <w:szCs w:val="24"/>
              </w:rPr>
              <w:t>为防止突发事件后的环境风险，企业应建立突发环境事件应急预案，配备应急器材，在发生泄漏、火灾和爆炸等事故时控制泄漏物和消防废水进入下水道。</w:t>
            </w:r>
          </w:p>
          <w:p w14:paraId="00C7099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rPr>
            </w:pPr>
            <w:r>
              <w:rPr>
                <w:rFonts w:hint="eastAsia" w:cs="Times New Roman"/>
                <w:color w:val="000000" w:themeColor="text1"/>
                <w:sz w:val="24"/>
                <w:szCs w:val="24"/>
                <w:lang w:val="en-US" w:eastAsia="zh-CN"/>
              </w:rPr>
              <w:t>6）</w:t>
            </w:r>
            <w:r>
              <w:rPr>
                <w:rFonts w:hint="default" w:ascii="Times New Roman" w:hAnsi="Times New Roman" w:eastAsia="宋体" w:cs="Times New Roman"/>
                <w:color w:val="000000" w:themeColor="text1"/>
                <w:sz w:val="24"/>
                <w:szCs w:val="24"/>
              </w:rPr>
              <w:t>公司应严格按照《危险废物贮存污染控制标准》（</w:t>
            </w:r>
            <w:r>
              <w:rPr>
                <w:rFonts w:hint="eastAsia" w:cs="Times New Roman"/>
                <w:color w:val="000000" w:themeColor="text1"/>
                <w:sz w:val="24"/>
                <w:szCs w:val="24"/>
                <w:lang w:eastAsia="zh-CN"/>
              </w:rPr>
              <w:t>GB18597-2023）</w:t>
            </w:r>
            <w:r>
              <w:rPr>
                <w:rFonts w:hint="default" w:ascii="Times New Roman" w:hAnsi="Times New Roman" w:eastAsia="宋体" w:cs="Times New Roman"/>
                <w:color w:val="000000" w:themeColor="text1"/>
                <w:sz w:val="24"/>
                <w:szCs w:val="24"/>
              </w:rPr>
              <w:t>对危险废物暂存场进行设计和建设，同时按相关法律法规将危险废物</w:t>
            </w:r>
            <w:r>
              <w:rPr>
                <w:rFonts w:hint="eastAsia" w:cs="Times New Roman"/>
                <w:color w:val="000000" w:themeColor="text1"/>
                <w:sz w:val="24"/>
                <w:szCs w:val="24"/>
                <w:lang w:eastAsia="zh-CN"/>
              </w:rPr>
              <w:t>交由</w:t>
            </w:r>
            <w:r>
              <w:rPr>
                <w:rFonts w:hint="default" w:ascii="Times New Roman" w:hAnsi="Times New Roman" w:eastAsia="宋体" w:cs="Times New Roman"/>
                <w:color w:val="000000" w:themeColor="text1"/>
                <w:sz w:val="24"/>
                <w:szCs w:val="24"/>
              </w:rPr>
              <w:t>相关资质单位处理，做好供应商的管理。同时严格按《危险废物转移联单管理办法》做好转移记录。</w:t>
            </w:r>
          </w:p>
          <w:p w14:paraId="7297FF06">
            <w:pPr>
              <w:adjustRightInd w:val="0"/>
              <w:snapToGrid w:val="0"/>
              <w:spacing w:line="360" w:lineRule="auto"/>
              <w:ind w:firstLine="480" w:firstLineChars="200"/>
              <w:rPr>
                <w:color w:val="000000" w:themeColor="text1"/>
                <w:sz w:val="24"/>
                <w:szCs w:val="20"/>
                <w:lang w:val="en-GB"/>
              </w:rPr>
            </w:pPr>
            <w:r>
              <w:rPr>
                <w:rFonts w:hint="eastAsia"/>
                <w:color w:val="000000" w:themeColor="text1"/>
                <w:sz w:val="24"/>
                <w:szCs w:val="20"/>
                <w:lang w:val="en-US" w:eastAsia="zh-CN"/>
              </w:rPr>
              <w:t>7）</w:t>
            </w:r>
            <w:r>
              <w:rPr>
                <w:color w:val="000000" w:themeColor="text1"/>
                <w:sz w:val="24"/>
                <w:szCs w:val="20"/>
                <w:lang w:val="en-GB"/>
              </w:rPr>
              <w:t>废（尾）气处理设施应配备备用设备，保障装置的正常运行。若装置无法进行，应停止生产，查明原因，待系统恢复正常后再行生产。</w:t>
            </w:r>
          </w:p>
          <w:p w14:paraId="137BDA0A">
            <w:pPr>
              <w:adjustRightInd w:val="0"/>
              <w:snapToGrid w:val="0"/>
              <w:spacing w:line="360" w:lineRule="auto"/>
              <w:ind w:firstLine="480" w:firstLineChars="200"/>
              <w:rPr>
                <w:color w:val="000000" w:themeColor="text1"/>
                <w:sz w:val="24"/>
                <w:szCs w:val="20"/>
              </w:rPr>
            </w:pPr>
            <w:r>
              <w:rPr>
                <w:rFonts w:hint="eastAsia"/>
                <w:color w:val="000000" w:themeColor="text1"/>
                <w:sz w:val="24"/>
                <w:szCs w:val="20"/>
                <w:lang w:val="en-US" w:eastAsia="zh-CN"/>
              </w:rPr>
              <w:t>8）</w:t>
            </w:r>
            <w:r>
              <w:rPr>
                <w:color w:val="000000" w:themeColor="text1"/>
                <w:sz w:val="24"/>
                <w:szCs w:val="20"/>
                <w:lang w:val="en-GB"/>
              </w:rPr>
              <w:t>各生产装置均设有事故联锁紧急停车系统，一旦发生事故立即停车。</w:t>
            </w:r>
          </w:p>
          <w:p w14:paraId="61A3626C">
            <w:pPr>
              <w:adjustRightInd w:val="0"/>
              <w:snapToGrid w:val="0"/>
              <w:spacing w:line="360" w:lineRule="auto"/>
              <w:ind w:firstLine="480" w:firstLineChars="200"/>
              <w:rPr>
                <w:color w:val="000000" w:themeColor="text1"/>
                <w:sz w:val="24"/>
                <w:szCs w:val="20"/>
              </w:rPr>
            </w:pPr>
            <w:r>
              <w:rPr>
                <w:rFonts w:hint="eastAsia"/>
                <w:color w:val="000000" w:themeColor="text1"/>
                <w:sz w:val="24"/>
                <w:szCs w:val="20"/>
                <w:lang w:val="en-US" w:eastAsia="zh-CN"/>
              </w:rPr>
              <w:t>9）已设置</w:t>
            </w:r>
            <w:r>
              <w:rPr>
                <w:color w:val="000000" w:themeColor="text1"/>
                <w:sz w:val="24"/>
                <w:szCs w:val="20"/>
              </w:rPr>
              <w:t>事故</w:t>
            </w:r>
            <w:r>
              <w:rPr>
                <w:rFonts w:hint="eastAsia"/>
                <w:color w:val="000000" w:themeColor="text1"/>
                <w:sz w:val="24"/>
                <w:szCs w:val="20"/>
              </w:rPr>
              <w:t>应急池</w:t>
            </w:r>
            <w:r>
              <w:rPr>
                <w:color w:val="000000" w:themeColor="text1"/>
                <w:sz w:val="24"/>
                <w:szCs w:val="20"/>
              </w:rPr>
              <w:t>，不但收集废水处理设施出现故障时的废水，还可收集一旦停电、设备、管道破裂泄漏的物料。</w:t>
            </w:r>
          </w:p>
          <w:p w14:paraId="68B21B7C">
            <w:pPr>
              <w:adjustRightInd w:val="0"/>
              <w:snapToGrid w:val="0"/>
              <w:spacing w:line="360" w:lineRule="auto"/>
              <w:ind w:firstLine="480" w:firstLineChars="200"/>
              <w:rPr>
                <w:rFonts w:hint="eastAsia" w:ascii="Times New Roman" w:hAnsi="Times New Roman" w:eastAsia="宋体" w:cs="Times New Roman"/>
                <w:color w:val="000000" w:themeColor="text1"/>
                <w:sz w:val="24"/>
                <w:szCs w:val="20"/>
                <w:lang w:val="en-US" w:eastAsia="zh-CN"/>
              </w:rPr>
            </w:pPr>
            <w:r>
              <w:rPr>
                <w:rFonts w:hint="eastAsia" w:ascii="Times New Roman" w:hAnsi="Times New Roman" w:eastAsia="宋体" w:cs="Times New Roman"/>
                <w:color w:val="000000" w:themeColor="text1"/>
                <w:sz w:val="24"/>
                <w:szCs w:val="20"/>
                <w:lang w:val="en-US" w:eastAsia="zh-CN"/>
              </w:rPr>
              <w:t>10）提高对天然气管道材料的质量监督。管道质量的好坏直接关系到煤气管道的安全，在选用管道时可借助专业的检测仪器，按照检测标准，对所有管道逐一检测，保证所有管道符合质量要求。</w:t>
            </w:r>
          </w:p>
          <w:p w14:paraId="53523CF8">
            <w:pPr>
              <w:adjustRightInd w:val="0"/>
              <w:snapToGrid w:val="0"/>
              <w:spacing w:line="360" w:lineRule="auto"/>
              <w:ind w:firstLine="480" w:firstLineChars="200"/>
              <w:rPr>
                <w:rFonts w:hint="eastAsia" w:ascii="Times New Roman" w:hAnsi="Times New Roman" w:eastAsia="宋体" w:cs="Times New Roman"/>
                <w:color w:val="000000" w:themeColor="text1"/>
                <w:sz w:val="24"/>
                <w:szCs w:val="20"/>
                <w:lang w:val="en-US" w:eastAsia="zh-CN"/>
              </w:rPr>
            </w:pPr>
            <w:r>
              <w:rPr>
                <w:rFonts w:hint="eastAsia" w:ascii="Times New Roman" w:hAnsi="Times New Roman" w:eastAsia="宋体" w:cs="Times New Roman"/>
                <w:color w:val="000000" w:themeColor="text1"/>
                <w:sz w:val="24"/>
                <w:szCs w:val="20"/>
                <w:lang w:val="en-US" w:eastAsia="zh-CN"/>
              </w:rPr>
              <w:t>11）在天然气管道敷设路线、使用场所应设置明显的安全警示标志和安全告知牌，安全告知牌应注明物质特性、危害防护、处置措施、报警电话等内容，同时配置消防灭火设施。</w:t>
            </w:r>
          </w:p>
          <w:p w14:paraId="54AC5C41">
            <w:pPr>
              <w:adjustRightInd w:val="0"/>
              <w:snapToGrid w:val="0"/>
              <w:spacing w:line="360" w:lineRule="auto"/>
              <w:ind w:firstLine="480" w:firstLineChars="200"/>
              <w:rPr>
                <w:rFonts w:hint="eastAsia" w:ascii="Times New Roman" w:hAnsi="Times New Roman" w:eastAsia="宋体" w:cs="Times New Roman"/>
                <w:color w:val="000000" w:themeColor="text1"/>
                <w:sz w:val="24"/>
                <w:szCs w:val="20"/>
                <w:lang w:val="en-US" w:eastAsia="zh-CN"/>
              </w:rPr>
            </w:pPr>
            <w:r>
              <w:rPr>
                <w:rFonts w:hint="eastAsia" w:ascii="Times New Roman" w:hAnsi="Times New Roman" w:eastAsia="宋体" w:cs="Times New Roman"/>
                <w:color w:val="000000" w:themeColor="text1"/>
                <w:sz w:val="24"/>
                <w:szCs w:val="20"/>
                <w:lang w:val="en-US" w:eastAsia="zh-CN"/>
              </w:rPr>
              <w:t>12）设专人管理，定期巡查，定期对天然气管道及相关设施设备进行安全检测，检测内容时间、人员应有记录保存。安全检测应根据设备的安全性、危险性设定检测频次。</w:t>
            </w:r>
          </w:p>
          <w:p w14:paraId="249FDA9B">
            <w:pPr>
              <w:adjustRightInd w:val="0"/>
              <w:snapToGrid w:val="0"/>
              <w:spacing w:line="360" w:lineRule="auto"/>
              <w:ind w:firstLine="480" w:firstLineChars="200"/>
              <w:rPr>
                <w:rFonts w:hint="eastAsia" w:ascii="Times New Roman" w:hAnsi="Times New Roman" w:eastAsia="宋体" w:cs="Times New Roman"/>
                <w:color w:val="000000" w:themeColor="text1"/>
                <w:sz w:val="24"/>
                <w:szCs w:val="20"/>
                <w:lang w:val="en-US" w:eastAsia="zh-CN"/>
              </w:rPr>
            </w:pPr>
            <w:r>
              <w:rPr>
                <w:rFonts w:hint="eastAsia" w:ascii="Times New Roman" w:hAnsi="Times New Roman" w:eastAsia="宋体" w:cs="Times New Roman"/>
                <w:color w:val="000000" w:themeColor="text1"/>
                <w:sz w:val="24"/>
                <w:szCs w:val="20"/>
                <w:lang w:val="en-US" w:eastAsia="zh-CN"/>
              </w:rPr>
              <w:t>13——对厂内建筑物按防雷分类采取防雷措施；对设施、设备等采取消除静电和防雷措施；电缆进线、动力箱、配电柜及控制盘均做接地保护。</w:t>
            </w:r>
          </w:p>
          <w:p w14:paraId="39086547">
            <w:pPr>
              <w:adjustRightInd w:val="0"/>
              <w:snapToGrid w:val="0"/>
              <w:spacing w:line="360" w:lineRule="auto"/>
              <w:ind w:firstLine="480" w:firstLineChars="200"/>
              <w:rPr>
                <w:rFonts w:hint="eastAsia" w:ascii="Times New Roman" w:hAnsi="Times New Roman" w:eastAsia="宋体" w:cs="Times New Roman"/>
                <w:color w:val="000000" w:themeColor="text1"/>
                <w:sz w:val="24"/>
                <w:szCs w:val="20"/>
                <w:lang w:val="en-US" w:eastAsia="zh-CN"/>
              </w:rPr>
            </w:pPr>
            <w:r>
              <w:rPr>
                <w:rFonts w:hint="eastAsia" w:ascii="Times New Roman" w:hAnsi="Times New Roman" w:eastAsia="宋体" w:cs="Times New Roman"/>
                <w:color w:val="000000" w:themeColor="text1"/>
                <w:sz w:val="24"/>
                <w:szCs w:val="20"/>
                <w:lang w:val="en-US" w:eastAsia="zh-CN"/>
              </w:rPr>
              <w:t>14）生产过程中，做好粉尘排放监控措施，定期对相关环保设施进行检修维护，保持其稳定运行。</w:t>
            </w:r>
          </w:p>
          <w:p w14:paraId="6B21DEC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如项目能做好以上风险防范措施， 则项目环境风险影响可以减少到最低并达到可以接受的程度。</w:t>
            </w:r>
          </w:p>
          <w:p w14:paraId="5DD1B085">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（4）风险评价结论</w:t>
            </w:r>
          </w:p>
          <w:p w14:paraId="3C640266">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szCs w:val="24"/>
              </w:rPr>
            </w:pPr>
            <w:r>
              <w:rPr>
                <w:rFonts w:hint="default" w:ascii="Times New Roman" w:hAnsi="Times New Roman" w:eastAsia="宋体" w:cs="Times New Roman"/>
                <w:color w:val="000000" w:themeColor="text1"/>
                <w:kern w:val="0"/>
                <w:sz w:val="24"/>
                <w:szCs w:val="24"/>
              </w:rPr>
              <w:t>本项目产品不属于危险化学品生产，原辅材料无剧毒化学品，不构成重大危险源，通过风险分析，项目发生事故后外排化学品、污染物和消防废水的可能性极小，通过采取风险控制措施和应急响应，其环境风险是可控的。泄漏化学品对周围大气环境的影响较小，危险废物暂存场所风险可控。</w:t>
            </w:r>
          </w:p>
          <w:p w14:paraId="4713AC19">
            <w:pPr>
              <w:keepNext w:val="0"/>
              <w:keepLines w:val="0"/>
              <w:pageBreakBefore w:val="0"/>
              <w:widowControl w:val="0"/>
              <w:tabs>
                <w:tab w:val="left" w:pos="0"/>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themeColor="text1"/>
                <w:kern w:val="0"/>
                <w:sz w:val="24"/>
                <w:szCs w:val="24"/>
              </w:rPr>
            </w:pPr>
            <w:r>
              <w:rPr>
                <w:rFonts w:hint="default" w:ascii="Times New Roman" w:hAnsi="Times New Roman" w:eastAsia="宋体" w:cs="Times New Roman"/>
                <w:color w:val="000000" w:themeColor="text1"/>
                <w:kern w:val="0"/>
                <w:sz w:val="24"/>
                <w:szCs w:val="24"/>
              </w:rPr>
              <w:t>通过制定严格的管理规定和岗位责任制，</w:t>
            </w:r>
            <w:r>
              <w:rPr>
                <w:rFonts w:hint="eastAsia" w:cs="Times New Roman"/>
                <w:color w:val="000000" w:themeColor="text1"/>
                <w:kern w:val="0"/>
                <w:sz w:val="24"/>
                <w:szCs w:val="24"/>
                <w:lang w:eastAsia="zh-CN"/>
              </w:rPr>
              <w:t>增强风险意识</w:t>
            </w:r>
            <w:r>
              <w:rPr>
                <w:rFonts w:hint="default" w:ascii="Times New Roman" w:hAnsi="Times New Roman" w:eastAsia="宋体" w:cs="Times New Roman"/>
                <w:color w:val="000000" w:themeColor="text1"/>
                <w:kern w:val="0"/>
                <w:sz w:val="24"/>
                <w:szCs w:val="24"/>
              </w:rPr>
              <w:t>，能够最大限度地减少可能发生的环境风险。项目在严格落实各项可控措施和事故应急措施的前提下，项目风险事故的影响在可恢复范围内，项目环境风险防范措施有效，环境风险可接受。</w:t>
            </w:r>
          </w:p>
          <w:p w14:paraId="04452868">
            <w:pPr>
              <w:keepNext w:val="0"/>
              <w:keepLines w:val="0"/>
              <w:pageBreakBefore w:val="0"/>
              <w:widowControl w:val="0"/>
              <w:suppressLineNumbers w:val="0"/>
              <w:kinsoku/>
              <w:wordWrap/>
              <w:overflowPunct/>
              <w:topLinePunct w:val="0"/>
              <w:autoSpaceDE w:val="0"/>
              <w:autoSpaceDN w:val="0"/>
              <w:bidi w:val="0"/>
              <w:adjustRightInd/>
              <w:snapToGrid/>
              <w:spacing w:beforeAutospacing="0" w:after="0" w:afterAutospacing="0" w:line="240" w:lineRule="auto"/>
              <w:ind w:left="0" w:right="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表4</w:t>
            </w:r>
            <w:r>
              <w:rPr>
                <w:rFonts w:hint="default" w:ascii="Times New Roman" w:hAnsi="Times New Roman" w:eastAsia="宋体" w:cs="Times New Roman"/>
                <w:b/>
                <w:bCs/>
                <w:color w:val="000000" w:themeColor="text1"/>
                <w:sz w:val="21"/>
                <w:szCs w:val="21"/>
                <w:lang w:val="en-US" w:eastAsia="zh-CN"/>
              </w:rPr>
              <w:t>-</w:t>
            </w:r>
            <w:r>
              <w:rPr>
                <w:rFonts w:hint="eastAsia" w:cs="Times New Roman"/>
                <w:b/>
                <w:bCs/>
                <w:color w:val="000000" w:themeColor="text1"/>
                <w:sz w:val="21"/>
                <w:szCs w:val="21"/>
                <w:lang w:val="en-US" w:eastAsia="zh-CN"/>
              </w:rPr>
              <w:t>34</w:t>
            </w:r>
            <w:r>
              <w:rPr>
                <w:rFonts w:hint="default" w:ascii="Times New Roman" w:hAnsi="Times New Roman" w:eastAsia="宋体" w:cs="Times New Roman"/>
                <w:b/>
                <w:bCs/>
                <w:color w:val="000000" w:themeColor="text1"/>
                <w:sz w:val="21"/>
                <w:szCs w:val="21"/>
              </w:rPr>
              <w:t xml:space="preserve">   环境风险简单分析内容一览表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74"/>
              <w:gridCol w:w="560"/>
              <w:gridCol w:w="2447"/>
              <w:gridCol w:w="1042"/>
              <w:gridCol w:w="2403"/>
            </w:tblGrid>
            <w:tr w14:paraId="717DE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1030" w:type="pct"/>
                  <w:noWrap w:val="0"/>
                  <w:vAlign w:val="center"/>
                </w:tcPr>
                <w:p w14:paraId="2569E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建设项目名称</w:t>
                  </w:r>
                </w:p>
              </w:tc>
              <w:tc>
                <w:tcPr>
                  <w:tcW w:w="3969" w:type="pct"/>
                  <w:gridSpan w:val="4"/>
                  <w:noWrap w:val="0"/>
                  <w:vAlign w:val="center"/>
                </w:tcPr>
                <w:p w14:paraId="25AEE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u w:val="none"/>
                      <w:lang w:val="en-US" w:eastAsia="zh-CN"/>
                    </w:rPr>
                  </w:pPr>
                  <w:r>
                    <w:rPr>
                      <w:rFonts w:hint="eastAsia" w:cs="Times New Roman"/>
                      <w:b w:val="0"/>
                      <w:bCs w:val="0"/>
                      <w:color w:val="000000" w:themeColor="text1"/>
                      <w:sz w:val="21"/>
                      <w:szCs w:val="21"/>
                      <w:highlight w:val="none"/>
                      <w:u w:val="none"/>
                      <w:lang w:val="en-US" w:eastAsia="zh-CN"/>
                    </w:rPr>
                    <w:t>江西雷亚特导电碳黑有限公司</w:t>
                  </w:r>
                  <w:r>
                    <w:rPr>
                      <w:rFonts w:hint="eastAsia" w:ascii="Times New Roman" w:hAnsi="Times New Roman" w:eastAsia="宋体" w:cs="Times New Roman"/>
                      <w:b w:val="0"/>
                      <w:bCs w:val="0"/>
                      <w:color w:val="000000" w:themeColor="text1"/>
                      <w:sz w:val="21"/>
                      <w:szCs w:val="21"/>
                      <w:highlight w:val="none"/>
                      <w:u w:val="none"/>
                      <w:lang w:val="en-US" w:eastAsia="zh-CN"/>
                    </w:rPr>
                    <w:t>年产1500吨黑色色母粒项目</w:t>
                  </w:r>
                </w:p>
              </w:tc>
            </w:tr>
            <w:tr w14:paraId="25508B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1" w:hRule="atLeast"/>
                <w:jc w:val="center"/>
              </w:trPr>
              <w:tc>
                <w:tcPr>
                  <w:tcW w:w="1030" w:type="pct"/>
                  <w:noWrap w:val="0"/>
                  <w:vAlign w:val="center"/>
                </w:tcPr>
                <w:p w14:paraId="5F4BCC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建设地点</w:t>
                  </w:r>
                </w:p>
              </w:tc>
              <w:tc>
                <w:tcPr>
                  <w:tcW w:w="3969" w:type="pct"/>
                  <w:gridSpan w:val="4"/>
                  <w:noWrap w:val="0"/>
                  <w:vAlign w:val="center"/>
                </w:tcPr>
                <w:p w14:paraId="0B59F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color w:val="000000" w:themeColor="text1"/>
                      <w:sz w:val="21"/>
                      <w:szCs w:val="21"/>
                      <w:highlight w:val="none"/>
                      <w:u w:val="none"/>
                      <w:lang w:val="en-US" w:eastAsia="zh-CN"/>
                    </w:rPr>
                  </w:pPr>
                  <w:r>
                    <w:rPr>
                      <w:rFonts w:hint="eastAsia" w:ascii="Times New Roman" w:hAnsi="Times New Roman" w:eastAsia="宋体" w:cs="Times New Roman"/>
                      <w:b w:val="0"/>
                      <w:bCs w:val="0"/>
                      <w:color w:val="000000" w:themeColor="text1"/>
                      <w:sz w:val="21"/>
                      <w:szCs w:val="21"/>
                      <w:highlight w:val="none"/>
                      <w:u w:val="none"/>
                      <w:lang w:val="en-US" w:eastAsia="zh-CN"/>
                    </w:rPr>
                    <w:t>九江市柴桑区赤湖工业园兴业大道以南、通江东路以东</w:t>
                  </w:r>
                </w:p>
              </w:tc>
            </w:tr>
            <w:tr w14:paraId="62D8D3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030" w:type="pct"/>
                  <w:noWrap w:val="0"/>
                  <w:vAlign w:val="center"/>
                </w:tcPr>
                <w:p w14:paraId="2DE568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地理坐标</w:t>
                  </w:r>
                </w:p>
              </w:tc>
              <w:tc>
                <w:tcPr>
                  <w:tcW w:w="345" w:type="pct"/>
                  <w:noWrap w:val="0"/>
                  <w:vAlign w:val="center"/>
                </w:tcPr>
                <w:p w14:paraId="2C28A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bCs/>
                      <w:color w:val="000000" w:themeColor="text1"/>
                      <w:sz w:val="21"/>
                      <w:szCs w:val="21"/>
                    </w:rPr>
                    <w:t>经度</w:t>
                  </w:r>
                </w:p>
              </w:tc>
              <w:tc>
                <w:tcPr>
                  <w:tcW w:w="1505" w:type="pct"/>
                  <w:noWrap w:val="0"/>
                  <w:vAlign w:val="center"/>
                </w:tcPr>
                <w:p w14:paraId="636DC8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eastAsia"/>
                      <w:b w:val="0"/>
                      <w:bCs w:val="0"/>
                      <w:color w:val="000000" w:themeColor="text1"/>
                      <w:sz w:val="21"/>
                      <w:szCs w:val="21"/>
                      <w:highlight w:val="none"/>
                      <w:u w:val="none"/>
                      <w:lang w:val="en-US" w:eastAsia="zh-CN"/>
                    </w:rPr>
                    <w:t>东经</w:t>
                  </w:r>
                  <w:r>
                    <w:rPr>
                      <w:b w:val="0"/>
                      <w:bCs w:val="0"/>
                      <w:color w:val="000000" w:themeColor="text1"/>
                      <w:sz w:val="21"/>
                      <w:szCs w:val="21"/>
                      <w:highlight w:val="none"/>
                      <w:u w:val="none"/>
                    </w:rPr>
                    <w:t>115度</w:t>
                  </w:r>
                  <w:r>
                    <w:rPr>
                      <w:rFonts w:hint="eastAsia"/>
                      <w:b w:val="0"/>
                      <w:bCs w:val="0"/>
                      <w:color w:val="000000" w:themeColor="text1"/>
                      <w:sz w:val="21"/>
                      <w:szCs w:val="21"/>
                      <w:highlight w:val="none"/>
                      <w:u w:val="none"/>
                      <w:lang w:val="en-US" w:eastAsia="zh-CN"/>
                    </w:rPr>
                    <w:t>44</w:t>
                  </w:r>
                  <w:r>
                    <w:rPr>
                      <w:b w:val="0"/>
                      <w:bCs w:val="0"/>
                      <w:color w:val="000000" w:themeColor="text1"/>
                      <w:sz w:val="21"/>
                      <w:szCs w:val="21"/>
                      <w:highlight w:val="none"/>
                      <w:u w:val="none"/>
                    </w:rPr>
                    <w:t>分</w:t>
                  </w:r>
                  <w:r>
                    <w:rPr>
                      <w:rFonts w:hint="eastAsia"/>
                      <w:b w:val="0"/>
                      <w:bCs w:val="0"/>
                      <w:color w:val="000000" w:themeColor="text1"/>
                      <w:sz w:val="21"/>
                      <w:szCs w:val="21"/>
                      <w:highlight w:val="none"/>
                      <w:u w:val="none"/>
                      <w:lang w:val="en-US" w:eastAsia="zh-CN"/>
                    </w:rPr>
                    <w:t>55.135</w:t>
                  </w:r>
                  <w:r>
                    <w:rPr>
                      <w:b w:val="0"/>
                      <w:bCs w:val="0"/>
                      <w:color w:val="000000" w:themeColor="text1"/>
                      <w:sz w:val="21"/>
                      <w:szCs w:val="21"/>
                      <w:highlight w:val="none"/>
                      <w:u w:val="none"/>
                    </w:rPr>
                    <w:t xml:space="preserve"> 秒</w:t>
                  </w:r>
                </w:p>
              </w:tc>
              <w:tc>
                <w:tcPr>
                  <w:tcW w:w="641" w:type="pct"/>
                  <w:noWrap w:val="0"/>
                  <w:vAlign w:val="center"/>
                </w:tcPr>
                <w:p w14:paraId="53626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default" w:ascii="Times New Roman" w:hAnsi="Times New Roman" w:eastAsia="宋体" w:cs="Times New Roman"/>
                      <w:b/>
                      <w:bCs/>
                      <w:color w:val="000000" w:themeColor="text1"/>
                      <w:sz w:val="21"/>
                      <w:szCs w:val="21"/>
                    </w:rPr>
                    <w:t>纬度</w:t>
                  </w:r>
                </w:p>
              </w:tc>
              <w:tc>
                <w:tcPr>
                  <w:tcW w:w="1476" w:type="pct"/>
                  <w:noWrap w:val="0"/>
                  <w:vAlign w:val="center"/>
                </w:tcPr>
                <w:p w14:paraId="64AFF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1"/>
                      <w:szCs w:val="21"/>
                    </w:rPr>
                  </w:pPr>
                  <w:r>
                    <w:rPr>
                      <w:rFonts w:hint="eastAsia"/>
                      <w:b w:val="0"/>
                      <w:bCs w:val="0"/>
                      <w:color w:val="000000" w:themeColor="text1"/>
                      <w:sz w:val="21"/>
                      <w:szCs w:val="21"/>
                      <w:highlight w:val="none"/>
                      <w:u w:val="none"/>
                      <w:lang w:val="en-US" w:eastAsia="zh-CN"/>
                    </w:rPr>
                    <w:t>北纬</w:t>
                  </w:r>
                  <w:r>
                    <w:rPr>
                      <w:b w:val="0"/>
                      <w:bCs w:val="0"/>
                      <w:color w:val="000000" w:themeColor="text1"/>
                      <w:sz w:val="21"/>
                      <w:szCs w:val="21"/>
                      <w:highlight w:val="none"/>
                      <w:u w:val="none"/>
                    </w:rPr>
                    <w:t>2</w:t>
                  </w:r>
                  <w:r>
                    <w:rPr>
                      <w:rFonts w:hint="eastAsia"/>
                      <w:b w:val="0"/>
                      <w:bCs w:val="0"/>
                      <w:color w:val="000000" w:themeColor="text1"/>
                      <w:sz w:val="21"/>
                      <w:szCs w:val="21"/>
                      <w:highlight w:val="none"/>
                      <w:u w:val="none"/>
                    </w:rPr>
                    <w:t>9</w:t>
                  </w:r>
                  <w:r>
                    <w:rPr>
                      <w:b w:val="0"/>
                      <w:bCs w:val="0"/>
                      <w:color w:val="000000" w:themeColor="text1"/>
                      <w:sz w:val="21"/>
                      <w:szCs w:val="21"/>
                      <w:highlight w:val="none"/>
                      <w:u w:val="none"/>
                    </w:rPr>
                    <w:t xml:space="preserve"> 度</w:t>
                  </w:r>
                  <w:r>
                    <w:rPr>
                      <w:rFonts w:hint="eastAsia"/>
                      <w:b w:val="0"/>
                      <w:bCs w:val="0"/>
                      <w:color w:val="000000" w:themeColor="text1"/>
                      <w:sz w:val="21"/>
                      <w:szCs w:val="21"/>
                      <w:highlight w:val="none"/>
                      <w:u w:val="none"/>
                      <w:lang w:val="en-US" w:eastAsia="zh-CN"/>
                    </w:rPr>
                    <w:t>16</w:t>
                  </w:r>
                  <w:r>
                    <w:rPr>
                      <w:b w:val="0"/>
                      <w:bCs w:val="0"/>
                      <w:color w:val="000000" w:themeColor="text1"/>
                      <w:sz w:val="21"/>
                      <w:szCs w:val="21"/>
                      <w:highlight w:val="none"/>
                      <w:u w:val="none"/>
                    </w:rPr>
                    <w:t xml:space="preserve">分 </w:t>
                  </w:r>
                  <w:r>
                    <w:rPr>
                      <w:rFonts w:hint="eastAsia"/>
                      <w:b w:val="0"/>
                      <w:bCs w:val="0"/>
                      <w:color w:val="000000" w:themeColor="text1"/>
                      <w:sz w:val="21"/>
                      <w:szCs w:val="21"/>
                      <w:highlight w:val="none"/>
                      <w:u w:val="none"/>
                      <w:lang w:val="en-US" w:eastAsia="zh-CN"/>
                    </w:rPr>
                    <w:t>36.516</w:t>
                  </w:r>
                  <w:r>
                    <w:rPr>
                      <w:b w:val="0"/>
                      <w:bCs w:val="0"/>
                      <w:color w:val="000000" w:themeColor="text1"/>
                      <w:sz w:val="21"/>
                      <w:szCs w:val="21"/>
                      <w:highlight w:val="none"/>
                      <w:u w:val="none"/>
                    </w:rPr>
                    <w:t>秒</w:t>
                  </w:r>
                </w:p>
              </w:tc>
            </w:tr>
            <w:tr w14:paraId="08464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030" w:type="pct"/>
                  <w:noWrap w:val="0"/>
                  <w:vAlign w:val="center"/>
                </w:tcPr>
                <w:p w14:paraId="34197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主要危险物质</w:t>
                  </w:r>
                </w:p>
                <w:p w14:paraId="1E5A5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及分布</w:t>
                  </w:r>
                </w:p>
              </w:tc>
              <w:tc>
                <w:tcPr>
                  <w:tcW w:w="3969" w:type="pct"/>
                  <w:gridSpan w:val="4"/>
                  <w:noWrap w:val="0"/>
                  <w:vAlign w:val="center"/>
                </w:tcPr>
                <w:p w14:paraId="16E7F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项目涉及的</w:t>
                  </w:r>
                  <w:r>
                    <w:rPr>
                      <w:rFonts w:hint="eastAsia" w:cs="Times New Roman"/>
                      <w:color w:val="000000" w:themeColor="text1"/>
                      <w:sz w:val="21"/>
                      <w:szCs w:val="21"/>
                      <w:lang w:val="en-US" w:eastAsia="zh-CN"/>
                    </w:rPr>
                    <w:t>危险物质</w:t>
                  </w:r>
                  <w:r>
                    <w:rPr>
                      <w:rFonts w:hint="default" w:ascii="Times New Roman" w:hAnsi="Times New Roman" w:eastAsia="宋体" w:cs="Times New Roman"/>
                      <w:color w:val="000000" w:themeColor="text1"/>
                      <w:sz w:val="21"/>
                      <w:szCs w:val="21"/>
                    </w:rPr>
                    <w:t>主要为</w:t>
                  </w:r>
                  <w:r>
                    <w:rPr>
                      <w:rFonts w:hint="eastAsia" w:cs="Times New Roman"/>
                      <w:color w:val="000000" w:themeColor="text1"/>
                      <w:sz w:val="21"/>
                      <w:szCs w:val="21"/>
                      <w:lang w:val="en-US" w:eastAsia="zh-CN"/>
                    </w:rPr>
                    <w:t>润滑油、废润滑油、天然气</w:t>
                  </w:r>
                  <w:r>
                    <w:rPr>
                      <w:rFonts w:hint="default" w:ascii="Times New Roman" w:hAnsi="Times New Roman" w:eastAsia="宋体" w:cs="Times New Roman"/>
                      <w:color w:val="000000" w:themeColor="text1"/>
                      <w:sz w:val="21"/>
                      <w:szCs w:val="21"/>
                    </w:rPr>
                    <w:t>，</w:t>
                  </w:r>
                  <w:r>
                    <w:rPr>
                      <w:rFonts w:hint="eastAsia" w:cs="Times New Roman"/>
                      <w:color w:val="000000" w:themeColor="text1"/>
                      <w:sz w:val="21"/>
                      <w:szCs w:val="21"/>
                      <w:lang w:val="en-US" w:eastAsia="zh-CN"/>
                    </w:rPr>
                    <w:t>润滑油位于原料间</w:t>
                  </w:r>
                  <w:r>
                    <w:rPr>
                      <w:rFonts w:hint="eastAsia" w:ascii="Times New Roman" w:hAnsi="Times New Roman" w:eastAsia="宋体" w:cs="Times New Roman"/>
                      <w:color w:val="000000" w:themeColor="text1"/>
                      <w:sz w:val="21"/>
                      <w:szCs w:val="21"/>
                      <w:lang w:eastAsia="zh-CN"/>
                    </w:rPr>
                    <w:t>、</w:t>
                  </w:r>
                  <w:r>
                    <w:rPr>
                      <w:rFonts w:hint="eastAsia" w:ascii="Times New Roman" w:hAnsi="Times New Roman" w:eastAsia="宋体" w:cs="Times New Roman"/>
                      <w:color w:val="000000" w:themeColor="text1"/>
                      <w:sz w:val="21"/>
                      <w:szCs w:val="21"/>
                      <w:lang w:val="en-US" w:eastAsia="zh-CN"/>
                    </w:rPr>
                    <w:t>废润滑油</w:t>
                  </w:r>
                  <w:r>
                    <w:rPr>
                      <w:rFonts w:hint="eastAsia" w:cs="Times New Roman"/>
                      <w:color w:val="000000" w:themeColor="text1"/>
                      <w:sz w:val="21"/>
                      <w:szCs w:val="21"/>
                      <w:lang w:val="en-US" w:eastAsia="zh-CN"/>
                    </w:rPr>
                    <w:t>位于危废暂存间、天然气位于管道</w:t>
                  </w:r>
                </w:p>
              </w:tc>
            </w:tr>
            <w:tr w14:paraId="4223C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030" w:type="pct"/>
                  <w:noWrap w:val="0"/>
                  <w:vAlign w:val="center"/>
                </w:tcPr>
                <w:p w14:paraId="2A829F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环境影响途径</w:t>
                  </w:r>
                </w:p>
                <w:p w14:paraId="04A87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及危害后果</w:t>
                  </w:r>
                </w:p>
              </w:tc>
              <w:tc>
                <w:tcPr>
                  <w:tcW w:w="3969" w:type="pct"/>
                  <w:gridSpan w:val="4"/>
                  <w:noWrap w:val="0"/>
                  <w:vAlign w:val="center"/>
                </w:tcPr>
                <w:p w14:paraId="5ED97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企业生产过程中环境风险主要为</w:t>
                  </w:r>
                  <w:r>
                    <w:rPr>
                      <w:rFonts w:hint="eastAsia" w:cs="Times New Roman"/>
                      <w:color w:val="000000" w:themeColor="text1"/>
                      <w:sz w:val="21"/>
                      <w:szCs w:val="21"/>
                      <w:lang w:val="en-US" w:eastAsia="zh-CN"/>
                    </w:rPr>
                    <w:t>润滑油</w:t>
                  </w:r>
                  <w:r>
                    <w:rPr>
                      <w:rFonts w:hint="default" w:ascii="Times New Roman" w:hAnsi="Times New Roman" w:eastAsia="宋体" w:cs="Times New Roman"/>
                      <w:color w:val="000000" w:themeColor="text1"/>
                      <w:sz w:val="21"/>
                      <w:szCs w:val="21"/>
                    </w:rPr>
                    <w:t>使用</w:t>
                  </w:r>
                  <w:r>
                    <w:rPr>
                      <w:rFonts w:hint="eastAsia" w:cs="Times New Roman"/>
                      <w:color w:val="000000" w:themeColor="text1"/>
                      <w:sz w:val="21"/>
                      <w:szCs w:val="21"/>
                      <w:lang w:eastAsia="zh-CN"/>
                    </w:rPr>
                    <w:t>、</w:t>
                  </w:r>
                  <w:r>
                    <w:rPr>
                      <w:rFonts w:hint="eastAsia" w:cs="Times New Roman"/>
                      <w:color w:val="000000" w:themeColor="text1"/>
                      <w:sz w:val="21"/>
                      <w:szCs w:val="21"/>
                      <w:lang w:val="en-US" w:eastAsia="zh-CN"/>
                    </w:rPr>
                    <w:t>废润滑油、天然气暂存</w:t>
                  </w:r>
                  <w:r>
                    <w:rPr>
                      <w:rFonts w:hint="default" w:ascii="Times New Roman" w:hAnsi="Times New Roman" w:eastAsia="宋体" w:cs="Times New Roman"/>
                      <w:color w:val="000000" w:themeColor="text1"/>
                      <w:sz w:val="21"/>
                      <w:szCs w:val="21"/>
                    </w:rPr>
                    <w:t>过程中发生泄漏、火灾、爆炸等风险。</w:t>
                  </w:r>
                </w:p>
              </w:tc>
            </w:tr>
            <w:tr w14:paraId="62F80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030" w:type="pct"/>
                  <w:noWrap w:val="0"/>
                  <w:vAlign w:val="center"/>
                </w:tcPr>
                <w:p w14:paraId="70E74F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风险防范</w:t>
                  </w:r>
                </w:p>
                <w:p w14:paraId="242F3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措施要求</w:t>
                  </w:r>
                </w:p>
              </w:tc>
              <w:tc>
                <w:tcPr>
                  <w:tcW w:w="3969" w:type="pct"/>
                  <w:gridSpan w:val="4"/>
                  <w:noWrap w:val="0"/>
                  <w:vAlign w:val="center"/>
                </w:tcPr>
                <w:p w14:paraId="57106DC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000000" w:themeColor="text1"/>
                      <w:sz w:val="21"/>
                      <w:szCs w:val="21"/>
                    </w:rPr>
                  </w:pPr>
                  <w:r>
                    <w:rPr>
                      <w:rFonts w:hint="eastAsia" w:ascii="宋体" w:hAnsi="宋体" w:eastAsia="宋体" w:cs="宋体"/>
                      <w:color w:val="000000" w:themeColor="text1"/>
                      <w:kern w:val="0"/>
                      <w:sz w:val="21"/>
                      <w:szCs w:val="21"/>
                      <w:lang w:val="en-US" w:eastAsia="zh-CN" w:bidi="ar"/>
                    </w:rPr>
                    <w:t xml:space="preserve">①应对厂内从业人员进行安全生产教育和培训，保证从业人员具备必要的安全生产知识，熟悉有关的安全生产规章制度和安全操作规程。 </w:t>
                  </w:r>
                </w:p>
                <w:p w14:paraId="36B01F6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000000" w:themeColor="text1"/>
                      <w:sz w:val="21"/>
                      <w:szCs w:val="21"/>
                    </w:rPr>
                  </w:pPr>
                  <w:r>
                    <w:rPr>
                      <w:rFonts w:hint="eastAsia" w:ascii="宋体" w:hAnsi="宋体" w:eastAsia="宋体" w:cs="宋体"/>
                      <w:color w:val="000000" w:themeColor="text1"/>
                      <w:kern w:val="0"/>
                      <w:sz w:val="21"/>
                      <w:szCs w:val="21"/>
                      <w:lang w:val="en-US" w:eastAsia="zh-CN" w:bidi="ar"/>
                    </w:rPr>
                    <w:t xml:space="preserve">②制定严格的消防制度，加强消防的宣传教育，进行必要的针对预想事故的消防演习；确保有效的消防器具设施的配备和进行有效地保护。 </w:t>
                  </w:r>
                </w:p>
                <w:p w14:paraId="36567E1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color w:val="000000" w:themeColor="text1"/>
                      <w:sz w:val="21"/>
                      <w:szCs w:val="21"/>
                    </w:rPr>
                  </w:pPr>
                  <w:r>
                    <w:rPr>
                      <w:rFonts w:hint="eastAsia" w:ascii="宋体" w:hAnsi="宋体" w:eastAsia="宋体" w:cs="宋体"/>
                      <w:color w:val="000000" w:themeColor="text1"/>
                      <w:kern w:val="0"/>
                      <w:sz w:val="21"/>
                      <w:szCs w:val="21"/>
                      <w:lang w:val="en-US" w:eastAsia="zh-CN" w:bidi="ar"/>
                    </w:rPr>
                    <w:t xml:space="preserve">③加强用气用火的管理，用气动火作业应严格执行动火作业的规定。 </w:t>
                  </w:r>
                </w:p>
                <w:p w14:paraId="7875748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z w:val="21"/>
                      <w:szCs w:val="21"/>
                    </w:rPr>
                  </w:pPr>
                  <w:r>
                    <w:rPr>
                      <w:rFonts w:hint="eastAsia" w:ascii="宋体" w:hAnsi="宋体" w:eastAsia="宋体" w:cs="宋体"/>
                      <w:color w:val="000000" w:themeColor="text1"/>
                      <w:kern w:val="0"/>
                      <w:sz w:val="21"/>
                      <w:szCs w:val="21"/>
                      <w:lang w:val="en-US" w:eastAsia="zh-CN" w:bidi="ar"/>
                    </w:rPr>
                    <w:t>④制定突发环境事件应急预案，进行定期演习，不断进行修订完善。确保每一个职工和有关人员熟悉和了解事故应急预案</w:t>
                  </w:r>
                </w:p>
              </w:tc>
            </w:tr>
          </w:tbl>
          <w:p w14:paraId="70FAB528">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lang w:val="en-US" w:eastAsia="zh-CN"/>
              </w:rPr>
              <w:t>7、</w:t>
            </w:r>
            <w:r>
              <w:rPr>
                <w:rFonts w:hint="default" w:ascii="Times New Roman" w:hAnsi="Times New Roman" w:eastAsia="宋体" w:cs="Times New Roman"/>
                <w:b/>
                <w:color w:val="000000" w:themeColor="text1"/>
              </w:rPr>
              <w:t>环保投资估算</w:t>
            </w:r>
          </w:p>
          <w:p w14:paraId="0830551B">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本项目总投资</w:t>
            </w:r>
            <w:r>
              <w:rPr>
                <w:rFonts w:hint="eastAsia" w:cs="Times New Roman"/>
                <w:color w:val="000000" w:themeColor="text1"/>
                <w:lang w:val="en-US" w:eastAsia="zh-CN"/>
              </w:rPr>
              <w:t>4000</w:t>
            </w:r>
            <w:r>
              <w:rPr>
                <w:rFonts w:hint="default" w:ascii="Times New Roman" w:hAnsi="Times New Roman" w:eastAsia="宋体" w:cs="Times New Roman"/>
                <w:color w:val="000000" w:themeColor="text1"/>
              </w:rPr>
              <w:t>万元，其中环保投资估算为</w:t>
            </w:r>
            <w:r>
              <w:rPr>
                <w:rFonts w:hint="eastAsia" w:cs="Times New Roman"/>
                <w:color w:val="000000" w:themeColor="text1"/>
                <w:lang w:val="en-US" w:eastAsia="zh-CN"/>
              </w:rPr>
              <w:t>100</w:t>
            </w:r>
            <w:r>
              <w:rPr>
                <w:rFonts w:hint="default" w:ascii="Times New Roman" w:hAnsi="Times New Roman" w:eastAsia="宋体" w:cs="Times New Roman"/>
                <w:color w:val="000000" w:themeColor="text1"/>
              </w:rPr>
              <w:t xml:space="preserve">万元，约占工程总投资的 </w:t>
            </w:r>
            <w:r>
              <w:rPr>
                <w:rFonts w:hint="eastAsia" w:ascii="Times New Roman" w:hAnsi="Times New Roman" w:eastAsia="宋体" w:cs="Times New Roman"/>
                <w:color w:val="000000" w:themeColor="text1"/>
                <w:lang w:val="en-US" w:eastAsia="zh-CN"/>
              </w:rPr>
              <w:t>2.5</w:t>
            </w:r>
            <w:r>
              <w:rPr>
                <w:rFonts w:hint="default" w:ascii="Times New Roman" w:hAnsi="Times New Roman" w:eastAsia="宋体" w:cs="Times New Roman"/>
                <w:color w:val="000000" w:themeColor="text1"/>
              </w:rPr>
              <w:t>%。环保治理措施及投资</w:t>
            </w:r>
            <w:r>
              <w:rPr>
                <w:rFonts w:hint="eastAsia" w:cs="Times New Roman"/>
                <w:color w:val="000000" w:themeColor="text1"/>
                <w:lang w:eastAsia="zh-CN"/>
              </w:rPr>
              <w:t>见下</w:t>
            </w:r>
            <w:r>
              <w:rPr>
                <w:rFonts w:hint="default" w:ascii="Times New Roman" w:hAnsi="Times New Roman" w:eastAsia="宋体" w:cs="Times New Roman"/>
                <w:color w:val="000000" w:themeColor="text1"/>
              </w:rPr>
              <w:t>表。</w:t>
            </w:r>
          </w:p>
          <w:p w14:paraId="50444203">
            <w:pPr>
              <w:keepNext w:val="0"/>
              <w:keepLines w:val="0"/>
              <w:pageBreakBefore w:val="0"/>
              <w:widowControl w:val="0"/>
              <w:tabs>
                <w:tab w:val="left" w:pos="0"/>
              </w:tabs>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ascii="Times New Roman" w:hAnsi="Times New Roman" w:eastAsia="宋体" w:cs="Times New Roman"/>
                <w:b/>
                <w:color w:val="000000" w:themeColor="text1"/>
                <w:kern w:val="0"/>
                <w:sz w:val="21"/>
                <w:szCs w:val="21"/>
                <w:lang w:val="en-US" w:eastAsia="zh-CN"/>
              </w:rPr>
              <w:t>3</w:t>
            </w:r>
            <w:r>
              <w:rPr>
                <w:rFonts w:hint="eastAsia" w:cs="Times New Roman"/>
                <w:b/>
                <w:color w:val="000000" w:themeColor="text1"/>
                <w:kern w:val="0"/>
                <w:sz w:val="21"/>
                <w:szCs w:val="21"/>
                <w:lang w:val="en-US" w:eastAsia="zh-CN"/>
              </w:rPr>
              <w:t>5</w:t>
            </w:r>
            <w:r>
              <w:rPr>
                <w:rFonts w:hint="default" w:ascii="Times New Roman" w:hAnsi="Times New Roman" w:eastAsia="宋体" w:cs="Times New Roman"/>
                <w:b/>
                <w:color w:val="000000" w:themeColor="text1"/>
                <w:sz w:val="21"/>
                <w:szCs w:val="21"/>
              </w:rPr>
              <w:t xml:space="preserve"> 环保投资概算一览表  单位：万元</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23"/>
              <w:gridCol w:w="4718"/>
              <w:gridCol w:w="1352"/>
            </w:tblGrid>
            <w:tr w14:paraId="5C0F7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389" w:type="pct"/>
                  <w:vAlign w:val="center"/>
                </w:tcPr>
                <w:p w14:paraId="01BCE512">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序号</w:t>
                  </w:r>
                </w:p>
              </w:tc>
              <w:tc>
                <w:tcPr>
                  <w:tcW w:w="876" w:type="pct"/>
                  <w:vAlign w:val="center"/>
                </w:tcPr>
                <w:p w14:paraId="759FC072">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内容</w:t>
                  </w:r>
                </w:p>
              </w:tc>
              <w:tc>
                <w:tcPr>
                  <w:tcW w:w="2903" w:type="pct"/>
                  <w:vAlign w:val="center"/>
                </w:tcPr>
                <w:p w14:paraId="48F46DAC">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环保措施</w:t>
                  </w:r>
                </w:p>
              </w:tc>
              <w:tc>
                <w:tcPr>
                  <w:tcW w:w="832" w:type="pct"/>
                  <w:vAlign w:val="center"/>
                </w:tcPr>
                <w:p w14:paraId="43FADE14">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投资（万元）</w:t>
                  </w:r>
                </w:p>
              </w:tc>
            </w:tr>
            <w:tr w14:paraId="02A4E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9" w:type="pct"/>
                  <w:vAlign w:val="center"/>
                </w:tcPr>
                <w:p w14:paraId="7E845D39">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w:t>
                  </w:r>
                </w:p>
              </w:tc>
              <w:tc>
                <w:tcPr>
                  <w:tcW w:w="876" w:type="pct"/>
                  <w:vAlign w:val="center"/>
                </w:tcPr>
                <w:p w14:paraId="36DDE842">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废水治理</w:t>
                  </w:r>
                </w:p>
              </w:tc>
              <w:tc>
                <w:tcPr>
                  <w:tcW w:w="2903" w:type="pct"/>
                  <w:vAlign w:val="center"/>
                </w:tcPr>
                <w:p w14:paraId="3CDC0281">
                  <w:pPr>
                    <w:spacing w:line="240" w:lineRule="auto"/>
                    <w:ind w:firstLine="0" w:firstLineChars="0"/>
                    <w:jc w:val="center"/>
                    <w:rPr>
                      <w:rFonts w:hint="default" w:ascii="Times New Roman" w:hAnsi="Times New Roman" w:eastAsia="宋体" w:cs="Times New Roman"/>
                      <w:color w:val="000000" w:themeColor="text1"/>
                      <w:kern w:val="0"/>
                      <w:sz w:val="21"/>
                      <w:szCs w:val="21"/>
                    </w:rPr>
                  </w:pPr>
                  <w:r>
                    <w:rPr>
                      <w:rFonts w:hint="default" w:ascii="Times New Roman" w:hAnsi="Times New Roman" w:eastAsia="宋体" w:cs="Times New Roman"/>
                      <w:color w:val="000000" w:themeColor="text1"/>
                      <w:sz w:val="21"/>
                      <w:szCs w:val="21"/>
                    </w:rPr>
                    <w:t>新建</w:t>
                  </w:r>
                  <w:r>
                    <w:rPr>
                      <w:rFonts w:hint="eastAsia" w:ascii="Times New Roman" w:hAnsi="Times New Roman" w:eastAsia="宋体" w:cs="Times New Roman"/>
                      <w:color w:val="000000" w:themeColor="text1"/>
                      <w:sz w:val="21"/>
                      <w:szCs w:val="21"/>
                      <w:lang w:val="en-US" w:eastAsia="zh-CN"/>
                    </w:rPr>
                    <w:t>化粪池以及收集管道</w:t>
                  </w:r>
                </w:p>
              </w:tc>
              <w:tc>
                <w:tcPr>
                  <w:tcW w:w="832" w:type="pct"/>
                  <w:vAlign w:val="center"/>
                </w:tcPr>
                <w:p w14:paraId="107FC857">
                  <w:pPr>
                    <w:pStyle w:val="55"/>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15</w:t>
                  </w:r>
                </w:p>
              </w:tc>
            </w:tr>
            <w:tr w14:paraId="71243B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389" w:type="pct"/>
                  <w:vAlign w:val="center"/>
                </w:tcPr>
                <w:p w14:paraId="5EEFB1F3">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876" w:type="pct"/>
                  <w:vAlign w:val="center"/>
                </w:tcPr>
                <w:p w14:paraId="488CE716">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废气治理</w:t>
                  </w:r>
                </w:p>
              </w:tc>
              <w:tc>
                <w:tcPr>
                  <w:tcW w:w="2903" w:type="pct"/>
                  <w:vAlign w:val="center"/>
                </w:tcPr>
                <w:p w14:paraId="03AD38EB">
                  <w:pPr>
                    <w:pStyle w:val="55"/>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炭黑处理车间新建布袋除尘，色母粒车间新建布袋除尘、冷凝器、二级活性炭、1根20m排气筒</w:t>
                  </w:r>
                </w:p>
              </w:tc>
              <w:tc>
                <w:tcPr>
                  <w:tcW w:w="832" w:type="pct"/>
                  <w:vAlign w:val="center"/>
                </w:tcPr>
                <w:p w14:paraId="41CA0640">
                  <w:pPr>
                    <w:pStyle w:val="55"/>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60</w:t>
                  </w:r>
                </w:p>
              </w:tc>
            </w:tr>
            <w:tr w14:paraId="344B4A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9" w:type="pct"/>
                  <w:vAlign w:val="center"/>
                </w:tcPr>
                <w:p w14:paraId="58B2D178">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w:t>
                  </w:r>
                </w:p>
              </w:tc>
              <w:tc>
                <w:tcPr>
                  <w:tcW w:w="876" w:type="pct"/>
                  <w:vAlign w:val="center"/>
                </w:tcPr>
                <w:p w14:paraId="0D557B23">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固废治理</w:t>
                  </w:r>
                </w:p>
              </w:tc>
              <w:tc>
                <w:tcPr>
                  <w:tcW w:w="2903" w:type="pct"/>
                  <w:vAlign w:val="center"/>
                </w:tcPr>
                <w:p w14:paraId="75C1B968">
                  <w:pPr>
                    <w:pStyle w:val="55"/>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新建危废暂存间以及翻新一般固废暂存间</w:t>
                  </w:r>
                </w:p>
              </w:tc>
              <w:tc>
                <w:tcPr>
                  <w:tcW w:w="832" w:type="pct"/>
                  <w:vAlign w:val="center"/>
                </w:tcPr>
                <w:p w14:paraId="3FC02E75">
                  <w:pPr>
                    <w:pStyle w:val="55"/>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15</w:t>
                  </w:r>
                </w:p>
              </w:tc>
            </w:tr>
            <w:tr w14:paraId="53CA3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9" w:type="pct"/>
                  <w:vAlign w:val="center"/>
                </w:tcPr>
                <w:p w14:paraId="1BA0C021">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w:t>
                  </w:r>
                </w:p>
              </w:tc>
              <w:tc>
                <w:tcPr>
                  <w:tcW w:w="876" w:type="pct"/>
                  <w:vAlign w:val="center"/>
                </w:tcPr>
                <w:p w14:paraId="45CA2D66">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噪声治理</w:t>
                  </w:r>
                </w:p>
              </w:tc>
              <w:tc>
                <w:tcPr>
                  <w:tcW w:w="2903" w:type="pct"/>
                  <w:vAlign w:val="center"/>
                </w:tcPr>
                <w:p w14:paraId="792D53BB">
                  <w:pPr>
                    <w:pStyle w:val="55"/>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新建歌声装置</w:t>
                  </w:r>
                </w:p>
              </w:tc>
              <w:tc>
                <w:tcPr>
                  <w:tcW w:w="832" w:type="pct"/>
                  <w:vAlign w:val="center"/>
                </w:tcPr>
                <w:p w14:paraId="70C0398B">
                  <w:pPr>
                    <w:pStyle w:val="55"/>
                    <w:rPr>
                      <w:rFonts w:hint="default" w:ascii="Times New Roman" w:hAnsi="Times New Roman" w:eastAsia="宋体" w:cs="Times New Roman"/>
                      <w:color w:val="000000" w:themeColor="text1"/>
                      <w:highlight w:val="yellow"/>
                      <w:lang w:val="en-US" w:eastAsia="zh-CN"/>
                    </w:rPr>
                  </w:pPr>
                  <w:r>
                    <w:rPr>
                      <w:rFonts w:hint="eastAsia" w:cs="Times New Roman"/>
                      <w:color w:val="000000" w:themeColor="text1"/>
                      <w:lang w:val="en-US" w:eastAsia="zh-CN"/>
                    </w:rPr>
                    <w:t>10</w:t>
                  </w:r>
                </w:p>
              </w:tc>
            </w:tr>
            <w:tr w14:paraId="436E0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65" w:type="pct"/>
                  <w:gridSpan w:val="2"/>
                  <w:vAlign w:val="center"/>
                </w:tcPr>
                <w:p w14:paraId="0BE2A717">
                  <w:pPr>
                    <w:pStyle w:val="55"/>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合计</w:t>
                  </w:r>
                </w:p>
              </w:tc>
              <w:tc>
                <w:tcPr>
                  <w:tcW w:w="3735" w:type="pct"/>
                  <w:gridSpan w:val="2"/>
                  <w:vAlign w:val="center"/>
                </w:tcPr>
                <w:p w14:paraId="41975821">
                  <w:pPr>
                    <w:pStyle w:val="55"/>
                    <w:rPr>
                      <w:rFonts w:hint="default" w:ascii="Times New Roman" w:hAnsi="Times New Roman" w:eastAsia="宋体" w:cs="Times New Roman"/>
                      <w:color w:val="000000" w:themeColor="text1"/>
                    </w:rPr>
                  </w:pPr>
                  <w:r>
                    <w:rPr>
                      <w:rFonts w:hint="eastAsia" w:cs="Times New Roman"/>
                      <w:color w:val="000000" w:themeColor="text1"/>
                      <w:lang w:val="en-US" w:eastAsia="zh-CN"/>
                    </w:rPr>
                    <w:t>100</w:t>
                  </w:r>
                  <w:r>
                    <w:rPr>
                      <w:rFonts w:hint="default" w:ascii="Times New Roman" w:hAnsi="Times New Roman" w:eastAsia="宋体" w:cs="Times New Roman"/>
                      <w:color w:val="000000" w:themeColor="text1"/>
                    </w:rPr>
                    <w:t>万</w:t>
                  </w:r>
                </w:p>
              </w:tc>
            </w:tr>
          </w:tbl>
          <w:p w14:paraId="62A4E0FA">
            <w:pPr>
              <w:ind w:firstLine="511" w:firstLineChars="196"/>
              <w:rPr>
                <w:rFonts w:hint="default" w:ascii="Times New Roman" w:hAnsi="Times New Roman" w:eastAsia="宋体" w:cs="Times New Roman"/>
                <w:b/>
                <w:color w:val="000000" w:themeColor="text1"/>
              </w:rPr>
            </w:pPr>
            <w:r>
              <w:rPr>
                <w:rFonts w:hint="default" w:ascii="Times New Roman" w:hAnsi="Times New Roman" w:cs="Times New Roman"/>
                <w:b/>
                <w:color w:val="000000" w:themeColor="text1"/>
                <w:spacing w:val="10"/>
                <w:lang w:val="en-US" w:eastAsia="zh-CN"/>
              </w:rPr>
              <w:t>8</w:t>
            </w:r>
            <w:r>
              <w:rPr>
                <w:rFonts w:hint="default" w:ascii="Times New Roman" w:hAnsi="Times New Roman" w:eastAsia="宋体" w:cs="Times New Roman"/>
                <w:b/>
                <w:color w:val="000000" w:themeColor="text1"/>
                <w:spacing w:val="10"/>
              </w:rPr>
              <w:t>、</w:t>
            </w:r>
            <w:r>
              <w:rPr>
                <w:rFonts w:hint="default" w:ascii="Times New Roman" w:hAnsi="Times New Roman" w:eastAsia="宋体" w:cs="Times New Roman"/>
                <w:b/>
                <w:color w:val="000000" w:themeColor="text1"/>
              </w:rPr>
              <w:t>工程环保设施竣工验收清单</w:t>
            </w:r>
          </w:p>
          <w:p w14:paraId="3F87D4B7">
            <w:pPr>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根据《建设项目环境保护管理条例》</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2017 年7月16日修订</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，建设项目设计和施工中应严格落实“三同时”制度，建设单位应按照国家及本市有关法律法规、建设项目竣工环境保护验收技术规范、建设项目环境影响报告书</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表</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和审批决定等要求，自主开展相关验收工作。建设项目配套建设的环境保护设施经验收合格，方可投入生产或者使用；未经验收或者验收不合格的，不得投入生产或者使用。</w:t>
            </w:r>
          </w:p>
          <w:p w14:paraId="4F9A0466">
            <w:pPr>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建设单位是建设项目竣工环境保护验收的责任主体，应当按照《建设项目竣工环境保护验收暂行办法》</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国环规环评〔2017〕4 号</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、《建设项目竣工环境保护验收技术指南 污染影响类》（生态环境部办公厅 2018 年5月16日印发）规定的程序和标准，组织对配套建设的环境保护设施进行验收，编制验收报告</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公开相关信息，接受社会监督，确保建设项目需要配套建设的环境保护设施与主体工程同时投产或者使用，并对验收内容、结论和所公开信息的真实性、准确性和完整性负责，不得在验收中弄虚作假。</w:t>
            </w:r>
          </w:p>
          <w:p w14:paraId="56343EEE">
            <w:pPr>
              <w:spacing w:line="360" w:lineRule="auto"/>
              <w:ind w:firstLine="480" w:firstLineChars="20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根据《排污许可证申请与核发技术规范 总则》（HJ942-2018）以及《固定污染源排污许可分类管理名录</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2019年版</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》规定，本项目应</w:t>
            </w:r>
            <w:r>
              <w:rPr>
                <w:rFonts w:hint="eastAsia" w:ascii="Times New Roman" w:hAnsi="Times New Roman" w:eastAsia="宋体" w:cs="Times New Roman"/>
                <w:color w:val="000000" w:themeColor="text1"/>
                <w:sz w:val="24"/>
                <w:szCs w:val="24"/>
                <w:lang w:val="en-US" w:eastAsia="zh-CN"/>
              </w:rPr>
              <w:t>简化</w:t>
            </w:r>
            <w:r>
              <w:rPr>
                <w:rFonts w:hint="default" w:ascii="Times New Roman" w:hAnsi="Times New Roman" w:eastAsia="宋体" w:cs="Times New Roman"/>
                <w:color w:val="000000" w:themeColor="text1"/>
                <w:sz w:val="24"/>
                <w:szCs w:val="24"/>
              </w:rPr>
              <w:t>管理。企业应在项目建设完成后及时对环保设施进行验收。</w:t>
            </w:r>
          </w:p>
          <w:p w14:paraId="39515AC7">
            <w:pPr>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本项目环保“三同时”验收主要内容见下表。</w:t>
            </w:r>
          </w:p>
          <w:p w14:paraId="02D1D69F">
            <w:pPr>
              <w:tabs>
                <w:tab w:val="left" w:pos="0"/>
              </w:tabs>
              <w:spacing w:line="240" w:lineRule="auto"/>
              <w:ind w:firstLine="0" w:firstLineChars="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36</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color w:val="000000" w:themeColor="text1"/>
                <w:sz w:val="21"/>
                <w:szCs w:val="21"/>
              </w:rPr>
              <w:t>工程环保设施竣工验收清单</w:t>
            </w:r>
          </w:p>
          <w:tbl>
            <w:tblPr>
              <w:tblStyle w:val="33"/>
              <w:tblW w:w="8038" w:type="dxa"/>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624"/>
              <w:gridCol w:w="939"/>
              <w:gridCol w:w="1395"/>
              <w:gridCol w:w="2370"/>
              <w:gridCol w:w="2710"/>
            </w:tblGrid>
            <w:tr w14:paraId="7562B91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59" w:hRule="atLeast"/>
                <w:jc w:val="center"/>
              </w:trPr>
              <w:tc>
                <w:tcPr>
                  <w:tcW w:w="624" w:type="dxa"/>
                  <w:vAlign w:val="center"/>
                </w:tcPr>
                <w:p w14:paraId="37528130">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类别</w:t>
                  </w:r>
                </w:p>
              </w:tc>
              <w:tc>
                <w:tcPr>
                  <w:tcW w:w="2334" w:type="dxa"/>
                  <w:gridSpan w:val="2"/>
                  <w:vAlign w:val="center"/>
                </w:tcPr>
                <w:p w14:paraId="02375211">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污染源</w:t>
                  </w:r>
                </w:p>
              </w:tc>
              <w:tc>
                <w:tcPr>
                  <w:tcW w:w="2370" w:type="dxa"/>
                  <w:vAlign w:val="center"/>
                </w:tcPr>
                <w:p w14:paraId="39A62045">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环保设施或措施内容</w:t>
                  </w:r>
                </w:p>
              </w:tc>
              <w:tc>
                <w:tcPr>
                  <w:tcW w:w="2710" w:type="dxa"/>
                  <w:vAlign w:val="center"/>
                </w:tcPr>
                <w:p w14:paraId="561CE59E">
                  <w:pPr>
                    <w:pStyle w:val="55"/>
                    <w:ind w:left="0"/>
                    <w:rPr>
                      <w:rFonts w:hint="default" w:ascii="Times New Roman" w:hAnsi="Times New Roman" w:eastAsia="宋体" w:cs="Times New Roman"/>
                      <w:b/>
                      <w:bCs/>
                      <w:color w:val="000000" w:themeColor="text1"/>
                      <w:sz w:val="21"/>
                      <w:szCs w:val="21"/>
                    </w:rPr>
                  </w:pPr>
                  <w:r>
                    <w:rPr>
                      <w:rFonts w:hint="default" w:ascii="Times New Roman" w:hAnsi="Times New Roman" w:eastAsia="宋体" w:cs="Times New Roman"/>
                      <w:b/>
                      <w:bCs/>
                      <w:color w:val="000000" w:themeColor="text1"/>
                      <w:sz w:val="21"/>
                      <w:szCs w:val="21"/>
                    </w:rPr>
                    <w:t>执行标准</w:t>
                  </w:r>
                </w:p>
              </w:tc>
            </w:tr>
            <w:tr w14:paraId="42498AB2">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0" w:hRule="atLeast"/>
                <w:jc w:val="center"/>
              </w:trPr>
              <w:tc>
                <w:tcPr>
                  <w:tcW w:w="624" w:type="dxa"/>
                  <w:vMerge w:val="restart"/>
                  <w:vAlign w:val="center"/>
                </w:tcPr>
                <w:p w14:paraId="61B051C4">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废气</w:t>
                  </w:r>
                </w:p>
              </w:tc>
              <w:tc>
                <w:tcPr>
                  <w:tcW w:w="939" w:type="dxa"/>
                  <w:tcBorders>
                    <w:bottom w:val="single" w:color="auto" w:sz="4" w:space="0"/>
                  </w:tcBorders>
                  <w:vAlign w:val="center"/>
                </w:tcPr>
                <w:p w14:paraId="7C6D1F4F">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DA001</w:t>
                  </w:r>
                </w:p>
              </w:tc>
              <w:tc>
                <w:tcPr>
                  <w:tcW w:w="1395" w:type="dxa"/>
                  <w:tcBorders>
                    <w:bottom w:val="single" w:color="auto" w:sz="4" w:space="0"/>
                  </w:tcBorders>
                  <w:vAlign w:val="center"/>
                </w:tcPr>
                <w:p w14:paraId="653DFC20">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颗粒物、SO</w:t>
                  </w:r>
                  <w:r>
                    <w:rPr>
                      <w:rFonts w:hint="eastAsia" w:ascii="Times New Roman" w:hAnsi="Times New Roman" w:eastAsia="宋体" w:cs="Times New Roman"/>
                      <w:color w:val="000000" w:themeColor="text1"/>
                      <w:sz w:val="21"/>
                      <w:szCs w:val="21"/>
                      <w:vertAlign w:val="subscript"/>
                      <w:lang w:val="en-US" w:eastAsia="zh-CN"/>
                    </w:rPr>
                    <w:t>2</w:t>
                  </w:r>
                  <w:r>
                    <w:rPr>
                      <w:rFonts w:hint="eastAsia" w:ascii="Times New Roman" w:hAnsi="Times New Roman" w:eastAsia="宋体" w:cs="Times New Roman"/>
                      <w:color w:val="000000" w:themeColor="text1"/>
                      <w:sz w:val="21"/>
                      <w:szCs w:val="21"/>
                      <w:lang w:val="en-US" w:eastAsia="zh-CN"/>
                    </w:rPr>
                    <w:t>、NOx</w:t>
                  </w:r>
                </w:p>
              </w:tc>
              <w:tc>
                <w:tcPr>
                  <w:tcW w:w="2370" w:type="dxa"/>
                  <w:tcBorders>
                    <w:bottom w:val="single" w:color="auto" w:sz="4" w:space="0"/>
                  </w:tcBorders>
                  <w:vAlign w:val="center"/>
                </w:tcPr>
                <w:p w14:paraId="10740DEC">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布袋除尘+1根15m排气筒（DA001）</w:t>
                  </w:r>
                </w:p>
              </w:tc>
              <w:tc>
                <w:tcPr>
                  <w:tcW w:w="2710" w:type="dxa"/>
                  <w:tcBorders>
                    <w:bottom w:val="single" w:color="auto" w:sz="4" w:space="0"/>
                  </w:tcBorders>
                  <w:vAlign w:val="center"/>
                </w:tcPr>
                <w:p w14:paraId="6D2FB6E2">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lang w:val="en-US" w:eastAsia="zh-CN"/>
                    </w:rPr>
                    <w:t>TSP</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15</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0.36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r>
                    <w:rPr>
                      <w:rFonts w:hint="eastAsia" w:ascii="Times New Roman" w:hAnsi="Times New Roman" w:cs="Times New Roman"/>
                      <w:color w:val="000000" w:themeColor="text1"/>
                      <w:lang w:val="en-US" w:eastAsia="zh-CN"/>
                    </w:rPr>
                    <w:t>SO</w:t>
                  </w:r>
                  <w:r>
                    <w:rPr>
                      <w:rFonts w:hint="eastAsia" w:ascii="Times New Roman" w:hAnsi="Times New Roman" w:cs="Times New Roman"/>
                      <w:color w:val="000000" w:themeColor="text1"/>
                      <w:vertAlign w:val="subscript"/>
                      <w:lang w:val="en-US" w:eastAsia="zh-CN"/>
                    </w:rPr>
                    <w:t>2</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1.6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val="en-US" w:eastAsia="zh-CN"/>
                    </w:rPr>
                    <w:t>；</w:t>
                  </w:r>
                  <w:r>
                    <w:rPr>
                      <w:rFonts w:hint="eastAsia" w:ascii="Times New Roman" w:hAnsi="Times New Roman" w:cs="Times New Roman"/>
                      <w:color w:val="000000" w:themeColor="text1"/>
                      <w:lang w:val="en-US" w:eastAsia="zh-CN"/>
                    </w:rPr>
                    <w:t>NOx</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0.47</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p>
              </w:tc>
            </w:tr>
            <w:tr w14:paraId="5AA0694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0" w:hRule="atLeast"/>
                <w:jc w:val="center"/>
              </w:trPr>
              <w:tc>
                <w:tcPr>
                  <w:tcW w:w="624" w:type="dxa"/>
                  <w:vMerge w:val="continue"/>
                  <w:vAlign w:val="center"/>
                </w:tcPr>
                <w:p w14:paraId="167B2AF4">
                  <w:pPr>
                    <w:pStyle w:val="55"/>
                    <w:ind w:left="0" w:leftChars="0" w:firstLine="0" w:firstLineChars="0"/>
                    <w:rPr>
                      <w:color w:val="000000" w:themeColor="text1"/>
                    </w:rPr>
                  </w:pPr>
                </w:p>
              </w:tc>
              <w:tc>
                <w:tcPr>
                  <w:tcW w:w="939" w:type="dxa"/>
                  <w:vMerge w:val="restart"/>
                  <w:vAlign w:val="center"/>
                </w:tcPr>
                <w:p w14:paraId="0E9B5DE5">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DA002</w:t>
                  </w:r>
                </w:p>
              </w:tc>
              <w:tc>
                <w:tcPr>
                  <w:tcW w:w="1395" w:type="dxa"/>
                  <w:tcBorders>
                    <w:bottom w:val="single" w:color="auto" w:sz="4" w:space="0"/>
                  </w:tcBorders>
                  <w:vAlign w:val="center"/>
                </w:tcPr>
                <w:p w14:paraId="01B6AF1B">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颗粒物</w:t>
                  </w:r>
                </w:p>
              </w:tc>
              <w:tc>
                <w:tcPr>
                  <w:tcW w:w="2370" w:type="dxa"/>
                  <w:tcBorders>
                    <w:bottom w:val="single" w:color="auto" w:sz="4" w:space="0"/>
                  </w:tcBorders>
                  <w:vAlign w:val="center"/>
                </w:tcPr>
                <w:p w14:paraId="746CA0D9">
                  <w:pPr>
                    <w:pStyle w:val="55"/>
                    <w:ind w:left="0" w:leftChars="0" w:firstLine="0" w:firstLineChars="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布袋除尘+1根15m排气筒（DA002）</w:t>
                  </w:r>
                </w:p>
              </w:tc>
              <w:tc>
                <w:tcPr>
                  <w:tcW w:w="2710" w:type="dxa"/>
                  <w:tcBorders>
                    <w:bottom w:val="single" w:color="auto" w:sz="4" w:space="0"/>
                  </w:tcBorders>
                  <w:vAlign w:val="center"/>
                </w:tcPr>
                <w:p w14:paraId="3D95DB3D">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lang w:val="en-US" w:eastAsia="zh-CN"/>
                    </w:rPr>
                    <w:t>TSP</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15</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0.36</w:t>
                  </w:r>
                  <w:r>
                    <w:rPr>
                      <w:rFonts w:hint="default" w:ascii="Times New Roman" w:hAnsi="Times New Roman" w:cs="Times New Roman"/>
                      <w:bCs/>
                      <w:color w:val="000000" w:themeColor="text1"/>
                    </w:rPr>
                    <w:t>kg/h</w:t>
                  </w:r>
                </w:p>
              </w:tc>
            </w:tr>
            <w:tr w14:paraId="15E43346">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0" w:hRule="atLeast"/>
                <w:jc w:val="center"/>
              </w:trPr>
              <w:tc>
                <w:tcPr>
                  <w:tcW w:w="624" w:type="dxa"/>
                  <w:vMerge w:val="continue"/>
                  <w:vAlign w:val="center"/>
                </w:tcPr>
                <w:p w14:paraId="6EEB0D25">
                  <w:pPr>
                    <w:pStyle w:val="55"/>
                    <w:ind w:left="0" w:leftChars="0" w:firstLine="0" w:firstLineChars="0"/>
                    <w:rPr>
                      <w:color w:val="000000" w:themeColor="text1"/>
                    </w:rPr>
                  </w:pPr>
                </w:p>
              </w:tc>
              <w:tc>
                <w:tcPr>
                  <w:tcW w:w="939" w:type="dxa"/>
                  <w:vMerge w:val="continue"/>
                  <w:tcBorders>
                    <w:bottom w:val="single" w:color="auto" w:sz="4" w:space="0"/>
                  </w:tcBorders>
                  <w:vAlign w:val="center"/>
                </w:tcPr>
                <w:p w14:paraId="77392A39">
                  <w:pPr>
                    <w:pStyle w:val="55"/>
                    <w:ind w:left="0" w:leftChars="0" w:firstLine="0" w:firstLineChars="0"/>
                    <w:rPr>
                      <w:rFonts w:hint="default" w:ascii="Times New Roman" w:hAnsi="Times New Roman" w:eastAsia="宋体" w:cs="Times New Roman"/>
                      <w:color w:val="000000" w:themeColor="text1"/>
                      <w:sz w:val="21"/>
                      <w:szCs w:val="21"/>
                      <w:lang w:val="en-US" w:eastAsia="zh-CN"/>
                    </w:rPr>
                  </w:pPr>
                </w:p>
              </w:tc>
              <w:tc>
                <w:tcPr>
                  <w:tcW w:w="1395" w:type="dxa"/>
                  <w:tcBorders>
                    <w:bottom w:val="single" w:color="auto" w:sz="4" w:space="0"/>
                  </w:tcBorders>
                  <w:vAlign w:val="center"/>
                </w:tcPr>
                <w:p w14:paraId="7DEE6BBF">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臭气浓度</w:t>
                  </w:r>
                </w:p>
              </w:tc>
              <w:tc>
                <w:tcPr>
                  <w:tcW w:w="2370" w:type="dxa"/>
                  <w:vMerge w:val="restart"/>
                  <w:vAlign w:val="center"/>
                </w:tcPr>
                <w:p w14:paraId="7AE6EB51">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冷凝+二级活性炭+1根15m排气筒（DA002）</w:t>
                  </w:r>
                </w:p>
              </w:tc>
              <w:tc>
                <w:tcPr>
                  <w:tcW w:w="2710" w:type="dxa"/>
                  <w:tcBorders>
                    <w:bottom w:val="single" w:color="auto" w:sz="4" w:space="0"/>
                  </w:tcBorders>
                  <w:vAlign w:val="center"/>
                </w:tcPr>
                <w:p w14:paraId="10265501">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《恶臭污染物排</w:t>
                  </w:r>
                </w:p>
                <w:p w14:paraId="0573B9A8">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bCs/>
                      <w:color w:val="000000" w:themeColor="text1"/>
                      <w:sz w:val="21"/>
                      <w:szCs w:val="21"/>
                    </w:rPr>
                    <w:t>放标准》（GB14554-93）</w:t>
                  </w:r>
                </w:p>
              </w:tc>
            </w:tr>
            <w:tr w14:paraId="47EBAF38">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80" w:hRule="atLeast"/>
                <w:jc w:val="center"/>
              </w:trPr>
              <w:tc>
                <w:tcPr>
                  <w:tcW w:w="624" w:type="dxa"/>
                  <w:vMerge w:val="continue"/>
                  <w:vAlign w:val="center"/>
                </w:tcPr>
                <w:p w14:paraId="7C8D9C05">
                  <w:pPr>
                    <w:pStyle w:val="55"/>
                    <w:ind w:left="0" w:leftChars="0" w:firstLine="0" w:firstLineChars="0"/>
                    <w:rPr>
                      <w:color w:val="000000" w:themeColor="text1"/>
                    </w:rPr>
                  </w:pPr>
                </w:p>
              </w:tc>
              <w:tc>
                <w:tcPr>
                  <w:tcW w:w="939" w:type="dxa"/>
                  <w:vMerge w:val="continue"/>
                  <w:tcBorders>
                    <w:bottom w:val="single" w:color="auto" w:sz="4" w:space="0"/>
                  </w:tcBorders>
                  <w:vAlign w:val="center"/>
                </w:tcPr>
                <w:p w14:paraId="5B263B02">
                  <w:pPr>
                    <w:pStyle w:val="55"/>
                    <w:ind w:left="0" w:leftChars="0" w:firstLine="0" w:firstLineChars="0"/>
                    <w:rPr>
                      <w:rFonts w:hint="default" w:ascii="Times New Roman" w:hAnsi="Times New Roman" w:eastAsia="宋体" w:cs="Times New Roman"/>
                      <w:color w:val="000000" w:themeColor="text1"/>
                      <w:sz w:val="21"/>
                      <w:szCs w:val="21"/>
                      <w:lang w:val="en-US" w:eastAsia="zh-CN"/>
                    </w:rPr>
                  </w:pPr>
                </w:p>
              </w:tc>
              <w:tc>
                <w:tcPr>
                  <w:tcW w:w="1395" w:type="dxa"/>
                  <w:tcBorders>
                    <w:bottom w:val="single" w:color="auto" w:sz="4" w:space="0"/>
                  </w:tcBorders>
                  <w:vAlign w:val="center"/>
                </w:tcPr>
                <w:p w14:paraId="2C5FDAC9">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非甲烷总烃</w:t>
                  </w:r>
                </w:p>
              </w:tc>
              <w:tc>
                <w:tcPr>
                  <w:tcW w:w="2370" w:type="dxa"/>
                  <w:vMerge w:val="continue"/>
                  <w:tcBorders>
                    <w:bottom w:val="single" w:color="auto" w:sz="4" w:space="0"/>
                  </w:tcBorders>
                  <w:vAlign w:val="center"/>
                </w:tcPr>
                <w:p w14:paraId="3506FADB">
                  <w:pPr>
                    <w:pStyle w:val="55"/>
                    <w:ind w:left="0" w:leftChars="0" w:firstLine="0" w:firstLineChars="0"/>
                    <w:rPr>
                      <w:rFonts w:hint="default" w:ascii="Times New Roman" w:hAnsi="Times New Roman" w:eastAsia="宋体" w:cs="Times New Roman"/>
                      <w:color w:val="000000" w:themeColor="text1"/>
                      <w:sz w:val="21"/>
                      <w:szCs w:val="21"/>
                      <w:lang w:val="en-US" w:eastAsia="zh-CN"/>
                    </w:rPr>
                  </w:pPr>
                </w:p>
              </w:tc>
              <w:tc>
                <w:tcPr>
                  <w:tcW w:w="2710" w:type="dxa"/>
                  <w:tcBorders>
                    <w:bottom w:val="single" w:color="auto" w:sz="4" w:space="0"/>
                  </w:tcBorders>
                  <w:vAlign w:val="center"/>
                </w:tcPr>
                <w:p w14:paraId="1E5ACE32">
                  <w:pPr>
                    <w:pStyle w:val="55"/>
                    <w:ind w:left="0" w:leftChars="0" w:firstLine="0" w:firstLineChars="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《挥发性有机物排放标准 第4部分：塑料制造业》（DB36/1101.</w:t>
                  </w:r>
                  <w:r>
                    <w:rPr>
                      <w:rFonts w:hint="eastAsia" w:ascii="Times New Roman" w:hAnsi="Times New Roman" w:eastAsia="宋体" w:cs="Times New Roman"/>
                      <w:color w:val="000000" w:themeColor="text1"/>
                      <w:sz w:val="21"/>
                      <w:szCs w:val="21"/>
                      <w:lang w:val="en-US" w:eastAsia="zh-CN"/>
                    </w:rPr>
                    <w:t>4</w:t>
                  </w:r>
                  <w:r>
                    <w:rPr>
                      <w:rFonts w:hint="default" w:ascii="Times New Roman" w:hAnsi="Times New Roman" w:eastAsia="宋体" w:cs="Times New Roman"/>
                      <w:color w:val="000000" w:themeColor="text1"/>
                      <w:sz w:val="21"/>
                      <w:szCs w:val="21"/>
                      <w:lang w:val="en-US" w:eastAsia="zh-CN"/>
                    </w:rPr>
                    <w:t>-2019）</w:t>
                  </w:r>
                </w:p>
              </w:tc>
            </w:tr>
            <w:tr w14:paraId="5561233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97" w:hRule="atLeast"/>
                <w:jc w:val="center"/>
              </w:trPr>
              <w:tc>
                <w:tcPr>
                  <w:tcW w:w="624" w:type="dxa"/>
                  <w:vAlign w:val="center"/>
                </w:tcPr>
                <w:p w14:paraId="4C258AE6">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废水</w:t>
                  </w:r>
                </w:p>
              </w:tc>
              <w:tc>
                <w:tcPr>
                  <w:tcW w:w="2334" w:type="dxa"/>
                  <w:gridSpan w:val="2"/>
                  <w:vAlign w:val="center"/>
                </w:tcPr>
                <w:p w14:paraId="0EF13CA4">
                  <w:pPr>
                    <w:pStyle w:val="55"/>
                    <w:ind w:left="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地面清洗水</w:t>
                  </w:r>
                </w:p>
              </w:tc>
              <w:tc>
                <w:tcPr>
                  <w:tcW w:w="2370" w:type="dxa"/>
                  <w:vAlign w:val="center"/>
                </w:tcPr>
                <w:p w14:paraId="5E048A27">
                  <w:pPr>
                    <w:pStyle w:val="55"/>
                    <w:ind w:left="0"/>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化粪池</w:t>
                  </w:r>
                </w:p>
              </w:tc>
              <w:tc>
                <w:tcPr>
                  <w:tcW w:w="2710" w:type="dxa"/>
                  <w:vAlign w:val="center"/>
                </w:tcPr>
                <w:p w14:paraId="6A27D1E2">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赤湖工业园污水处理厂</w:t>
                  </w:r>
                  <w:r>
                    <w:rPr>
                      <w:rFonts w:hint="default" w:ascii="Times New Roman" w:hAnsi="Times New Roman" w:eastAsia="宋体" w:cs="Times New Roman"/>
                      <w:color w:val="000000" w:themeColor="text1"/>
                      <w:sz w:val="21"/>
                      <w:szCs w:val="21"/>
                      <w:lang w:val="en-US" w:eastAsia="zh-CN"/>
                    </w:rPr>
                    <w:t>污水接管标准</w:t>
                  </w:r>
                </w:p>
              </w:tc>
            </w:tr>
            <w:tr w14:paraId="7A76065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93" w:hRule="atLeast"/>
                <w:jc w:val="center"/>
              </w:trPr>
              <w:tc>
                <w:tcPr>
                  <w:tcW w:w="624" w:type="dxa"/>
                  <w:vAlign w:val="center"/>
                </w:tcPr>
                <w:p w14:paraId="18F07589">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噪声</w:t>
                  </w:r>
                </w:p>
              </w:tc>
              <w:tc>
                <w:tcPr>
                  <w:tcW w:w="2334" w:type="dxa"/>
                  <w:gridSpan w:val="2"/>
                  <w:vAlign w:val="center"/>
                </w:tcPr>
                <w:p w14:paraId="0EEEAAA5">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设备噪声</w:t>
                  </w:r>
                </w:p>
              </w:tc>
              <w:tc>
                <w:tcPr>
                  <w:tcW w:w="2370" w:type="dxa"/>
                  <w:vAlign w:val="center"/>
                </w:tcPr>
                <w:p w14:paraId="6F981755">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选用低噪音设备，采取隔振、减振等综合治理措施</w:t>
                  </w:r>
                </w:p>
              </w:tc>
              <w:tc>
                <w:tcPr>
                  <w:tcW w:w="2710" w:type="dxa"/>
                  <w:vAlign w:val="center"/>
                </w:tcPr>
                <w:p w14:paraId="5147A711">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《工业企业厂界环境噪声排放标准》</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GB12348-2008</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3类标准</w:t>
                  </w:r>
                </w:p>
              </w:tc>
            </w:tr>
            <w:tr w14:paraId="0376D0E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511" w:hRule="atLeast"/>
                <w:jc w:val="center"/>
              </w:trPr>
              <w:tc>
                <w:tcPr>
                  <w:tcW w:w="624" w:type="dxa"/>
                  <w:vMerge w:val="restart"/>
                  <w:vAlign w:val="center"/>
                </w:tcPr>
                <w:p w14:paraId="254B185A">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固废</w:t>
                  </w:r>
                </w:p>
              </w:tc>
              <w:tc>
                <w:tcPr>
                  <w:tcW w:w="939" w:type="dxa"/>
                  <w:vMerge w:val="restart"/>
                  <w:vAlign w:val="center"/>
                </w:tcPr>
                <w:p w14:paraId="43A25DA1">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一般固废</w:t>
                  </w:r>
                </w:p>
              </w:tc>
              <w:tc>
                <w:tcPr>
                  <w:tcW w:w="1395" w:type="dxa"/>
                  <w:vAlign w:val="center"/>
                </w:tcPr>
                <w:p w14:paraId="533CC813">
                  <w:pPr>
                    <w:pStyle w:val="55"/>
                    <w:ind w:left="0"/>
                    <w:rPr>
                      <w:rFonts w:hint="eastAsia" w:ascii="Times New Roman" w:hAnsi="Times New Roman" w:eastAsia="宋体" w:cs="Times New Roman"/>
                      <w:color w:val="000000" w:themeColor="text1"/>
                      <w:sz w:val="21"/>
                      <w:szCs w:val="21"/>
                      <w:lang w:eastAsia="zh-CN"/>
                    </w:rPr>
                  </w:pPr>
                  <w:r>
                    <w:rPr>
                      <w:rFonts w:hint="eastAsia" w:cs="Times New Roman"/>
                      <w:color w:val="000000" w:themeColor="text1"/>
                      <w:sz w:val="21"/>
                      <w:szCs w:val="21"/>
                      <w:lang w:val="en-US" w:eastAsia="zh-CN"/>
                    </w:rPr>
                    <w:t>废包装袋</w:t>
                  </w:r>
                </w:p>
              </w:tc>
              <w:tc>
                <w:tcPr>
                  <w:tcW w:w="2370" w:type="dxa"/>
                  <w:vAlign w:val="center"/>
                </w:tcPr>
                <w:p w14:paraId="3D10DBDA">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eastAsia="宋体" w:cs="Times New Roman"/>
                      <w:color w:val="000000" w:themeColor="text1"/>
                      <w:sz w:val="21"/>
                      <w:szCs w:val="21"/>
                      <w:lang w:val="en-US" w:eastAsia="zh-CN"/>
                    </w:rPr>
                  </w:pPr>
                  <w:r>
                    <w:rPr>
                      <w:rFonts w:hint="eastAsia" w:cs="Times New Roman"/>
                      <w:color w:val="000000" w:themeColor="text1"/>
                      <w:sz w:val="21"/>
                      <w:szCs w:val="21"/>
                      <w:lang w:val="en-US" w:eastAsia="zh-CN"/>
                    </w:rPr>
                    <w:t>交由环卫部门清运</w:t>
                  </w:r>
                </w:p>
              </w:tc>
              <w:tc>
                <w:tcPr>
                  <w:tcW w:w="2710" w:type="dxa"/>
                  <w:vMerge w:val="restart"/>
                  <w:vAlign w:val="center"/>
                </w:tcPr>
                <w:p w14:paraId="047F00A6">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《一般工业固体废弃物贮存</w:t>
                  </w:r>
                  <w:r>
                    <w:rPr>
                      <w:rFonts w:hint="eastAsia" w:cs="Times New Roman"/>
                      <w:color w:val="000000" w:themeColor="text1"/>
                      <w:sz w:val="21"/>
                      <w:szCs w:val="21"/>
                      <w:lang w:val="en-US" w:eastAsia="zh-CN"/>
                    </w:rPr>
                    <w:t>和</w:t>
                  </w:r>
                  <w:r>
                    <w:rPr>
                      <w:rFonts w:hint="default" w:ascii="Times New Roman" w:hAnsi="Times New Roman" w:eastAsia="宋体" w:cs="Times New Roman"/>
                      <w:color w:val="000000" w:themeColor="text1"/>
                      <w:sz w:val="21"/>
                      <w:szCs w:val="21"/>
                    </w:rPr>
                    <w:t>填埋污染控制标准》（GB18599-2020）</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处置率达100%，对环境影响较小</w:t>
                  </w:r>
                </w:p>
              </w:tc>
            </w:tr>
            <w:tr w14:paraId="75CFBF19">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81" w:hRule="atLeast"/>
                <w:jc w:val="center"/>
              </w:trPr>
              <w:tc>
                <w:tcPr>
                  <w:tcW w:w="624" w:type="dxa"/>
                  <w:vMerge w:val="continue"/>
                  <w:vAlign w:val="center"/>
                </w:tcPr>
                <w:p w14:paraId="3403C967">
                  <w:pPr>
                    <w:pStyle w:val="55"/>
                    <w:keepNext w:val="0"/>
                    <w:keepLines w:val="0"/>
                    <w:pageBreakBefore w:val="0"/>
                    <w:widowControl w:val="0"/>
                    <w:kinsoku/>
                    <w:wordWrap/>
                    <w:overflowPunct/>
                    <w:topLinePunct w:val="0"/>
                    <w:autoSpaceDE/>
                    <w:autoSpaceDN/>
                    <w:bidi w:val="0"/>
                    <w:adjustRightInd w:val="0"/>
                    <w:snapToGrid w:val="0"/>
                    <w:ind w:left="0"/>
                    <w:textAlignment w:val="auto"/>
                    <w:rPr>
                      <w:color w:val="000000" w:themeColor="text1"/>
                    </w:rPr>
                  </w:pPr>
                </w:p>
              </w:tc>
              <w:tc>
                <w:tcPr>
                  <w:tcW w:w="939" w:type="dxa"/>
                  <w:vMerge w:val="continue"/>
                  <w:vAlign w:val="center"/>
                </w:tcPr>
                <w:p w14:paraId="401C4024">
                  <w:pPr>
                    <w:pStyle w:val="55"/>
                    <w:keepNext w:val="0"/>
                    <w:keepLines w:val="0"/>
                    <w:pageBreakBefore w:val="0"/>
                    <w:widowControl w:val="0"/>
                    <w:kinsoku/>
                    <w:wordWrap/>
                    <w:overflowPunct/>
                    <w:topLinePunct w:val="0"/>
                    <w:autoSpaceDE/>
                    <w:autoSpaceDN/>
                    <w:bidi w:val="0"/>
                    <w:adjustRightInd w:val="0"/>
                    <w:snapToGrid w:val="0"/>
                    <w:ind w:left="0"/>
                    <w:textAlignment w:val="auto"/>
                    <w:rPr>
                      <w:color w:val="000000" w:themeColor="text1"/>
                    </w:rPr>
                  </w:pPr>
                </w:p>
              </w:tc>
              <w:tc>
                <w:tcPr>
                  <w:tcW w:w="1395" w:type="dxa"/>
                  <w:vAlign w:val="center"/>
                </w:tcPr>
                <w:p w14:paraId="650A9A48">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布袋收集粉尘</w:t>
                  </w:r>
                </w:p>
              </w:tc>
              <w:tc>
                <w:tcPr>
                  <w:tcW w:w="2370" w:type="dxa"/>
                  <w:vAlign w:val="center"/>
                </w:tcPr>
                <w:p w14:paraId="41C6C89B">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返回生产</w:t>
                  </w:r>
                </w:p>
              </w:tc>
              <w:tc>
                <w:tcPr>
                  <w:tcW w:w="2710" w:type="dxa"/>
                  <w:vMerge w:val="continue"/>
                  <w:vAlign w:val="center"/>
                </w:tcPr>
                <w:p w14:paraId="5ACD0FDB">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eastAsia" w:cs="Times New Roman"/>
                      <w:color w:val="000000" w:themeColor="text1"/>
                      <w:sz w:val="21"/>
                      <w:szCs w:val="21"/>
                      <w:lang w:val="en-US" w:eastAsia="zh-CN"/>
                    </w:rPr>
                  </w:pPr>
                </w:p>
              </w:tc>
            </w:tr>
            <w:tr w14:paraId="2DB6327A">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466" w:hRule="atLeast"/>
                <w:jc w:val="center"/>
              </w:trPr>
              <w:tc>
                <w:tcPr>
                  <w:tcW w:w="624" w:type="dxa"/>
                  <w:vMerge w:val="continue"/>
                  <w:vAlign w:val="center"/>
                </w:tcPr>
                <w:p w14:paraId="691EC5C2">
                  <w:pPr>
                    <w:pStyle w:val="55"/>
                    <w:keepNext w:val="0"/>
                    <w:keepLines w:val="0"/>
                    <w:pageBreakBefore w:val="0"/>
                    <w:widowControl w:val="0"/>
                    <w:kinsoku/>
                    <w:wordWrap/>
                    <w:overflowPunct/>
                    <w:topLinePunct w:val="0"/>
                    <w:autoSpaceDE/>
                    <w:autoSpaceDN/>
                    <w:bidi w:val="0"/>
                    <w:adjustRightInd w:val="0"/>
                    <w:snapToGrid w:val="0"/>
                    <w:ind w:left="0"/>
                    <w:textAlignment w:val="auto"/>
                    <w:rPr>
                      <w:color w:val="000000" w:themeColor="text1"/>
                    </w:rPr>
                  </w:pPr>
                </w:p>
              </w:tc>
              <w:tc>
                <w:tcPr>
                  <w:tcW w:w="939" w:type="dxa"/>
                  <w:vMerge w:val="continue"/>
                  <w:vAlign w:val="center"/>
                </w:tcPr>
                <w:p w14:paraId="533F0421">
                  <w:pPr>
                    <w:pStyle w:val="55"/>
                    <w:keepNext w:val="0"/>
                    <w:keepLines w:val="0"/>
                    <w:pageBreakBefore w:val="0"/>
                    <w:widowControl w:val="0"/>
                    <w:kinsoku/>
                    <w:wordWrap/>
                    <w:overflowPunct/>
                    <w:topLinePunct w:val="0"/>
                    <w:autoSpaceDE/>
                    <w:autoSpaceDN/>
                    <w:bidi w:val="0"/>
                    <w:adjustRightInd w:val="0"/>
                    <w:snapToGrid w:val="0"/>
                    <w:ind w:left="0"/>
                    <w:textAlignment w:val="auto"/>
                    <w:rPr>
                      <w:color w:val="000000" w:themeColor="text1"/>
                    </w:rPr>
                  </w:pPr>
                </w:p>
              </w:tc>
              <w:tc>
                <w:tcPr>
                  <w:tcW w:w="1395" w:type="dxa"/>
                  <w:vAlign w:val="center"/>
                </w:tcPr>
                <w:p w14:paraId="2AE336BA">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废布袋</w:t>
                  </w:r>
                </w:p>
              </w:tc>
              <w:tc>
                <w:tcPr>
                  <w:tcW w:w="2370" w:type="dxa"/>
                  <w:vAlign w:val="center"/>
                </w:tcPr>
                <w:p w14:paraId="728258E7">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收集后外售</w:t>
                  </w:r>
                </w:p>
              </w:tc>
              <w:tc>
                <w:tcPr>
                  <w:tcW w:w="2710" w:type="dxa"/>
                  <w:vMerge w:val="continue"/>
                  <w:vAlign w:val="center"/>
                </w:tcPr>
                <w:p w14:paraId="73FEC80D">
                  <w:pPr>
                    <w:pStyle w:val="55"/>
                    <w:keepNext w:val="0"/>
                    <w:keepLines w:val="0"/>
                    <w:pageBreakBefore w:val="0"/>
                    <w:widowControl w:val="0"/>
                    <w:kinsoku/>
                    <w:wordWrap/>
                    <w:overflowPunct/>
                    <w:topLinePunct w:val="0"/>
                    <w:autoSpaceDE/>
                    <w:autoSpaceDN/>
                    <w:bidi w:val="0"/>
                    <w:adjustRightInd w:val="0"/>
                    <w:snapToGrid w:val="0"/>
                    <w:ind w:left="0"/>
                    <w:textAlignment w:val="auto"/>
                    <w:rPr>
                      <w:rFonts w:hint="eastAsia" w:cs="Times New Roman"/>
                      <w:color w:val="000000" w:themeColor="text1"/>
                      <w:sz w:val="21"/>
                      <w:szCs w:val="21"/>
                      <w:lang w:val="en-US" w:eastAsia="zh-CN"/>
                    </w:rPr>
                  </w:pPr>
                </w:p>
              </w:tc>
            </w:tr>
            <w:tr w14:paraId="2E5E3CEC">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799" w:hRule="atLeast"/>
                <w:jc w:val="center"/>
              </w:trPr>
              <w:tc>
                <w:tcPr>
                  <w:tcW w:w="624" w:type="dxa"/>
                  <w:vMerge w:val="continue"/>
                  <w:vAlign w:val="center"/>
                </w:tcPr>
                <w:p w14:paraId="47F53364">
                  <w:pPr>
                    <w:pStyle w:val="55"/>
                    <w:ind w:left="0"/>
                    <w:rPr>
                      <w:rFonts w:hint="default" w:ascii="Times New Roman" w:hAnsi="Times New Roman" w:eastAsia="宋体" w:cs="Times New Roman"/>
                      <w:color w:val="000000" w:themeColor="text1"/>
                      <w:sz w:val="21"/>
                      <w:szCs w:val="21"/>
                    </w:rPr>
                  </w:pPr>
                </w:p>
              </w:tc>
              <w:tc>
                <w:tcPr>
                  <w:tcW w:w="939" w:type="dxa"/>
                  <w:vAlign w:val="center"/>
                </w:tcPr>
                <w:p w14:paraId="13C62CAF">
                  <w:pPr>
                    <w:pStyle w:val="55"/>
                    <w:ind w:left="0"/>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危险固废</w:t>
                  </w:r>
                </w:p>
              </w:tc>
              <w:tc>
                <w:tcPr>
                  <w:tcW w:w="1395" w:type="dxa"/>
                  <w:vAlign w:val="center"/>
                </w:tcPr>
                <w:p w14:paraId="3DA295BF">
                  <w:pPr>
                    <w:pStyle w:val="55"/>
                    <w:ind w:left="0"/>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废润滑油、废润滑油桶、废活性炭、废冷凝液</w:t>
                  </w:r>
                </w:p>
              </w:tc>
              <w:tc>
                <w:tcPr>
                  <w:tcW w:w="2370" w:type="dxa"/>
                  <w:tcBorders>
                    <w:top w:val="single" w:color="auto" w:sz="4" w:space="0"/>
                  </w:tcBorders>
                  <w:vAlign w:val="center"/>
                </w:tcPr>
                <w:p w14:paraId="7C66884B">
                  <w:pPr>
                    <w:pStyle w:val="55"/>
                    <w:ind w:left="0"/>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rPr>
                    <w:t>暂存危废间后</w:t>
                  </w:r>
                  <w:r>
                    <w:rPr>
                      <w:rFonts w:hint="eastAsia" w:cs="Times New Roman"/>
                      <w:color w:val="000000" w:themeColor="text1"/>
                      <w:sz w:val="21"/>
                      <w:szCs w:val="21"/>
                      <w:lang w:val="en-US" w:eastAsia="zh-CN"/>
                    </w:rPr>
                    <w:t>由供应商回收利用</w:t>
                  </w:r>
                </w:p>
              </w:tc>
              <w:tc>
                <w:tcPr>
                  <w:tcW w:w="2710" w:type="dxa"/>
                  <w:tcBorders>
                    <w:top w:val="single" w:color="auto" w:sz="4" w:space="0"/>
                  </w:tcBorders>
                  <w:vAlign w:val="center"/>
                </w:tcPr>
                <w:p w14:paraId="0920FB14">
                  <w:pPr>
                    <w:adjustRightInd w:val="0"/>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rPr>
                  </w:pPr>
                  <w:r>
                    <w:rPr>
                      <w:rFonts w:hint="default" w:ascii="Times New Roman" w:hAnsi="Times New Roman" w:eastAsia="宋体" w:cs="Times New Roman"/>
                      <w:color w:val="000000" w:themeColor="text1"/>
                      <w:sz w:val="21"/>
                      <w:szCs w:val="21"/>
                    </w:rPr>
                    <w:t>《危险废物贮存污染控制标准》</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GB18597-2001</w:t>
                  </w:r>
                  <w:r>
                    <w:rPr>
                      <w:rFonts w:hint="eastAsia"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及修改单</w:t>
                  </w:r>
                  <w:r>
                    <w:rPr>
                      <w:rFonts w:hint="default" w:ascii="Times New Roman" w:hAnsi="Times New Roman" w:eastAsia="宋体" w:cs="Times New Roman"/>
                      <w:color w:val="000000" w:themeColor="text1"/>
                      <w:sz w:val="21"/>
                      <w:szCs w:val="21"/>
                      <w:lang w:eastAsia="zh-CN"/>
                    </w:rPr>
                    <w:t>，</w:t>
                  </w:r>
                  <w:r>
                    <w:rPr>
                      <w:rFonts w:hint="default" w:ascii="Times New Roman" w:hAnsi="Times New Roman" w:eastAsia="宋体" w:cs="Times New Roman"/>
                      <w:color w:val="000000" w:themeColor="text1"/>
                      <w:sz w:val="21"/>
                      <w:szCs w:val="21"/>
                    </w:rPr>
                    <w:t>处置率达100%，对环境影响较小</w:t>
                  </w:r>
                </w:p>
              </w:tc>
            </w:tr>
          </w:tbl>
          <w:p w14:paraId="55C2E711">
            <w:pPr>
              <w:pStyle w:val="55"/>
              <w:keepNext w:val="0"/>
              <w:keepLines w:val="0"/>
              <w:pageBreakBefore w:val="0"/>
              <w:widowControl w:val="0"/>
              <w:kinsoku/>
              <w:wordWrap/>
              <w:overflowPunct/>
              <w:topLinePunct w:val="0"/>
              <w:autoSpaceDE/>
              <w:autoSpaceDN/>
              <w:bidi w:val="0"/>
              <w:spacing w:line="360" w:lineRule="auto"/>
              <w:ind w:left="0" w:firstLine="482" w:firstLineChars="200"/>
              <w:jc w:val="both"/>
              <w:textAlignment w:val="auto"/>
              <w:rPr>
                <w:rFonts w:hint="default" w:ascii="Times New Roman" w:hAnsi="Times New Roman" w:eastAsia="宋体" w:cs="Times New Roman"/>
                <w:b/>
                <w:color w:val="000000" w:themeColor="text1"/>
              </w:rPr>
            </w:pPr>
            <w:r>
              <w:rPr>
                <w:rFonts w:hint="default" w:ascii="Times New Roman" w:hAnsi="Times New Roman" w:cs="Times New Roman"/>
                <w:b/>
                <w:bCs/>
                <w:color w:val="000000" w:themeColor="text1"/>
                <w:sz w:val="24"/>
                <w:szCs w:val="24"/>
                <w:lang w:val="en-US" w:eastAsia="zh-CN"/>
              </w:rPr>
              <w:t>9</w:t>
            </w:r>
            <w:r>
              <w:rPr>
                <w:rFonts w:hint="default" w:ascii="Times New Roman" w:hAnsi="Times New Roman" w:eastAsia="宋体" w:cs="Times New Roman"/>
                <w:b/>
                <w:bCs/>
                <w:color w:val="000000" w:themeColor="text1"/>
                <w:sz w:val="24"/>
                <w:szCs w:val="24"/>
              </w:rPr>
              <w:t>、环境管理与监测</w:t>
            </w:r>
          </w:p>
          <w:p w14:paraId="1EF52118">
            <w:pPr>
              <w:keepNext w:val="0"/>
              <w:keepLines w:val="0"/>
              <w:pageBreakBefore w:val="0"/>
              <w:widowControl w:val="0"/>
              <w:kinsoku/>
              <w:wordWrap/>
              <w:overflowPunct/>
              <w:topLinePunct w:val="0"/>
              <w:autoSpaceDE/>
              <w:autoSpaceDN/>
              <w:bidi w:val="0"/>
              <w:spacing w:line="360" w:lineRule="auto"/>
              <w:ind w:left="0" w:firstLine="464" w:firstLineChars="200"/>
              <w:textAlignment w:val="auto"/>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⑴环境管理</w:t>
            </w:r>
          </w:p>
          <w:p w14:paraId="10C8F7D7">
            <w:pPr>
              <w:keepNext w:val="0"/>
              <w:keepLines w:val="0"/>
              <w:pageBreakBefore w:val="0"/>
              <w:widowControl w:val="0"/>
              <w:kinsoku/>
              <w:wordWrap/>
              <w:overflowPunct/>
              <w:topLinePunct w:val="0"/>
              <w:autoSpaceDE/>
              <w:autoSpaceDN/>
              <w:bidi w:val="0"/>
              <w:spacing w:line="360" w:lineRule="auto"/>
              <w:ind w:left="0" w:firstLine="464" w:firstLineChars="200"/>
              <w:textAlignment w:val="auto"/>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建设项目环境保护管理是指工程在</w:t>
            </w:r>
            <w:r>
              <w:rPr>
                <w:rFonts w:hint="eastAsia" w:cs="Times New Roman"/>
                <w:color w:val="000000" w:themeColor="text1"/>
                <w:spacing w:val="-4"/>
                <w:lang w:eastAsia="zh-CN"/>
              </w:rPr>
              <w:t>运营期间</w:t>
            </w:r>
            <w:r>
              <w:rPr>
                <w:rFonts w:hint="default" w:ascii="Times New Roman" w:hAnsi="Times New Roman" w:eastAsia="宋体" w:cs="Times New Roman"/>
                <w:color w:val="000000" w:themeColor="text1"/>
                <w:spacing w:val="-4"/>
              </w:rPr>
              <w:t>执行和遵守国家、省、市有关环境保护</w:t>
            </w:r>
            <w:r>
              <w:rPr>
                <w:rFonts w:hint="eastAsia" w:cs="Times New Roman"/>
                <w:color w:val="000000" w:themeColor="text1"/>
                <w:spacing w:val="-4"/>
                <w:lang w:eastAsia="zh-CN"/>
              </w:rPr>
              <w:t>法律法规</w:t>
            </w:r>
            <w:r>
              <w:rPr>
                <w:rFonts w:hint="default" w:ascii="Times New Roman" w:hAnsi="Times New Roman" w:eastAsia="宋体" w:cs="Times New Roman"/>
                <w:color w:val="000000" w:themeColor="text1"/>
                <w:spacing w:val="-4"/>
              </w:rPr>
              <w:t>、政策和标准，接受地方环境保护主管部门的环境监督，调整和制定环境保护规划和目标，把不利影响减免到最低限度，加强项目环境管理，及时调整工程运行方式和环境保护措施，最终达到保护环境的目的，取得更好的综合环境效益。</w:t>
            </w:r>
          </w:p>
          <w:p w14:paraId="5DDB4F87">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①环境管理机构与人员</w:t>
            </w:r>
          </w:p>
          <w:p w14:paraId="2E2A08F0">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营运期环境管理为</w:t>
            </w:r>
            <w:r>
              <w:rPr>
                <w:rFonts w:hint="eastAsia" w:ascii="宋体" w:hAnsi="宋体" w:cs="宋体"/>
                <w:color w:val="000000" w:themeColor="text1"/>
                <w:kern w:val="0"/>
                <w:sz w:val="24"/>
                <w:szCs w:val="24"/>
                <w:lang w:val="en-US" w:eastAsia="zh-CN" w:bidi="ar"/>
              </w:rPr>
              <w:t>江西雷亚特导电碳黑有限公司</w:t>
            </w:r>
            <w:r>
              <w:rPr>
                <w:rFonts w:hint="default" w:ascii="Times New Roman" w:hAnsi="Times New Roman" w:eastAsia="宋体" w:cs="Times New Roman"/>
                <w:color w:val="000000" w:themeColor="text1"/>
                <w:spacing w:val="-4"/>
              </w:rPr>
              <w:t>，负责具体的环境管理和监测，环境监测可委托有资质</w:t>
            </w:r>
            <w:r>
              <w:rPr>
                <w:rFonts w:hint="eastAsia" w:cs="Times New Roman"/>
                <w:color w:val="000000" w:themeColor="text1"/>
                <w:spacing w:val="-4"/>
                <w:lang w:eastAsia="zh-CN"/>
              </w:rPr>
              <w:t>的</w:t>
            </w:r>
            <w:r>
              <w:rPr>
                <w:rFonts w:hint="default" w:ascii="Times New Roman" w:hAnsi="Times New Roman" w:eastAsia="宋体" w:cs="Times New Roman"/>
                <w:color w:val="000000" w:themeColor="text1"/>
                <w:spacing w:val="-4"/>
              </w:rPr>
              <w:t>监测单位进行。</w:t>
            </w:r>
          </w:p>
          <w:p w14:paraId="49E15794">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②环境管理机构职责</w:t>
            </w:r>
          </w:p>
          <w:p w14:paraId="56EF1CD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环境管理机构负责项目营运</w:t>
            </w:r>
            <w:r>
              <w:rPr>
                <w:rFonts w:hint="eastAsia" w:cs="Times New Roman"/>
                <w:color w:val="000000" w:themeColor="text1"/>
                <w:spacing w:val="-4"/>
                <w:lang w:eastAsia="zh-CN"/>
              </w:rPr>
              <w:t>期间</w:t>
            </w:r>
            <w:r>
              <w:rPr>
                <w:rFonts w:hint="default" w:ascii="Times New Roman" w:hAnsi="Times New Roman" w:eastAsia="宋体" w:cs="Times New Roman"/>
                <w:color w:val="000000" w:themeColor="text1"/>
                <w:spacing w:val="-4"/>
              </w:rPr>
              <w:t>的环境管理与环境监测工作，主要职责：</w:t>
            </w:r>
          </w:p>
          <w:p w14:paraId="323CD2F8">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A.编制、提出该项目营运期的短期环境保护计划及长远环境保护规划。</w:t>
            </w:r>
          </w:p>
          <w:p w14:paraId="1C648F7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B.贯彻落实国家和地方的环境保护</w:t>
            </w:r>
            <w:r>
              <w:rPr>
                <w:rFonts w:hint="eastAsia" w:cs="Times New Roman"/>
                <w:color w:val="000000" w:themeColor="text1"/>
                <w:spacing w:val="-4"/>
                <w:lang w:eastAsia="zh-CN"/>
              </w:rPr>
              <w:t>法律法规</w:t>
            </w:r>
            <w:r>
              <w:rPr>
                <w:rFonts w:hint="default" w:ascii="Times New Roman" w:hAnsi="Times New Roman" w:eastAsia="宋体" w:cs="Times New Roman"/>
                <w:color w:val="000000" w:themeColor="text1"/>
                <w:spacing w:val="-4"/>
              </w:rPr>
              <w:t>、政策和标准，直接接受环保主管部门的监督、领导，配合环境保护主管部门</w:t>
            </w:r>
            <w:r>
              <w:rPr>
                <w:rFonts w:hint="eastAsia" w:cs="Times New Roman"/>
                <w:color w:val="000000" w:themeColor="text1"/>
                <w:spacing w:val="-4"/>
                <w:lang w:eastAsia="zh-CN"/>
              </w:rPr>
              <w:t>做好</w:t>
            </w:r>
            <w:r>
              <w:rPr>
                <w:rFonts w:hint="default" w:ascii="Times New Roman" w:hAnsi="Times New Roman" w:eastAsia="宋体" w:cs="Times New Roman"/>
                <w:color w:val="000000" w:themeColor="text1"/>
                <w:spacing w:val="-4"/>
              </w:rPr>
              <w:t>环保工作。</w:t>
            </w:r>
          </w:p>
          <w:p w14:paraId="732CDFCC">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C.领导并组织环境监测工作，制定和实施监测方案，定期向主管部门及市环境保护主管部门上报。</w:t>
            </w:r>
          </w:p>
          <w:p w14:paraId="4F247EF6">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D.监督项目各排污口污染物排放情况，按《环境保护图形标志――排放口（源）》（GB15562.1-1995）的图形，在各气、水、声排污口（源）挂牌标识，做到各排污口（源）的环保标志明显，便于企业管理和公众监督，确保污染物达到国家排放标准。</w:t>
            </w:r>
          </w:p>
          <w:p w14:paraId="24EC7B51">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③项目营运期的环境保护管理</w:t>
            </w:r>
          </w:p>
          <w:p w14:paraId="0F7D35F3">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A.根据国家环保政策、标准及环境监测要求，制定该项目营运期环保管理规章制度、各种污染物排放控制指标；</w:t>
            </w:r>
          </w:p>
          <w:p w14:paraId="2CD7FB07">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B.负责该项目内所有环保设施的日常运行管理，保障各环保设施的正常运行，并对环保设施的改进提出积极的建议；</w:t>
            </w:r>
          </w:p>
          <w:p w14:paraId="6D4CB27C">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C.负责该项目营运期环境监测工作，及时掌握该项目污染状况，整理监测数据，建立污染源档案；</w:t>
            </w:r>
          </w:p>
          <w:p w14:paraId="6D07A950">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D.该项目营运</w:t>
            </w:r>
            <w:r>
              <w:rPr>
                <w:rFonts w:hint="eastAsia" w:cs="Times New Roman"/>
                <w:color w:val="000000" w:themeColor="text1"/>
                <w:spacing w:val="-4"/>
                <w:lang w:eastAsia="zh-CN"/>
              </w:rPr>
              <w:t>期间</w:t>
            </w:r>
            <w:r>
              <w:rPr>
                <w:rFonts w:hint="default" w:ascii="Times New Roman" w:hAnsi="Times New Roman" w:eastAsia="宋体" w:cs="Times New Roman"/>
                <w:color w:val="000000" w:themeColor="text1"/>
                <w:spacing w:val="-4"/>
              </w:rPr>
              <w:t>的环境管理由</w:t>
            </w:r>
            <w:r>
              <w:rPr>
                <w:rFonts w:hint="eastAsia" w:ascii="宋体" w:hAnsi="宋体" w:cs="宋体"/>
                <w:color w:val="000000" w:themeColor="text1"/>
                <w:kern w:val="0"/>
                <w:sz w:val="24"/>
                <w:szCs w:val="24"/>
                <w:lang w:val="en-US" w:eastAsia="zh-CN" w:bidi="ar"/>
              </w:rPr>
              <w:t>江西雷亚特导电碳黑有限公司</w:t>
            </w:r>
            <w:r>
              <w:rPr>
                <w:rFonts w:hint="default" w:ascii="Times New Roman" w:hAnsi="Times New Roman" w:eastAsia="宋体" w:cs="Times New Roman"/>
                <w:color w:val="000000" w:themeColor="text1"/>
                <w:spacing w:val="-4"/>
              </w:rPr>
              <w:t>承担，并接受环境保护主管部门的指导和监督；</w:t>
            </w:r>
          </w:p>
          <w:p w14:paraId="4EB8BFCC">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E.负责对本单位职工和周边居民进行环保宣传工作。</w:t>
            </w:r>
          </w:p>
          <w:p w14:paraId="2039E98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⑵环境监测</w:t>
            </w:r>
          </w:p>
          <w:p w14:paraId="0DC30A1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A.环境监测的目的</w:t>
            </w:r>
          </w:p>
          <w:p w14:paraId="4BF3F73A">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环境监测是实施有效的环境管理的前提。为确保环境质量和总量控制目标的实现，应制订环境监测计划。从保护环境出发，根据本建设项目的特点，尤其是所存在的不利环境问题，以及相应的环保措施，制定一套完善的环境监测制度和监测计划，其目的是要监测本建设项目在运行期间的各种环境因素，应用监测得到的反馈信息，及时发现运营过程中对环境产生的不利影响，及时修正原设计中环保措施的不足，使出现的环境问题能得到及时解决，防止环境质量下降，保障环境和经济的可持续发展目标。</w:t>
            </w:r>
          </w:p>
          <w:p w14:paraId="68DB5EAA">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B.环境监测计划</w:t>
            </w:r>
          </w:p>
          <w:p w14:paraId="7F5033D4">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从保护环境出发，根据本建设项目的特点和周边环境特点，以及相应的环保设施，制定环保措施计划。其目的是要监测本建设项目在今后运行期间的各种环境因素，应用监测得到的反馈信息，及时发现生产过程中对环境产生的不利影响，或环保措施的不正常运作，及时修正和改进，使出现的环境问题能得到及时解决，防止环境质量下降，保障经济和社会的可持续发展。</w:t>
            </w:r>
          </w:p>
          <w:p w14:paraId="2DEE7E42">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自行监测要求参照《排污单位自行监测技术指南 总纲》（HJ819-2017）的方法规范要求。</w:t>
            </w:r>
          </w:p>
          <w:p w14:paraId="522D3DD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自行监测的一般要求：</w:t>
            </w:r>
          </w:p>
          <w:p w14:paraId="72B97AED">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a.制定监测方案  排污单位应查清所有污染源，确定主要污染源及主要监测指标，制定监测方案。监测方案内容包括：单位基本情况、监测点位及示意图、监测指标、执行标准及其限值、监测频次、采样和样品保存方法、监测分析方法和仪器、质量保证与质量控制等。新建排污单位应当在投入生产或使用并产生实际排污行为之前完成自行监测方案的编制及相关准备工作。</w:t>
            </w:r>
          </w:p>
          <w:p w14:paraId="572FB160">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b.设置和维护监测设施 排污单位应按照规定设置满足开展监测所需要的监测设施。废水排放口，废气（采样） 监测平台、监测断面和监测孔的设置应符合监测规范要求。监测平台应便于开展监测活动，应能保证监测人员的安全。 废水排放量大于 100 吨/天的，应安装自动测流设施并开展流量自动监测。</w:t>
            </w:r>
          </w:p>
          <w:p w14:paraId="0A791F00">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c.开展自行监测排污单位应按照最新的监测方案开展监测活动，可根据自身条件和能力，利用自有人员、场所和设备自行监测；也可委托其它有资质的检（监）测机构代其开展自行监测。</w:t>
            </w:r>
          </w:p>
          <w:p w14:paraId="768A68E9">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d.持有排污许可证的企业自行监测年度报告内容可以在排污许可证年度执行报告中体现。</w:t>
            </w:r>
          </w:p>
          <w:p w14:paraId="18EDDF36">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e.做好监测质量保证与质量控制 排污单位应建立自行监测质量管理制度，按照相关技术规范要求做好监测质量保证与质量控制。</w:t>
            </w:r>
          </w:p>
          <w:p w14:paraId="21B4D770">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f.记录和保存监测数据排污单位应做好与监测相关的数据记录，按照规定进行保存，并依据相关法规向社会公开监测结果。</w:t>
            </w:r>
          </w:p>
          <w:p w14:paraId="2764E2BE">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该项目的环境监测包括常规监测和事故监测。</w:t>
            </w:r>
          </w:p>
          <w:p w14:paraId="19D344EB">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g.常规监测</w:t>
            </w:r>
          </w:p>
          <w:p w14:paraId="66F7FAB6">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常规监测包括废气污染源、废水污染源、噪声污染源等，其内容见下表。</w:t>
            </w:r>
          </w:p>
          <w:p w14:paraId="68194F47">
            <w:pPr>
              <w:spacing w:before="24" w:beforeLines="10"/>
              <w:ind w:firstLine="464"/>
              <w:rPr>
                <w:rFonts w:hint="default" w:ascii="Times New Roman" w:hAnsi="Times New Roman" w:eastAsia="宋体" w:cs="Times New Roman"/>
                <w:color w:val="000000" w:themeColor="text1"/>
                <w:spacing w:val="-4"/>
              </w:rPr>
            </w:pPr>
            <w:r>
              <w:rPr>
                <w:rFonts w:hint="default" w:ascii="Times New Roman" w:hAnsi="Times New Roman" w:eastAsia="宋体" w:cs="Times New Roman"/>
                <w:color w:val="000000" w:themeColor="text1"/>
                <w:spacing w:val="-4"/>
              </w:rPr>
              <w:t>每次监测都应有完整</w:t>
            </w:r>
            <w:r>
              <w:rPr>
                <w:rFonts w:hint="eastAsia" w:cs="Times New Roman"/>
                <w:color w:val="000000" w:themeColor="text1"/>
                <w:spacing w:val="-4"/>
                <w:lang w:val="en-US" w:eastAsia="zh-CN"/>
              </w:rPr>
              <w:t>的</w:t>
            </w:r>
            <w:r>
              <w:rPr>
                <w:rFonts w:hint="default" w:ascii="Times New Roman" w:hAnsi="Times New Roman" w:eastAsia="宋体" w:cs="Times New Roman"/>
                <w:color w:val="000000" w:themeColor="text1"/>
                <w:spacing w:val="-4"/>
              </w:rPr>
              <w:t>记录。监测数据应及时整理、统计，按时向管理部门报告，做好监测资料的归档工作。</w:t>
            </w:r>
          </w:p>
          <w:p w14:paraId="14B48B43">
            <w:pPr>
              <w:spacing w:line="360" w:lineRule="auto"/>
              <w:ind w:firstLine="480" w:firstLineChars="200"/>
              <w:jc w:val="left"/>
              <w:rPr>
                <w:rFonts w:hint="default" w:ascii="Times New Roman" w:hAnsi="Times New Roman" w:eastAsia="宋体" w:cs="Times New Roman"/>
                <w:color w:val="000000" w:themeColor="text1"/>
                <w:sz w:val="24"/>
                <w:szCs w:val="24"/>
              </w:rPr>
            </w:pPr>
            <w:r>
              <w:rPr>
                <w:rFonts w:hint="eastAsia" w:ascii="Times New Roman" w:hAnsi="Times New Roman" w:eastAsia="宋体" w:cs="Times New Roman"/>
                <w:color w:val="000000" w:themeColor="text1"/>
                <w:lang w:val="en-US" w:eastAsia="zh-CN"/>
              </w:rPr>
              <w:t>根据《排污单位自行监测技术指南 总则》（HJ 819-2017）、《</w:t>
            </w:r>
            <w:r>
              <w:rPr>
                <w:rFonts w:hint="eastAsia" w:ascii="Times New Roman" w:hAnsi="Times New Roman" w:eastAsia="宋体" w:cs="Times New Roman"/>
                <w:color w:val="000000" w:themeColor="text1"/>
                <w:lang w:val="en-US" w:eastAsia="zh-CN"/>
              </w:rPr>
              <w:fldChar w:fldCharType="begin"/>
            </w:r>
            <w:r>
              <w:rPr>
                <w:rFonts w:hint="eastAsia" w:ascii="Times New Roman" w:hAnsi="Times New Roman" w:eastAsia="宋体" w:cs="Times New Roman"/>
                <w:color w:val="000000" w:themeColor="text1"/>
                <w:lang w:val="en-US" w:eastAsia="zh-CN"/>
              </w:rPr>
              <w:instrText xml:space="preserve"> HYPERLINK "https://www.mee.gov.cn/ywgz/fgbz/bz/bzwb/jcffbz/202205/W020220517407978964442.pdf" </w:instrText>
            </w:r>
            <w:r>
              <w:rPr>
                <w:rFonts w:hint="eastAsia" w:ascii="Times New Roman" w:hAnsi="Times New Roman" w:eastAsia="宋体" w:cs="Times New Roman"/>
                <w:color w:val="000000" w:themeColor="text1"/>
                <w:lang w:val="en-US" w:eastAsia="zh-CN"/>
              </w:rPr>
              <w:fldChar w:fldCharType="separate"/>
            </w:r>
            <w:r>
              <w:rPr>
                <w:rFonts w:hint="eastAsia" w:ascii="Times New Roman" w:hAnsi="Times New Roman" w:eastAsia="宋体" w:cs="Times New Roman"/>
                <w:color w:val="000000" w:themeColor="text1"/>
                <w:lang w:val="en-US" w:eastAsia="zh-CN"/>
              </w:rPr>
              <w:t>排污单位自行监测技术指南 工业固体废物和危险废物治理》（HJ 1250—2022）</w:t>
            </w:r>
            <w:r>
              <w:rPr>
                <w:rFonts w:hint="eastAsia" w:ascii="Times New Roman" w:hAnsi="Times New Roman" w:eastAsia="宋体" w:cs="Times New Roman"/>
                <w:color w:val="000000" w:themeColor="text1"/>
                <w:lang w:val="en-US" w:eastAsia="zh-CN"/>
              </w:rPr>
              <w:fldChar w:fldCharType="end"/>
            </w:r>
            <w:r>
              <w:rPr>
                <w:rFonts w:hint="eastAsia" w:ascii="Times New Roman" w:hAnsi="Times New Roman" w:eastAsia="宋体" w:cs="Times New Roman"/>
                <w:color w:val="000000" w:themeColor="text1"/>
                <w:lang w:val="en-US" w:eastAsia="zh-CN"/>
              </w:rPr>
              <w:t>、《排污单位自行监测技术指南 橡胶和塑料制品》（HJ 1207-2021）等文件要求，企业应按要求开展废气污染源监。</w:t>
            </w:r>
            <w:r>
              <w:rPr>
                <w:rFonts w:hint="default" w:ascii="Times New Roman" w:hAnsi="Times New Roman" w:eastAsia="宋体" w:cs="Times New Roman"/>
                <w:color w:val="000000" w:themeColor="text1"/>
                <w:sz w:val="24"/>
                <w:szCs w:val="24"/>
              </w:rPr>
              <w:t>本次报告建议制定如下监测计划，如发现废气、废水和噪声超标，应及时进行整改，以降低周边环境的影响。</w:t>
            </w:r>
          </w:p>
          <w:p w14:paraId="7CD9B32C">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37</w:t>
            </w: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color w:val="000000" w:themeColor="text1"/>
                <w:sz w:val="21"/>
                <w:szCs w:val="21"/>
              </w:rPr>
              <w:t xml:space="preserve"> 环境监测计划一览表</w:t>
            </w:r>
          </w:p>
          <w:tbl>
            <w:tblPr>
              <w:tblStyle w:val="33"/>
              <w:tblW w:w="84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244"/>
              <w:gridCol w:w="660"/>
              <w:gridCol w:w="918"/>
              <w:gridCol w:w="1290"/>
              <w:gridCol w:w="3456"/>
            </w:tblGrid>
            <w:tr w14:paraId="2FA74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3CB31226">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环保措施名称</w:t>
                  </w:r>
                </w:p>
              </w:tc>
              <w:tc>
                <w:tcPr>
                  <w:tcW w:w="1244" w:type="dxa"/>
                  <w:vAlign w:val="center"/>
                </w:tcPr>
                <w:p w14:paraId="226E1948">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监测检查项目</w:t>
                  </w:r>
                </w:p>
              </w:tc>
              <w:tc>
                <w:tcPr>
                  <w:tcW w:w="660" w:type="dxa"/>
                  <w:vAlign w:val="center"/>
                </w:tcPr>
                <w:p w14:paraId="14DCE0FE">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监控负责单位</w:t>
                  </w:r>
                </w:p>
              </w:tc>
              <w:tc>
                <w:tcPr>
                  <w:tcW w:w="918" w:type="dxa"/>
                  <w:vAlign w:val="center"/>
                </w:tcPr>
                <w:p w14:paraId="3855B7DF">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监测检查频次</w:t>
                  </w:r>
                </w:p>
              </w:tc>
              <w:tc>
                <w:tcPr>
                  <w:tcW w:w="1290" w:type="dxa"/>
                  <w:vAlign w:val="center"/>
                </w:tcPr>
                <w:p w14:paraId="7E0047C4">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监测站点</w:t>
                  </w:r>
                </w:p>
              </w:tc>
              <w:tc>
                <w:tcPr>
                  <w:tcW w:w="3456" w:type="dxa"/>
                  <w:vAlign w:val="center"/>
                </w:tcPr>
                <w:p w14:paraId="0A0ECA73">
                  <w:pPr>
                    <w:pStyle w:val="55"/>
                    <w:ind w:left="0"/>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标准</w:t>
                  </w:r>
                </w:p>
              </w:tc>
            </w:tr>
            <w:tr w14:paraId="383D9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901" w:type="dxa"/>
                  <w:vMerge w:val="restart"/>
                  <w:vAlign w:val="center"/>
                </w:tcPr>
                <w:p w14:paraId="05CB0BE5">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废气排放监测</w:t>
                  </w:r>
                </w:p>
              </w:tc>
              <w:tc>
                <w:tcPr>
                  <w:tcW w:w="1244" w:type="dxa"/>
                  <w:vAlign w:val="center"/>
                </w:tcPr>
                <w:p w14:paraId="4D6B7069">
                  <w:pPr>
                    <w:pStyle w:val="55"/>
                    <w:ind w:left="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颗粒物、SO</w:t>
                  </w:r>
                  <w:r>
                    <w:rPr>
                      <w:rFonts w:hint="eastAsia" w:ascii="Times New Roman" w:hAnsi="Times New Roman" w:eastAsia="宋体" w:cs="Times New Roman"/>
                      <w:color w:val="000000" w:themeColor="text1"/>
                      <w:vertAlign w:val="subscript"/>
                      <w:lang w:val="en-US" w:eastAsia="zh-CN"/>
                    </w:rPr>
                    <w:t>2</w:t>
                  </w:r>
                  <w:r>
                    <w:rPr>
                      <w:rFonts w:hint="eastAsia" w:ascii="Times New Roman" w:hAnsi="Times New Roman" w:eastAsia="宋体" w:cs="Times New Roman"/>
                      <w:color w:val="000000" w:themeColor="text1"/>
                      <w:lang w:val="en-US" w:eastAsia="zh-CN"/>
                    </w:rPr>
                    <w:t>、NOx</w:t>
                  </w:r>
                </w:p>
              </w:tc>
              <w:tc>
                <w:tcPr>
                  <w:tcW w:w="660" w:type="dxa"/>
                  <w:vMerge w:val="restart"/>
                  <w:vAlign w:val="center"/>
                </w:tcPr>
                <w:p w14:paraId="7DECD9E7">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建设单位</w:t>
                  </w:r>
                </w:p>
              </w:tc>
              <w:tc>
                <w:tcPr>
                  <w:tcW w:w="918" w:type="dxa"/>
                  <w:vAlign w:val="center"/>
                </w:tcPr>
                <w:p w14:paraId="5231501E">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1次/年</w:t>
                  </w:r>
                </w:p>
              </w:tc>
              <w:tc>
                <w:tcPr>
                  <w:tcW w:w="1290" w:type="dxa"/>
                  <w:vAlign w:val="center"/>
                </w:tcPr>
                <w:p w14:paraId="1633F00C">
                  <w:pPr>
                    <w:pStyle w:val="55"/>
                    <w:ind w:left="0" w:leftChars="0" w:firstLine="0" w:firstLineChars="0"/>
                    <w:rPr>
                      <w:rFonts w:hint="default" w:ascii="Times New Roman" w:hAnsi="Times New Roman" w:eastAsia="宋体" w:cs="Times New Roman"/>
                      <w:color w:val="000000" w:themeColor="text1"/>
                      <w:highlight w:val="yellow"/>
                      <w:lang w:val="en-US"/>
                    </w:rPr>
                  </w:pPr>
                  <w:r>
                    <w:rPr>
                      <w:rFonts w:hint="eastAsia" w:ascii="Times New Roman" w:hAnsi="Times New Roman" w:eastAsia="宋体" w:cs="Times New Roman"/>
                      <w:color w:val="000000" w:themeColor="text1"/>
                      <w:lang w:val="en-US" w:eastAsia="zh-CN"/>
                    </w:rPr>
                    <w:t>DA001</w:t>
                  </w:r>
                </w:p>
              </w:tc>
              <w:tc>
                <w:tcPr>
                  <w:tcW w:w="3456" w:type="dxa"/>
                  <w:vAlign w:val="center"/>
                </w:tcPr>
                <w:p w14:paraId="34B910C2">
                  <w:pPr>
                    <w:pStyle w:val="55"/>
                    <w:ind w:left="0" w:leftChars="0" w:firstLine="0" w:firstLineChars="0"/>
                    <w:rPr>
                      <w:rFonts w:hint="default" w:ascii="Times New Roman" w:hAnsi="Times New Roman" w:eastAsia="宋体" w:cs="Times New Roman"/>
                      <w:color w:val="000000" w:themeColor="text1"/>
                    </w:rPr>
                  </w:pPr>
                  <w:r>
                    <w:rPr>
                      <w:rFonts w:hint="eastAsia" w:ascii="Times New Roman" w:hAnsi="Times New Roman" w:cs="Times New Roman"/>
                      <w:color w:val="000000" w:themeColor="text1"/>
                      <w:lang w:val="en-US" w:eastAsia="zh-CN"/>
                    </w:rPr>
                    <w:t>TSP</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15</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0.36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r>
                    <w:rPr>
                      <w:rFonts w:hint="eastAsia" w:ascii="Times New Roman" w:hAnsi="Times New Roman" w:cs="Times New Roman"/>
                      <w:color w:val="000000" w:themeColor="text1"/>
                      <w:lang w:val="en-US" w:eastAsia="zh-CN"/>
                    </w:rPr>
                    <w:t>SO</w:t>
                  </w:r>
                  <w:r>
                    <w:rPr>
                      <w:rFonts w:hint="eastAsia" w:ascii="Times New Roman" w:hAnsi="Times New Roman" w:cs="Times New Roman"/>
                      <w:color w:val="000000" w:themeColor="text1"/>
                      <w:vertAlign w:val="subscript"/>
                      <w:lang w:val="en-US" w:eastAsia="zh-CN"/>
                    </w:rPr>
                    <w:t>2</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1.6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val="en-US" w:eastAsia="zh-CN"/>
                    </w:rPr>
                    <w:t>；</w:t>
                  </w:r>
                  <w:r>
                    <w:rPr>
                      <w:rFonts w:hint="eastAsia" w:ascii="Times New Roman" w:hAnsi="Times New Roman" w:cs="Times New Roman"/>
                      <w:color w:val="000000" w:themeColor="text1"/>
                      <w:lang w:val="en-US" w:eastAsia="zh-CN"/>
                    </w:rPr>
                    <w:t>NOx</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200</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0.47</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p>
              </w:tc>
            </w:tr>
            <w:tr w14:paraId="5EB40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901" w:type="dxa"/>
                  <w:vMerge w:val="continue"/>
                  <w:vAlign w:val="center"/>
                </w:tcPr>
                <w:p w14:paraId="7701D49A">
                  <w:pPr>
                    <w:pStyle w:val="55"/>
                    <w:ind w:left="0"/>
                    <w:rPr>
                      <w:rFonts w:hint="default" w:ascii="Times New Roman" w:hAnsi="Times New Roman" w:eastAsia="宋体" w:cs="Times New Roman"/>
                      <w:color w:val="000000" w:themeColor="text1"/>
                    </w:rPr>
                  </w:pPr>
                </w:p>
              </w:tc>
              <w:tc>
                <w:tcPr>
                  <w:tcW w:w="1244" w:type="dxa"/>
                  <w:vAlign w:val="center"/>
                </w:tcPr>
                <w:p w14:paraId="39A0C519">
                  <w:pPr>
                    <w:pStyle w:val="55"/>
                    <w:ind w:left="0"/>
                    <w:rPr>
                      <w:rFonts w:hint="default" w:cs="Times New Roman"/>
                      <w:color w:val="000000" w:themeColor="text1"/>
                      <w:lang w:val="en-US" w:eastAsia="zh-CN"/>
                    </w:rPr>
                  </w:pPr>
                  <w:r>
                    <w:rPr>
                      <w:rFonts w:hint="eastAsia" w:cs="Times New Roman"/>
                      <w:color w:val="000000" w:themeColor="text1"/>
                      <w:lang w:val="en-US" w:eastAsia="zh-CN"/>
                    </w:rPr>
                    <w:t>颗粒物、非甲烷总烃、臭气浓度</w:t>
                  </w:r>
                </w:p>
              </w:tc>
              <w:tc>
                <w:tcPr>
                  <w:tcW w:w="660" w:type="dxa"/>
                  <w:vMerge w:val="continue"/>
                  <w:vAlign w:val="center"/>
                </w:tcPr>
                <w:p w14:paraId="4A287D5E">
                  <w:pPr>
                    <w:pStyle w:val="55"/>
                    <w:ind w:left="0"/>
                    <w:rPr>
                      <w:rFonts w:hint="default" w:ascii="Times New Roman" w:hAnsi="Times New Roman" w:eastAsia="宋体" w:cs="Times New Roman"/>
                      <w:color w:val="000000" w:themeColor="text1"/>
                    </w:rPr>
                  </w:pPr>
                </w:p>
              </w:tc>
              <w:tc>
                <w:tcPr>
                  <w:tcW w:w="918" w:type="dxa"/>
                  <w:vAlign w:val="center"/>
                </w:tcPr>
                <w:p w14:paraId="410C4B26">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1次/年</w:t>
                  </w:r>
                </w:p>
              </w:tc>
              <w:tc>
                <w:tcPr>
                  <w:tcW w:w="1290" w:type="dxa"/>
                  <w:vAlign w:val="center"/>
                </w:tcPr>
                <w:p w14:paraId="2E9252B7">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DA002</w:t>
                  </w:r>
                </w:p>
              </w:tc>
              <w:tc>
                <w:tcPr>
                  <w:tcW w:w="3456" w:type="dxa"/>
                  <w:vAlign w:val="center"/>
                </w:tcPr>
                <w:p w14:paraId="146382E7">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eastAsia" w:ascii="Times New Roman" w:hAnsi="Times New Roman" w:cs="Times New Roman"/>
                      <w:color w:val="000000" w:themeColor="text1"/>
                      <w:lang w:val="en-US" w:eastAsia="zh-CN"/>
                    </w:rPr>
                    <w:t>TSP</w:t>
                  </w:r>
                  <w:r>
                    <w:rPr>
                      <w:rFonts w:hint="default" w:ascii="Times New Roman" w:hAnsi="Times New Roman" w:cs="Times New Roman"/>
                      <w:color w:val="000000" w:themeColor="text1"/>
                    </w:rPr>
                    <w:t>最</w:t>
                  </w:r>
                  <w:r>
                    <w:rPr>
                      <w:rFonts w:hint="default" w:ascii="Times New Roman" w:hAnsi="Times New Roman" w:cs="Times New Roman"/>
                      <w:bCs/>
                      <w:color w:val="000000" w:themeColor="text1"/>
                    </w:rPr>
                    <w:t>高允许排放浓度执行</w:t>
                  </w:r>
                  <w:r>
                    <w:rPr>
                      <w:rFonts w:hint="eastAsia" w:ascii="Times New Roman" w:hAnsi="Times New Roman" w:cs="Times New Roman"/>
                      <w:bCs/>
                      <w:color w:val="000000" w:themeColor="text1"/>
                      <w:lang w:val="en-US" w:eastAsia="zh-CN"/>
                    </w:rPr>
                    <w:t>15</w:t>
                  </w:r>
                  <w:r>
                    <w:rPr>
                      <w:rFonts w:hint="default" w:ascii="Times New Roman" w:hAnsi="Times New Roman" w:cs="Times New Roman"/>
                      <w:bCs/>
                      <w:color w:val="000000" w:themeColor="text1"/>
                    </w:rPr>
                    <w:t>mg/m</w:t>
                  </w:r>
                  <w:r>
                    <w:rPr>
                      <w:rFonts w:hint="default" w:ascii="Times New Roman" w:hAnsi="Times New Roman" w:cs="Times New Roman"/>
                      <w:bCs/>
                      <w:color w:val="000000" w:themeColor="text1"/>
                      <w:vertAlign w:val="superscript"/>
                    </w:rPr>
                    <w:t>3</w:t>
                  </w:r>
                  <w:r>
                    <w:rPr>
                      <w:rFonts w:hint="default" w:ascii="Times New Roman" w:hAnsi="Times New Roman" w:cs="Times New Roman"/>
                      <w:bCs/>
                      <w:color w:val="000000" w:themeColor="text1"/>
                    </w:rPr>
                    <w:t>、最高允许排放速率执行</w:t>
                  </w:r>
                  <w:r>
                    <w:rPr>
                      <w:rFonts w:hint="eastAsia" w:ascii="Times New Roman" w:hAnsi="Times New Roman" w:cs="Times New Roman"/>
                      <w:bCs/>
                      <w:color w:val="000000" w:themeColor="text1"/>
                      <w:lang w:val="en-US" w:eastAsia="zh-CN"/>
                    </w:rPr>
                    <w:t>0.36</w:t>
                  </w:r>
                  <w:r>
                    <w:rPr>
                      <w:rFonts w:hint="default" w:ascii="Times New Roman" w:hAnsi="Times New Roman" w:cs="Times New Roman"/>
                      <w:bCs/>
                      <w:color w:val="000000" w:themeColor="text1"/>
                    </w:rPr>
                    <w:t>kg/h</w:t>
                  </w:r>
                  <w:r>
                    <w:rPr>
                      <w:rFonts w:hint="eastAsia" w:ascii="Times New Roman" w:hAnsi="Times New Roman" w:cs="Times New Roman"/>
                      <w:bCs/>
                      <w:color w:val="000000" w:themeColor="text1"/>
                      <w:lang w:eastAsia="zh-CN"/>
                    </w:rPr>
                    <w:t>；</w:t>
                  </w:r>
                  <w:r>
                    <w:rPr>
                      <w:rFonts w:hint="default" w:ascii="Times New Roman" w:hAnsi="Times New Roman" w:cs="Times New Roman"/>
                      <w:color w:val="000000" w:themeColor="text1"/>
                      <w:sz w:val="21"/>
                      <w:szCs w:val="21"/>
                    </w:rPr>
                    <w:t>《挥发性有机物排放标准 第4部分：塑料制造业》（DB36/1101.</w:t>
                  </w:r>
                  <w:r>
                    <w:rPr>
                      <w:rFonts w:hint="eastAsia" w:ascii="Times New Roman" w:hAnsi="Times New Roman" w:cs="Times New Roman"/>
                      <w:color w:val="000000" w:themeColor="text1"/>
                      <w:sz w:val="21"/>
                      <w:szCs w:val="21"/>
                      <w:lang w:val="en-US" w:eastAsia="zh-CN"/>
                    </w:rPr>
                    <w:t>4</w:t>
                  </w:r>
                  <w:r>
                    <w:rPr>
                      <w:rFonts w:hint="default" w:ascii="Times New Roman" w:hAnsi="Times New Roman" w:cs="Times New Roman"/>
                      <w:color w:val="000000" w:themeColor="text1"/>
                      <w:sz w:val="21"/>
                      <w:szCs w:val="21"/>
                    </w:rPr>
                    <w:t>-2019）</w:t>
                  </w:r>
                  <w:r>
                    <w:rPr>
                      <w:rFonts w:hint="eastAsia" w:cs="Times New Roman"/>
                      <w:color w:val="000000" w:themeColor="text1"/>
                      <w:sz w:val="21"/>
                      <w:szCs w:val="21"/>
                      <w:lang w:eastAsia="zh-CN"/>
                    </w:rPr>
                    <w:t>；</w:t>
                  </w:r>
                  <w:r>
                    <w:rPr>
                      <w:rFonts w:hint="default" w:ascii="Times New Roman" w:hAnsi="Times New Roman" w:eastAsia="宋体" w:cs="Times New Roman"/>
                      <w:bCs/>
                      <w:color w:val="000000" w:themeColor="text1"/>
                      <w:sz w:val="21"/>
                      <w:szCs w:val="21"/>
                    </w:rPr>
                    <w:t>《恶臭污染物排</w:t>
                  </w:r>
                </w:p>
                <w:p w14:paraId="12758E42">
                  <w:pPr>
                    <w:pStyle w:val="55"/>
                    <w:ind w:left="0" w:leftChars="0" w:firstLine="0" w:firstLineChars="0"/>
                    <w:rPr>
                      <w:rFonts w:hint="eastAsia" w:ascii="Times New Roman" w:hAnsi="Times New Roman" w:eastAsia="宋体" w:cs="Times New Roman"/>
                      <w:color w:val="000000" w:themeColor="text1"/>
                      <w:lang w:val="en-US" w:eastAsia="zh-CN"/>
                    </w:rPr>
                  </w:pPr>
                  <w:r>
                    <w:rPr>
                      <w:rFonts w:hint="default" w:ascii="Times New Roman" w:hAnsi="Times New Roman" w:eastAsia="宋体" w:cs="Times New Roman"/>
                      <w:bCs/>
                      <w:color w:val="000000" w:themeColor="text1"/>
                      <w:sz w:val="21"/>
                      <w:szCs w:val="21"/>
                    </w:rPr>
                    <w:t>放标准》（GB14554-93）</w:t>
                  </w:r>
                </w:p>
              </w:tc>
            </w:tr>
            <w:tr w14:paraId="57968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901" w:type="dxa"/>
                  <w:vMerge w:val="continue"/>
                  <w:vAlign w:val="center"/>
                </w:tcPr>
                <w:p w14:paraId="06680586">
                  <w:pPr>
                    <w:pStyle w:val="55"/>
                    <w:ind w:left="0"/>
                    <w:rPr>
                      <w:rFonts w:hint="default" w:ascii="Times New Roman" w:hAnsi="Times New Roman" w:eastAsia="宋体" w:cs="Times New Roman"/>
                      <w:color w:val="000000" w:themeColor="text1"/>
                    </w:rPr>
                  </w:pPr>
                </w:p>
              </w:tc>
              <w:tc>
                <w:tcPr>
                  <w:tcW w:w="1244" w:type="dxa"/>
                  <w:vAlign w:val="center"/>
                </w:tcPr>
                <w:p w14:paraId="70B5ADB2">
                  <w:pPr>
                    <w:pStyle w:val="55"/>
                    <w:ind w:left="0"/>
                    <w:rPr>
                      <w:rFonts w:hint="default" w:cs="Times New Roman"/>
                      <w:color w:val="000000" w:themeColor="text1"/>
                      <w:lang w:val="en-US" w:eastAsia="zh-CN"/>
                    </w:rPr>
                  </w:pPr>
                  <w:r>
                    <w:rPr>
                      <w:rFonts w:hint="eastAsia" w:cs="Times New Roman"/>
                      <w:color w:val="000000" w:themeColor="text1"/>
                      <w:lang w:val="en-US" w:eastAsia="zh-CN"/>
                    </w:rPr>
                    <w:t>颗粒物</w:t>
                  </w:r>
                </w:p>
              </w:tc>
              <w:tc>
                <w:tcPr>
                  <w:tcW w:w="660" w:type="dxa"/>
                  <w:vMerge w:val="continue"/>
                  <w:vAlign w:val="center"/>
                </w:tcPr>
                <w:p w14:paraId="3E6010CB">
                  <w:pPr>
                    <w:pStyle w:val="55"/>
                    <w:ind w:left="0"/>
                    <w:rPr>
                      <w:rFonts w:hint="default" w:ascii="Times New Roman" w:hAnsi="Times New Roman" w:eastAsia="宋体" w:cs="Times New Roman"/>
                      <w:color w:val="000000" w:themeColor="text1"/>
                    </w:rPr>
                  </w:pPr>
                </w:p>
              </w:tc>
              <w:tc>
                <w:tcPr>
                  <w:tcW w:w="918" w:type="dxa"/>
                  <w:vAlign w:val="center"/>
                </w:tcPr>
                <w:p w14:paraId="4D45F92C">
                  <w:pPr>
                    <w:pStyle w:val="55"/>
                    <w:ind w:left="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1次</w:t>
                  </w:r>
                  <w:r>
                    <w:rPr>
                      <w:rFonts w:hint="eastAsia" w:cs="Times New Roman"/>
                      <w:color w:val="000000" w:themeColor="text1"/>
                      <w:lang w:val="en-US" w:eastAsia="zh-CN"/>
                    </w:rPr>
                    <w:t>/半年</w:t>
                  </w:r>
                </w:p>
              </w:tc>
              <w:tc>
                <w:tcPr>
                  <w:tcW w:w="1290" w:type="dxa"/>
                  <w:vAlign w:val="center"/>
                </w:tcPr>
                <w:p w14:paraId="0715D70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厂界</w:t>
                  </w:r>
                </w:p>
              </w:tc>
              <w:tc>
                <w:tcPr>
                  <w:tcW w:w="3456" w:type="dxa"/>
                  <w:vAlign w:val="center"/>
                </w:tcPr>
                <w:p w14:paraId="4439017F">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生产装置不得有明显无组织排放</w:t>
                  </w:r>
                </w:p>
              </w:tc>
            </w:tr>
            <w:tr w14:paraId="71369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901" w:type="dxa"/>
                  <w:vMerge w:val="continue"/>
                  <w:vAlign w:val="center"/>
                </w:tcPr>
                <w:p w14:paraId="56E8D540">
                  <w:pPr>
                    <w:pStyle w:val="55"/>
                    <w:ind w:left="0"/>
                    <w:rPr>
                      <w:rFonts w:hint="default" w:ascii="Times New Roman" w:hAnsi="Times New Roman" w:eastAsia="宋体" w:cs="Times New Roman"/>
                      <w:color w:val="000000" w:themeColor="text1"/>
                    </w:rPr>
                  </w:pPr>
                </w:p>
              </w:tc>
              <w:tc>
                <w:tcPr>
                  <w:tcW w:w="1244" w:type="dxa"/>
                  <w:vAlign w:val="center"/>
                </w:tcPr>
                <w:p w14:paraId="02927CE4">
                  <w:pPr>
                    <w:pStyle w:val="55"/>
                    <w:ind w:left="0"/>
                    <w:rPr>
                      <w:rFonts w:hint="default" w:cs="Times New Roman"/>
                      <w:color w:val="000000" w:themeColor="text1"/>
                      <w:lang w:val="en-US" w:eastAsia="zh-CN"/>
                    </w:rPr>
                  </w:pPr>
                  <w:r>
                    <w:rPr>
                      <w:rFonts w:hint="eastAsia" w:cs="Times New Roman"/>
                      <w:color w:val="000000" w:themeColor="text1"/>
                      <w:lang w:val="en-US" w:eastAsia="zh-CN"/>
                    </w:rPr>
                    <w:t>臭气浓度</w:t>
                  </w:r>
                </w:p>
              </w:tc>
              <w:tc>
                <w:tcPr>
                  <w:tcW w:w="660" w:type="dxa"/>
                  <w:vMerge w:val="continue"/>
                  <w:vAlign w:val="center"/>
                </w:tcPr>
                <w:p w14:paraId="1B55D5BC">
                  <w:pPr>
                    <w:pStyle w:val="55"/>
                    <w:ind w:left="0"/>
                    <w:rPr>
                      <w:rFonts w:hint="default" w:ascii="Times New Roman" w:hAnsi="Times New Roman" w:eastAsia="宋体" w:cs="Times New Roman"/>
                      <w:color w:val="000000" w:themeColor="text1"/>
                    </w:rPr>
                  </w:pPr>
                </w:p>
              </w:tc>
              <w:tc>
                <w:tcPr>
                  <w:tcW w:w="918" w:type="dxa"/>
                  <w:vAlign w:val="center"/>
                </w:tcPr>
                <w:p w14:paraId="5DAA1B8A">
                  <w:pPr>
                    <w:pStyle w:val="55"/>
                    <w:ind w:left="0"/>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lang w:val="en-US" w:eastAsia="zh-CN"/>
                    </w:rPr>
                    <w:t>1次/年</w:t>
                  </w:r>
                </w:p>
              </w:tc>
              <w:tc>
                <w:tcPr>
                  <w:tcW w:w="1290" w:type="dxa"/>
                  <w:vAlign w:val="center"/>
                </w:tcPr>
                <w:p w14:paraId="73DBB33A">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厂界</w:t>
                  </w:r>
                </w:p>
              </w:tc>
              <w:tc>
                <w:tcPr>
                  <w:tcW w:w="3456" w:type="dxa"/>
                  <w:vAlign w:val="center"/>
                </w:tcPr>
                <w:p w14:paraId="3F232E3B">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Cs/>
                      <w:color w:val="000000" w:themeColor="text1"/>
                      <w:sz w:val="21"/>
                      <w:szCs w:val="21"/>
                    </w:rPr>
                  </w:pPr>
                  <w:r>
                    <w:rPr>
                      <w:rFonts w:hint="default" w:ascii="Times New Roman" w:hAnsi="Times New Roman" w:eastAsia="宋体" w:cs="Times New Roman"/>
                      <w:bCs/>
                      <w:color w:val="000000" w:themeColor="text1"/>
                      <w:sz w:val="21"/>
                      <w:szCs w:val="21"/>
                    </w:rPr>
                    <w:t>《恶臭污染物排</w:t>
                  </w:r>
                </w:p>
                <w:p w14:paraId="24E5A89E">
                  <w:pPr>
                    <w:pStyle w:val="55"/>
                    <w:ind w:left="0" w:leftChars="0" w:firstLine="0" w:firstLineChars="0"/>
                    <w:rPr>
                      <w:rFonts w:hint="default" w:ascii="Times New Roman" w:hAnsi="Times New Roman" w:cs="Times New Roman"/>
                      <w:color w:val="000000" w:themeColor="text1"/>
                      <w:sz w:val="21"/>
                      <w:szCs w:val="21"/>
                    </w:rPr>
                  </w:pPr>
                  <w:r>
                    <w:rPr>
                      <w:rFonts w:hint="default" w:ascii="Times New Roman" w:hAnsi="Times New Roman" w:eastAsia="宋体" w:cs="Times New Roman"/>
                      <w:bCs/>
                      <w:color w:val="000000" w:themeColor="text1"/>
                      <w:sz w:val="21"/>
                      <w:szCs w:val="21"/>
                    </w:rPr>
                    <w:t>放标准》（GB14554-93）</w:t>
                  </w:r>
                </w:p>
              </w:tc>
            </w:tr>
            <w:tr w14:paraId="6C4C6E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901" w:type="dxa"/>
                  <w:vMerge w:val="continue"/>
                  <w:vAlign w:val="center"/>
                </w:tcPr>
                <w:p w14:paraId="429C72DC">
                  <w:pPr>
                    <w:pStyle w:val="55"/>
                    <w:ind w:left="0"/>
                    <w:rPr>
                      <w:rFonts w:hint="default" w:ascii="Times New Roman" w:hAnsi="Times New Roman" w:eastAsia="宋体" w:cs="Times New Roman"/>
                      <w:color w:val="000000" w:themeColor="text1"/>
                    </w:rPr>
                  </w:pPr>
                </w:p>
              </w:tc>
              <w:tc>
                <w:tcPr>
                  <w:tcW w:w="1244" w:type="dxa"/>
                  <w:vAlign w:val="center"/>
                </w:tcPr>
                <w:p w14:paraId="1923CE12">
                  <w:pPr>
                    <w:pStyle w:val="55"/>
                    <w:ind w:left="0"/>
                    <w:rPr>
                      <w:rFonts w:hint="eastAsia" w:cs="Times New Roman"/>
                      <w:color w:val="000000" w:themeColor="text1"/>
                      <w:lang w:val="en-US" w:eastAsia="zh-CN"/>
                    </w:rPr>
                  </w:pPr>
                  <w:r>
                    <w:rPr>
                      <w:rFonts w:hint="eastAsia" w:cs="Times New Roman"/>
                      <w:color w:val="000000" w:themeColor="text1"/>
                      <w:lang w:val="en-US" w:eastAsia="zh-CN"/>
                    </w:rPr>
                    <w:t>非甲烷总烃</w:t>
                  </w:r>
                </w:p>
              </w:tc>
              <w:tc>
                <w:tcPr>
                  <w:tcW w:w="660" w:type="dxa"/>
                  <w:vMerge w:val="continue"/>
                  <w:vAlign w:val="center"/>
                </w:tcPr>
                <w:p w14:paraId="05393BCA">
                  <w:pPr>
                    <w:pStyle w:val="55"/>
                    <w:ind w:left="0"/>
                    <w:rPr>
                      <w:rFonts w:hint="default" w:ascii="Times New Roman" w:hAnsi="Times New Roman" w:eastAsia="宋体" w:cs="Times New Roman"/>
                      <w:color w:val="000000" w:themeColor="text1"/>
                    </w:rPr>
                  </w:pPr>
                </w:p>
              </w:tc>
              <w:tc>
                <w:tcPr>
                  <w:tcW w:w="918" w:type="dxa"/>
                  <w:vAlign w:val="center"/>
                </w:tcPr>
                <w:p w14:paraId="3188D612">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1次/年</w:t>
                  </w:r>
                </w:p>
              </w:tc>
              <w:tc>
                <w:tcPr>
                  <w:tcW w:w="1290" w:type="dxa"/>
                  <w:vAlign w:val="center"/>
                </w:tcPr>
                <w:p w14:paraId="453F73CD">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厂界</w:t>
                  </w:r>
                </w:p>
              </w:tc>
              <w:tc>
                <w:tcPr>
                  <w:tcW w:w="3456" w:type="dxa"/>
                  <w:vAlign w:val="center"/>
                </w:tcPr>
                <w:p w14:paraId="5FEC6087">
                  <w:pPr>
                    <w:pStyle w:val="55"/>
                    <w:ind w:left="0" w:leftChars="0" w:firstLine="0" w:firstLineChars="0"/>
                    <w:rPr>
                      <w:rFonts w:hint="default" w:ascii="Times New Roman" w:hAnsi="Times New Roman" w:eastAsia="宋体" w:cs="Times New Roman"/>
                      <w:color w:val="000000" w:themeColor="text1"/>
                      <w:lang w:val="en-US" w:eastAsia="zh-CN"/>
                    </w:rPr>
                  </w:pPr>
                  <w:r>
                    <w:rPr>
                      <w:rFonts w:hint="default" w:ascii="Times New Roman" w:hAnsi="Times New Roman" w:cs="Times New Roman"/>
                      <w:color w:val="000000" w:themeColor="text1"/>
                      <w:sz w:val="21"/>
                      <w:szCs w:val="21"/>
                    </w:rPr>
                    <w:t>《挥发性有机物排放标准 第4部分：塑料制造业》（DB36/1101.</w:t>
                  </w:r>
                  <w:r>
                    <w:rPr>
                      <w:rFonts w:hint="eastAsia" w:ascii="Times New Roman" w:hAnsi="Times New Roman" w:cs="Times New Roman"/>
                      <w:color w:val="000000" w:themeColor="text1"/>
                      <w:sz w:val="21"/>
                      <w:szCs w:val="21"/>
                      <w:lang w:val="en-US" w:eastAsia="zh-CN"/>
                    </w:rPr>
                    <w:t>4</w:t>
                  </w:r>
                  <w:r>
                    <w:rPr>
                      <w:rFonts w:hint="default" w:ascii="Times New Roman" w:hAnsi="Times New Roman" w:cs="Times New Roman"/>
                      <w:color w:val="000000" w:themeColor="text1"/>
                      <w:sz w:val="21"/>
                      <w:szCs w:val="21"/>
                    </w:rPr>
                    <w:t>-2019）</w:t>
                  </w:r>
                </w:p>
              </w:tc>
            </w:tr>
            <w:tr w14:paraId="6E429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0C03D88F">
                  <w:pPr>
                    <w:pStyle w:val="55"/>
                    <w:ind w:left="0" w:leftChars="0" w:firstLine="0" w:firstLineChars="0"/>
                    <w:rPr>
                      <w:rFonts w:hint="default" w:ascii="Times New Roman" w:hAnsi="Times New Roman" w:eastAsia="宋体" w:cs="Times New Roman"/>
                      <w:color w:val="000000" w:themeColor="text1"/>
                      <w:kern w:val="0"/>
                      <w:sz w:val="21"/>
                      <w:szCs w:val="21"/>
                      <w:lang w:val="en-US" w:eastAsia="zh-CN" w:bidi="ar-SA"/>
                    </w:rPr>
                  </w:pPr>
                  <w:r>
                    <w:rPr>
                      <w:rFonts w:hint="default" w:ascii="Times New Roman" w:hAnsi="Times New Roman" w:eastAsia="宋体" w:cs="Times New Roman"/>
                      <w:color w:val="000000" w:themeColor="text1"/>
                    </w:rPr>
                    <w:t>废</w:t>
                  </w:r>
                  <w:r>
                    <w:rPr>
                      <w:rFonts w:hint="eastAsia" w:cs="Times New Roman"/>
                      <w:color w:val="000000" w:themeColor="text1"/>
                      <w:lang w:val="en-US" w:eastAsia="zh-CN"/>
                    </w:rPr>
                    <w:t>水</w:t>
                  </w:r>
                  <w:r>
                    <w:rPr>
                      <w:rFonts w:hint="default" w:ascii="Times New Roman" w:hAnsi="Times New Roman" w:eastAsia="宋体" w:cs="Times New Roman"/>
                      <w:color w:val="000000" w:themeColor="text1"/>
                    </w:rPr>
                    <w:t>排放监测</w:t>
                  </w:r>
                </w:p>
              </w:tc>
              <w:tc>
                <w:tcPr>
                  <w:tcW w:w="1244" w:type="dxa"/>
                  <w:vAlign w:val="center"/>
                </w:tcPr>
                <w:p w14:paraId="44BADF6C">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COD</w:t>
                  </w:r>
                  <w:r>
                    <w:rPr>
                      <w:rFonts w:hint="eastAsia" w:cs="Times New Roman"/>
                      <w:color w:val="000000" w:themeColor="text1"/>
                      <w:vertAlign w:val="subscript"/>
                      <w:lang w:val="en-US" w:eastAsia="zh-CN"/>
                    </w:rPr>
                    <w:t>cr</w:t>
                  </w:r>
                  <w:r>
                    <w:rPr>
                      <w:rFonts w:hint="eastAsia" w:cs="Times New Roman"/>
                      <w:color w:val="000000" w:themeColor="text1"/>
                      <w:lang w:val="en-US" w:eastAsia="zh-CN"/>
                    </w:rPr>
                    <w:t>、BOD</w:t>
                  </w:r>
                  <w:r>
                    <w:rPr>
                      <w:rFonts w:hint="eastAsia" w:cs="Times New Roman"/>
                      <w:color w:val="000000" w:themeColor="text1"/>
                      <w:vertAlign w:val="subscript"/>
                      <w:lang w:val="en-US" w:eastAsia="zh-CN"/>
                    </w:rPr>
                    <w:t>5</w:t>
                  </w:r>
                  <w:r>
                    <w:rPr>
                      <w:rFonts w:hint="eastAsia" w:cs="Times New Roman"/>
                      <w:color w:val="000000" w:themeColor="text1"/>
                      <w:lang w:val="en-US" w:eastAsia="zh-CN"/>
                    </w:rPr>
                    <w:t>、SS、NH</w:t>
                  </w:r>
                  <w:r>
                    <w:rPr>
                      <w:rFonts w:hint="eastAsia" w:cs="Times New Roman"/>
                      <w:color w:val="000000" w:themeColor="text1"/>
                      <w:vertAlign w:val="subscript"/>
                      <w:lang w:val="en-US" w:eastAsia="zh-CN"/>
                    </w:rPr>
                    <w:t>3</w:t>
                  </w:r>
                  <w:r>
                    <w:rPr>
                      <w:rFonts w:hint="eastAsia" w:cs="Times New Roman"/>
                      <w:color w:val="000000" w:themeColor="text1"/>
                      <w:lang w:val="en-US" w:eastAsia="zh-CN"/>
                    </w:rPr>
                    <w:t>-N、pH</w:t>
                  </w:r>
                </w:p>
              </w:tc>
              <w:tc>
                <w:tcPr>
                  <w:tcW w:w="660" w:type="dxa"/>
                  <w:vMerge w:val="continue"/>
                  <w:vAlign w:val="center"/>
                </w:tcPr>
                <w:p w14:paraId="078EE750">
                  <w:pPr>
                    <w:pStyle w:val="55"/>
                    <w:ind w:left="0"/>
                    <w:rPr>
                      <w:rFonts w:hint="default" w:ascii="Times New Roman" w:hAnsi="Times New Roman" w:eastAsia="宋体" w:cs="Times New Roman"/>
                      <w:color w:val="000000" w:themeColor="text1"/>
                    </w:rPr>
                  </w:pPr>
                </w:p>
              </w:tc>
              <w:tc>
                <w:tcPr>
                  <w:tcW w:w="918" w:type="dxa"/>
                  <w:vAlign w:val="center"/>
                </w:tcPr>
                <w:p w14:paraId="535764A5">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1次/年</w:t>
                  </w:r>
                </w:p>
              </w:tc>
              <w:tc>
                <w:tcPr>
                  <w:tcW w:w="1290" w:type="dxa"/>
                  <w:vAlign w:val="center"/>
                </w:tcPr>
                <w:p w14:paraId="68C45F8B">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废水排放口</w:t>
                  </w:r>
                </w:p>
              </w:tc>
              <w:tc>
                <w:tcPr>
                  <w:tcW w:w="3456" w:type="dxa"/>
                  <w:vAlign w:val="center"/>
                </w:tcPr>
                <w:p w14:paraId="46AEF985">
                  <w:pPr>
                    <w:pStyle w:val="55"/>
                    <w:ind w:left="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赤湖工业园污水处理厂接管标准</w:t>
                  </w:r>
                </w:p>
              </w:tc>
            </w:tr>
            <w:tr w14:paraId="7C30A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6E236C63">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环境噪声监测</w:t>
                  </w:r>
                </w:p>
              </w:tc>
              <w:tc>
                <w:tcPr>
                  <w:tcW w:w="1244" w:type="dxa"/>
                  <w:vAlign w:val="center"/>
                </w:tcPr>
                <w:p w14:paraId="65BEFB2C">
                  <w:pPr>
                    <w:pStyle w:val="55"/>
                    <w:ind w:left="0"/>
                    <w:rPr>
                      <w:rFonts w:hint="eastAsia"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rPr>
                    <w:t>Leq</w:t>
                  </w:r>
                  <w:r>
                    <w:rPr>
                      <w:rFonts w:hint="eastAsia" w:cs="Times New Roman"/>
                      <w:color w:val="000000" w:themeColor="text1"/>
                      <w:lang w:eastAsia="zh-CN"/>
                    </w:rPr>
                    <w:t>(</w:t>
                  </w:r>
                  <w:r>
                    <w:rPr>
                      <w:rFonts w:hint="default" w:ascii="Times New Roman" w:hAnsi="Times New Roman" w:eastAsia="宋体" w:cs="Times New Roman"/>
                      <w:color w:val="000000" w:themeColor="text1"/>
                    </w:rPr>
                    <w:t>A</w:t>
                  </w:r>
                  <w:r>
                    <w:rPr>
                      <w:rFonts w:hint="eastAsia" w:cs="Times New Roman"/>
                      <w:color w:val="000000" w:themeColor="text1"/>
                      <w:lang w:eastAsia="zh-CN"/>
                    </w:rPr>
                    <w:t>)</w:t>
                  </w:r>
                </w:p>
              </w:tc>
              <w:tc>
                <w:tcPr>
                  <w:tcW w:w="660" w:type="dxa"/>
                  <w:vMerge w:val="continue"/>
                  <w:vAlign w:val="center"/>
                </w:tcPr>
                <w:p w14:paraId="05CC95A1">
                  <w:pPr>
                    <w:pStyle w:val="55"/>
                    <w:ind w:left="0"/>
                    <w:rPr>
                      <w:rFonts w:hint="default" w:ascii="Times New Roman" w:hAnsi="Times New Roman" w:eastAsia="宋体" w:cs="Times New Roman"/>
                      <w:color w:val="000000" w:themeColor="text1"/>
                    </w:rPr>
                  </w:pPr>
                </w:p>
              </w:tc>
              <w:tc>
                <w:tcPr>
                  <w:tcW w:w="918" w:type="dxa"/>
                  <w:vAlign w:val="center"/>
                </w:tcPr>
                <w:p w14:paraId="6398D860">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每季1次</w:t>
                  </w:r>
                </w:p>
              </w:tc>
              <w:tc>
                <w:tcPr>
                  <w:tcW w:w="1290" w:type="dxa"/>
                  <w:vAlign w:val="center"/>
                </w:tcPr>
                <w:p w14:paraId="0A1ED10E">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厂界四周，共</w:t>
                  </w:r>
                  <w:r>
                    <w:rPr>
                      <w:rFonts w:hint="eastAsia" w:cs="Times New Roman"/>
                      <w:color w:val="000000" w:themeColor="text1"/>
                      <w:lang w:val="en-US" w:eastAsia="zh-CN"/>
                    </w:rPr>
                    <w:t>4</w:t>
                  </w:r>
                  <w:r>
                    <w:rPr>
                      <w:rFonts w:hint="default" w:ascii="Times New Roman" w:hAnsi="Times New Roman" w:eastAsia="宋体" w:cs="Times New Roman"/>
                      <w:color w:val="000000" w:themeColor="text1"/>
                    </w:rPr>
                    <w:t>个点位</w:t>
                  </w:r>
                </w:p>
              </w:tc>
              <w:tc>
                <w:tcPr>
                  <w:tcW w:w="3456" w:type="dxa"/>
                  <w:vAlign w:val="center"/>
                </w:tcPr>
                <w:p w14:paraId="7F8E6561">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《工业企业厂界环境噪声排放标准》</w:t>
                  </w:r>
                  <w:r>
                    <w:rPr>
                      <w:rFonts w:hint="eastAsia" w:cs="Times New Roman"/>
                      <w:color w:val="000000" w:themeColor="text1"/>
                      <w:lang w:eastAsia="zh-CN"/>
                    </w:rPr>
                    <w:t>（</w:t>
                  </w:r>
                  <w:r>
                    <w:rPr>
                      <w:rFonts w:hint="default" w:ascii="Times New Roman" w:hAnsi="Times New Roman" w:eastAsia="宋体" w:cs="Times New Roman"/>
                      <w:color w:val="000000" w:themeColor="text1"/>
                    </w:rPr>
                    <w:t>GB12348-2008</w:t>
                  </w:r>
                  <w:r>
                    <w:rPr>
                      <w:rFonts w:hint="eastAsia" w:cs="Times New Roman"/>
                      <w:color w:val="000000" w:themeColor="text1"/>
                      <w:lang w:eastAsia="zh-CN"/>
                    </w:rPr>
                    <w:t>）</w:t>
                  </w:r>
                  <w:r>
                    <w:rPr>
                      <w:rFonts w:hint="default" w:ascii="Times New Roman" w:hAnsi="Times New Roman" w:eastAsia="宋体" w:cs="Times New Roman"/>
                      <w:color w:val="000000" w:themeColor="text1"/>
                    </w:rPr>
                    <w:t>3类标准</w:t>
                  </w:r>
                </w:p>
              </w:tc>
            </w:tr>
            <w:tr w14:paraId="3EAA0A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1" w:type="dxa"/>
                  <w:vAlign w:val="center"/>
                </w:tcPr>
                <w:p w14:paraId="7B54ED28">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固体废物处置</w:t>
                  </w:r>
                </w:p>
              </w:tc>
              <w:tc>
                <w:tcPr>
                  <w:tcW w:w="1244" w:type="dxa"/>
                  <w:vAlign w:val="center"/>
                </w:tcPr>
                <w:p w14:paraId="3B023EF0">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收集、转运情况</w:t>
                  </w:r>
                </w:p>
              </w:tc>
              <w:tc>
                <w:tcPr>
                  <w:tcW w:w="660" w:type="dxa"/>
                  <w:vMerge w:val="continue"/>
                  <w:vAlign w:val="center"/>
                </w:tcPr>
                <w:p w14:paraId="13FDF441">
                  <w:pPr>
                    <w:pStyle w:val="55"/>
                    <w:ind w:left="0"/>
                    <w:rPr>
                      <w:rFonts w:hint="default" w:ascii="Times New Roman" w:hAnsi="Times New Roman" w:eastAsia="宋体" w:cs="Times New Roman"/>
                      <w:color w:val="000000" w:themeColor="text1"/>
                    </w:rPr>
                  </w:pPr>
                </w:p>
              </w:tc>
              <w:tc>
                <w:tcPr>
                  <w:tcW w:w="918" w:type="dxa"/>
                  <w:vAlign w:val="center"/>
                </w:tcPr>
                <w:p w14:paraId="693C0E7F">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不定期</w:t>
                  </w:r>
                </w:p>
              </w:tc>
              <w:tc>
                <w:tcPr>
                  <w:tcW w:w="1290" w:type="dxa"/>
                  <w:vAlign w:val="center"/>
                </w:tcPr>
                <w:p w14:paraId="736CD7B2">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c>
                <w:tcPr>
                  <w:tcW w:w="3456" w:type="dxa"/>
                  <w:vAlign w:val="center"/>
                </w:tcPr>
                <w:p w14:paraId="229DEBBF">
                  <w:pPr>
                    <w:pStyle w:val="55"/>
                    <w:ind w:left="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w:t>
                  </w:r>
                </w:p>
              </w:tc>
            </w:tr>
          </w:tbl>
          <w:p w14:paraId="165A1840">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每次监测都应有完整的记录。监测数据应及时整理、统计，按时向管理部门、调度部门报告，做好监测资料的归档工作。</w:t>
            </w:r>
          </w:p>
          <w:p w14:paraId="7896FCFF">
            <w:pPr>
              <w:adjustRightInd w:val="0"/>
              <w:snapToGrid w:val="0"/>
              <w:ind w:firstLine="482"/>
              <w:jc w:val="left"/>
              <w:rPr>
                <w:rFonts w:hint="default" w:ascii="Times New Roman" w:hAnsi="Times New Roman" w:eastAsia="宋体" w:cs="Times New Roman"/>
                <w:b/>
                <w:color w:val="000000" w:themeColor="text1"/>
              </w:rPr>
            </w:pPr>
            <w:r>
              <w:rPr>
                <w:rFonts w:hint="default" w:ascii="Times New Roman" w:hAnsi="Times New Roman" w:cs="Times New Roman"/>
                <w:b/>
                <w:color w:val="000000" w:themeColor="text1"/>
                <w:lang w:val="en-US" w:eastAsia="zh-CN"/>
              </w:rPr>
              <w:t>10</w:t>
            </w:r>
            <w:r>
              <w:rPr>
                <w:rFonts w:hint="default" w:ascii="Times New Roman" w:hAnsi="Times New Roman" w:eastAsia="宋体" w:cs="Times New Roman"/>
                <w:b/>
                <w:color w:val="000000" w:themeColor="text1"/>
              </w:rPr>
              <w:t>、排污口规范化整治</w:t>
            </w:r>
          </w:p>
          <w:p w14:paraId="6ED5DE71">
            <w:pPr>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根据国家标准《环境保护图形标志－排放口</w:t>
            </w:r>
            <w:r>
              <w:rPr>
                <w:rFonts w:hint="eastAsia" w:cs="Times New Roman"/>
                <w:color w:val="000000" w:themeColor="text1"/>
                <w:lang w:eastAsia="zh-CN"/>
              </w:rPr>
              <w:t>（</w:t>
            </w:r>
            <w:r>
              <w:rPr>
                <w:rFonts w:hint="default" w:ascii="Times New Roman" w:hAnsi="Times New Roman" w:eastAsia="宋体" w:cs="Times New Roman"/>
                <w:color w:val="000000" w:themeColor="text1"/>
              </w:rPr>
              <w:t>源</w:t>
            </w:r>
            <w:r>
              <w:rPr>
                <w:rFonts w:hint="eastAsia" w:cs="Times New Roman"/>
                <w:color w:val="000000" w:themeColor="text1"/>
                <w:lang w:eastAsia="zh-CN"/>
              </w:rPr>
              <w:t>）</w:t>
            </w:r>
            <w:r>
              <w:rPr>
                <w:rFonts w:hint="default" w:ascii="Times New Roman" w:hAnsi="Times New Roman" w:eastAsia="宋体" w:cs="Times New Roman"/>
                <w:color w:val="000000" w:themeColor="text1"/>
              </w:rPr>
              <w:t>》和国家环保总局《排污口规范化整治要求</w:t>
            </w:r>
            <w:r>
              <w:rPr>
                <w:rFonts w:hint="eastAsia" w:cs="Times New Roman"/>
                <w:color w:val="000000" w:themeColor="text1"/>
                <w:lang w:eastAsia="zh-CN"/>
              </w:rPr>
              <w:t>（试行）》</w:t>
            </w:r>
            <w:r>
              <w:rPr>
                <w:rFonts w:hint="default" w:ascii="Times New Roman" w:hAnsi="Times New Roman" w:eastAsia="宋体" w:cs="Times New Roman"/>
                <w:color w:val="000000" w:themeColor="text1"/>
              </w:rPr>
              <w:t>的技术要求，企业所有排放口</w:t>
            </w:r>
            <w:r>
              <w:rPr>
                <w:rFonts w:hint="eastAsia" w:cs="Times New Roman"/>
                <w:color w:val="000000" w:themeColor="text1"/>
                <w:lang w:eastAsia="zh-CN"/>
              </w:rPr>
              <w:t>（</w:t>
            </w:r>
            <w:r>
              <w:rPr>
                <w:rFonts w:hint="default" w:ascii="Times New Roman" w:hAnsi="Times New Roman" w:eastAsia="宋体" w:cs="Times New Roman"/>
                <w:color w:val="000000" w:themeColor="text1"/>
              </w:rPr>
              <w:t>包括水、气、声、渣</w:t>
            </w:r>
            <w:r>
              <w:rPr>
                <w:rFonts w:hint="eastAsia" w:cs="Times New Roman"/>
                <w:color w:val="000000" w:themeColor="text1"/>
                <w:lang w:eastAsia="zh-CN"/>
              </w:rPr>
              <w:t>）</w:t>
            </w:r>
            <w:r>
              <w:rPr>
                <w:rFonts w:hint="default" w:ascii="Times New Roman" w:hAnsi="Times New Roman" w:eastAsia="宋体" w:cs="Times New Roman"/>
                <w:color w:val="000000" w:themeColor="text1"/>
              </w:rPr>
              <w:t>必须按照“便于采样、便于计量检测、便于日常现场监督检查”的原则和规范化要求，设置与之相适应的环境保护图形标志牌，图形符号见</w:t>
            </w:r>
            <w:r>
              <w:rPr>
                <w:rFonts w:hint="default" w:ascii="Times New Roman" w:hAnsi="Times New Roman" w:eastAsia="宋体" w:cs="Times New Roman"/>
                <w:color w:val="000000" w:themeColor="text1"/>
                <w:lang w:val="en-US" w:eastAsia="zh-CN"/>
              </w:rPr>
              <w:t>下</w:t>
            </w:r>
            <w:r>
              <w:rPr>
                <w:rFonts w:hint="default" w:ascii="Times New Roman" w:hAnsi="Times New Roman" w:eastAsia="宋体" w:cs="Times New Roman"/>
                <w:color w:val="000000" w:themeColor="text1"/>
              </w:rPr>
              <w:t>表。</w:t>
            </w:r>
          </w:p>
          <w:p w14:paraId="62F76673">
            <w:pPr>
              <w:tabs>
                <w:tab w:val="left" w:pos="0"/>
              </w:tabs>
              <w:spacing w:line="240" w:lineRule="auto"/>
              <w:ind w:left="1680" w:firstLine="0" w:firstLineChars="0"/>
              <w:jc w:val="center"/>
              <w:rPr>
                <w:rFonts w:hint="default" w:ascii="Times New Roman" w:hAnsi="Times New Roman" w:eastAsia="宋体" w:cs="Times New Roman"/>
                <w:b/>
                <w:bCs/>
                <w:color w:val="000000" w:themeColor="text1"/>
                <w:szCs w:val="20"/>
              </w:rPr>
            </w:pPr>
            <w:r>
              <w:rPr>
                <w:rFonts w:hint="default" w:ascii="Times New Roman" w:hAnsi="Times New Roman" w:eastAsia="宋体" w:cs="Times New Roman"/>
                <w:b/>
                <w:color w:val="000000" w:themeColor="text1"/>
                <w:kern w:val="0"/>
                <w:sz w:val="21"/>
                <w:szCs w:val="21"/>
              </w:rPr>
              <w:t>表4-</w:t>
            </w:r>
            <w:r>
              <w:rPr>
                <w:rFonts w:hint="eastAsia" w:cs="Times New Roman"/>
                <w:b/>
                <w:color w:val="000000" w:themeColor="text1"/>
                <w:kern w:val="0"/>
                <w:sz w:val="21"/>
                <w:szCs w:val="21"/>
                <w:lang w:val="en-US" w:eastAsia="zh-CN"/>
              </w:rPr>
              <w:t>38</w:t>
            </w:r>
            <w:r>
              <w:rPr>
                <w:rFonts w:hint="default" w:ascii="Times New Roman" w:hAnsi="Times New Roman" w:eastAsia="宋体" w:cs="Times New Roman"/>
                <w:b/>
                <w:bCs/>
                <w:color w:val="000000" w:themeColor="text1"/>
                <w:sz w:val="21"/>
                <w:szCs w:val="21"/>
              </w:rPr>
              <w:t xml:space="preserve">  厂区排污口图形符号</w:t>
            </w: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提示标志</w:t>
            </w:r>
            <w:r>
              <w:rPr>
                <w:rFonts w:hint="eastAsia" w:cs="Times New Roman"/>
                <w:b/>
                <w:bCs/>
                <w:color w:val="000000" w:themeColor="text1"/>
                <w:sz w:val="21"/>
                <w:szCs w:val="21"/>
                <w:lang w:eastAsia="zh-CN"/>
              </w:rPr>
              <w:t>）</w:t>
            </w:r>
            <w:r>
              <w:rPr>
                <w:rFonts w:hint="default" w:ascii="Times New Roman" w:hAnsi="Times New Roman" w:eastAsia="宋体" w:cs="Times New Roman"/>
                <w:b/>
                <w:bCs/>
                <w:color w:val="000000" w:themeColor="text1"/>
                <w:sz w:val="21"/>
                <w:szCs w:val="21"/>
              </w:rPr>
              <w:t>一览表</w:t>
            </w:r>
          </w:p>
          <w:tbl>
            <w:tblPr>
              <w:tblStyle w:val="33"/>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37"/>
              <w:gridCol w:w="1395"/>
              <w:gridCol w:w="1388"/>
              <w:gridCol w:w="1317"/>
              <w:gridCol w:w="1305"/>
              <w:gridCol w:w="1383"/>
            </w:tblGrid>
            <w:tr w14:paraId="12DF0AAE">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564" w:hRule="atLeast"/>
                <w:jc w:val="center"/>
              </w:trPr>
              <w:tc>
                <w:tcPr>
                  <w:tcW w:w="823" w:type="pct"/>
                  <w:tcBorders>
                    <w:top w:val="single" w:color="auto" w:sz="12" w:space="0"/>
                    <w:bottom w:val="single" w:color="000000" w:sz="6" w:space="0"/>
                    <w:right w:val="single" w:color="auto" w:sz="4" w:space="0"/>
                    <w:tl2br w:val="single" w:color="auto" w:sz="4" w:space="0"/>
                  </w:tcBorders>
                  <w:vAlign w:val="center"/>
                </w:tcPr>
                <w:p w14:paraId="61F87063">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rPr>
                    <w:t xml:space="preserve">     </w:t>
                  </w:r>
                  <w:r>
                    <w:rPr>
                      <w:rFonts w:hint="default" w:ascii="Times New Roman" w:hAnsi="Times New Roman" w:eastAsia="宋体" w:cs="Times New Roman"/>
                      <w:b/>
                      <w:bCs/>
                      <w:color w:val="000000" w:themeColor="text1"/>
                      <w:sz w:val="21"/>
                      <w:szCs w:val="21"/>
                      <w:lang w:val="en-GB"/>
                    </w:rPr>
                    <w:t>排放</w:t>
                  </w:r>
                </w:p>
                <w:p w14:paraId="10803DC1">
                  <w:pPr>
                    <w:pStyle w:val="84"/>
                    <w:tabs>
                      <w:tab w:val="left" w:pos="3345"/>
                      <w:tab w:val="clear" w:pos="0"/>
                    </w:tabs>
                    <w:spacing w:line="240" w:lineRule="auto"/>
                    <w:ind w:firstLine="0" w:firstLineChars="0"/>
                    <w:jc w:val="both"/>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项目</w:t>
                  </w:r>
                </w:p>
              </w:tc>
              <w:tc>
                <w:tcPr>
                  <w:tcW w:w="858" w:type="pct"/>
                  <w:tcBorders>
                    <w:top w:val="single" w:color="auto" w:sz="12" w:space="0"/>
                    <w:left w:val="single" w:color="auto" w:sz="4" w:space="0"/>
                    <w:bottom w:val="single" w:color="000000" w:sz="6" w:space="0"/>
                    <w:right w:val="single" w:color="auto" w:sz="4" w:space="0"/>
                  </w:tcBorders>
                  <w:vAlign w:val="center"/>
                </w:tcPr>
                <w:p w14:paraId="5F706B92">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污水排放口</w:t>
                  </w:r>
                </w:p>
              </w:tc>
              <w:tc>
                <w:tcPr>
                  <w:tcW w:w="854" w:type="pct"/>
                  <w:tcBorders>
                    <w:top w:val="single" w:color="auto" w:sz="12" w:space="0"/>
                    <w:left w:val="single" w:color="auto" w:sz="4" w:space="0"/>
                    <w:bottom w:val="single" w:color="000000" w:sz="6" w:space="0"/>
                    <w:right w:val="single" w:color="auto" w:sz="4" w:space="0"/>
                  </w:tcBorders>
                  <w:vAlign w:val="center"/>
                </w:tcPr>
                <w:p w14:paraId="032D3F24">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废气排放口</w:t>
                  </w:r>
                </w:p>
              </w:tc>
              <w:tc>
                <w:tcPr>
                  <w:tcW w:w="810" w:type="pct"/>
                  <w:tcBorders>
                    <w:top w:val="single" w:color="auto" w:sz="12" w:space="0"/>
                    <w:left w:val="single" w:color="auto" w:sz="4" w:space="0"/>
                    <w:bottom w:val="single" w:color="000000" w:sz="6" w:space="0"/>
                    <w:right w:val="single" w:color="auto" w:sz="4" w:space="0"/>
                  </w:tcBorders>
                  <w:vAlign w:val="center"/>
                </w:tcPr>
                <w:p w14:paraId="00146157">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噪声排放源</w:t>
                  </w:r>
                </w:p>
              </w:tc>
              <w:tc>
                <w:tcPr>
                  <w:tcW w:w="803" w:type="pct"/>
                  <w:tcBorders>
                    <w:top w:val="single" w:color="auto" w:sz="12" w:space="0"/>
                    <w:left w:val="single" w:color="auto" w:sz="4" w:space="0"/>
                    <w:bottom w:val="single" w:color="000000" w:sz="6" w:space="0"/>
                  </w:tcBorders>
                  <w:vAlign w:val="center"/>
                </w:tcPr>
                <w:p w14:paraId="63D1C704">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固体废物</w:t>
                  </w:r>
                </w:p>
              </w:tc>
              <w:tc>
                <w:tcPr>
                  <w:tcW w:w="851" w:type="pct"/>
                  <w:tcBorders>
                    <w:top w:val="single" w:color="auto" w:sz="12" w:space="0"/>
                    <w:left w:val="single" w:color="auto" w:sz="4" w:space="0"/>
                    <w:bottom w:val="single" w:color="000000" w:sz="6" w:space="0"/>
                  </w:tcBorders>
                  <w:vAlign w:val="center"/>
                </w:tcPr>
                <w:p w14:paraId="33B5FFF5">
                  <w:pPr>
                    <w:pStyle w:val="84"/>
                    <w:tabs>
                      <w:tab w:val="left" w:pos="3345"/>
                      <w:tab w:val="clear" w:pos="0"/>
                    </w:tabs>
                    <w:spacing w:line="240" w:lineRule="auto"/>
                    <w:ind w:firstLine="0" w:firstLineChars="0"/>
                    <w:rPr>
                      <w:rFonts w:hint="default" w:ascii="Times New Roman" w:hAnsi="Times New Roman" w:eastAsia="宋体" w:cs="Times New Roman"/>
                      <w:b/>
                      <w:bCs/>
                      <w:color w:val="000000" w:themeColor="text1"/>
                      <w:sz w:val="21"/>
                      <w:szCs w:val="21"/>
                      <w:lang w:val="en-GB"/>
                    </w:rPr>
                  </w:pPr>
                  <w:r>
                    <w:rPr>
                      <w:rFonts w:hint="default" w:ascii="Times New Roman" w:hAnsi="Times New Roman" w:eastAsia="宋体" w:cs="Times New Roman"/>
                      <w:b/>
                      <w:bCs/>
                      <w:color w:val="000000" w:themeColor="text1"/>
                      <w:sz w:val="21"/>
                      <w:szCs w:val="21"/>
                      <w:lang w:val="en-GB"/>
                    </w:rPr>
                    <w:t>危险废物</w:t>
                  </w:r>
                </w:p>
              </w:tc>
            </w:tr>
            <w:tr w14:paraId="4324E9B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371" w:hRule="atLeast"/>
                <w:jc w:val="center"/>
              </w:trPr>
              <w:tc>
                <w:tcPr>
                  <w:tcW w:w="823" w:type="pct"/>
                  <w:tcBorders>
                    <w:top w:val="single" w:color="000000" w:sz="6" w:space="0"/>
                    <w:bottom w:val="single" w:color="000000" w:sz="6" w:space="0"/>
                    <w:right w:val="single" w:color="auto" w:sz="4" w:space="0"/>
                  </w:tcBorders>
                  <w:vAlign w:val="center"/>
                </w:tcPr>
                <w:p w14:paraId="7F2DF161">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图形符号</w:t>
                  </w:r>
                </w:p>
              </w:tc>
              <w:tc>
                <w:tcPr>
                  <w:tcW w:w="858" w:type="pct"/>
                  <w:tcBorders>
                    <w:top w:val="single" w:color="000000" w:sz="6" w:space="0"/>
                    <w:left w:val="single" w:color="auto" w:sz="4" w:space="0"/>
                    <w:bottom w:val="single" w:color="000000" w:sz="6" w:space="0"/>
                    <w:right w:val="single" w:color="auto" w:sz="4" w:space="0"/>
                  </w:tcBorders>
                  <w:vAlign w:val="center"/>
                </w:tcPr>
                <w:p w14:paraId="01324FE8">
                  <w:pPr>
                    <w:pStyle w:val="55"/>
                    <w:ind w:left="0"/>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rPr>
                    <w:drawing>
                      <wp:inline distT="0" distB="0" distL="114300" distR="114300">
                        <wp:extent cx="705485" cy="713740"/>
                        <wp:effectExtent l="0" t="0" r="18415" b="10160"/>
                        <wp:docPr id="8" name="图片 51"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1" descr="13001"/>
                                <pic:cNvPicPr>
                                  <a:picLocks noChangeAspect="1"/>
                                </pic:cNvPicPr>
                              </pic:nvPicPr>
                              <pic:blipFill>
                                <a:blip r:embed="rId89" cstate="print"/>
                                <a:stretch>
                                  <a:fillRect/>
                                </a:stretch>
                              </pic:blipFill>
                              <pic:spPr>
                                <a:xfrm>
                                  <a:off x="0" y="0"/>
                                  <a:ext cx="705485" cy="713740"/>
                                </a:xfrm>
                                <a:prstGeom prst="rect">
                                  <a:avLst/>
                                </a:prstGeom>
                                <a:noFill/>
                                <a:ln>
                                  <a:noFill/>
                                </a:ln>
                              </pic:spPr>
                            </pic:pic>
                          </a:graphicData>
                        </a:graphic>
                      </wp:inline>
                    </w:drawing>
                  </w:r>
                </w:p>
              </w:tc>
              <w:tc>
                <w:tcPr>
                  <w:tcW w:w="854" w:type="pct"/>
                  <w:tcBorders>
                    <w:top w:val="single" w:color="000000" w:sz="6" w:space="0"/>
                    <w:left w:val="single" w:color="auto" w:sz="4" w:space="0"/>
                    <w:bottom w:val="single" w:color="000000" w:sz="6" w:space="0"/>
                    <w:right w:val="single" w:color="auto" w:sz="4" w:space="0"/>
                  </w:tcBorders>
                  <w:vAlign w:val="center"/>
                </w:tcPr>
                <w:p w14:paraId="1FBCDC62">
                  <w:pPr>
                    <w:pStyle w:val="55"/>
                    <w:ind w:left="0"/>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rPr>
                    <w:drawing>
                      <wp:inline distT="0" distB="0" distL="114300" distR="114300">
                        <wp:extent cx="705485" cy="713740"/>
                        <wp:effectExtent l="0" t="0" r="18415" b="10160"/>
                        <wp:docPr id="9" name="图片 52"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2" descr="13003"/>
                                <pic:cNvPicPr>
                                  <a:picLocks noChangeAspect="1"/>
                                </pic:cNvPicPr>
                              </pic:nvPicPr>
                              <pic:blipFill>
                                <a:blip r:embed="rId90" cstate="print"/>
                                <a:stretch>
                                  <a:fillRect/>
                                </a:stretch>
                              </pic:blipFill>
                              <pic:spPr>
                                <a:xfrm>
                                  <a:off x="0" y="0"/>
                                  <a:ext cx="705485" cy="713740"/>
                                </a:xfrm>
                                <a:prstGeom prst="rect">
                                  <a:avLst/>
                                </a:prstGeom>
                                <a:noFill/>
                                <a:ln>
                                  <a:noFill/>
                                </a:ln>
                              </pic:spPr>
                            </pic:pic>
                          </a:graphicData>
                        </a:graphic>
                      </wp:inline>
                    </w:drawing>
                  </w:r>
                </w:p>
              </w:tc>
              <w:tc>
                <w:tcPr>
                  <w:tcW w:w="810" w:type="pct"/>
                  <w:tcBorders>
                    <w:top w:val="single" w:color="000000" w:sz="6" w:space="0"/>
                    <w:left w:val="single" w:color="auto" w:sz="4" w:space="0"/>
                    <w:bottom w:val="single" w:color="000000" w:sz="6" w:space="0"/>
                    <w:right w:val="single" w:color="auto" w:sz="4" w:space="0"/>
                  </w:tcBorders>
                  <w:vAlign w:val="center"/>
                </w:tcPr>
                <w:p w14:paraId="2EACE9A4">
                  <w:pPr>
                    <w:pStyle w:val="55"/>
                    <w:ind w:left="0"/>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rPr>
                    <w:drawing>
                      <wp:inline distT="0" distB="0" distL="114300" distR="114300">
                        <wp:extent cx="841375" cy="841375"/>
                        <wp:effectExtent l="0" t="0" r="15875" b="15875"/>
                        <wp:docPr id="11" name="图片 53" descr="2345_image_file_cop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3" descr="2345_image_file_copy_1"/>
                                <pic:cNvPicPr>
                                  <a:picLocks noChangeAspect="1"/>
                                </pic:cNvPicPr>
                              </pic:nvPicPr>
                              <pic:blipFill>
                                <a:blip r:embed="rId91" cstate="print"/>
                                <a:stretch>
                                  <a:fillRect/>
                                </a:stretch>
                              </pic:blipFill>
                              <pic:spPr>
                                <a:xfrm>
                                  <a:off x="0" y="0"/>
                                  <a:ext cx="841375" cy="841375"/>
                                </a:xfrm>
                                <a:prstGeom prst="rect">
                                  <a:avLst/>
                                </a:prstGeom>
                                <a:noFill/>
                                <a:ln>
                                  <a:noFill/>
                                </a:ln>
                              </pic:spPr>
                            </pic:pic>
                          </a:graphicData>
                        </a:graphic>
                      </wp:inline>
                    </w:drawing>
                  </w:r>
                </w:p>
              </w:tc>
              <w:tc>
                <w:tcPr>
                  <w:tcW w:w="803" w:type="pct"/>
                  <w:tcBorders>
                    <w:top w:val="single" w:color="000000" w:sz="6" w:space="0"/>
                    <w:left w:val="single" w:color="auto" w:sz="4" w:space="0"/>
                    <w:bottom w:val="single" w:color="000000" w:sz="6" w:space="0"/>
                  </w:tcBorders>
                  <w:vAlign w:val="center"/>
                </w:tcPr>
                <w:p w14:paraId="25B04508">
                  <w:pPr>
                    <w:pStyle w:val="55"/>
                    <w:ind w:left="0"/>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rPr>
                    <w:drawing>
                      <wp:inline distT="0" distB="0" distL="114300" distR="114300">
                        <wp:extent cx="713740" cy="725170"/>
                        <wp:effectExtent l="0" t="0" r="10160" b="17780"/>
                        <wp:docPr id="12" name="图片 54"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4" descr="14001"/>
                                <pic:cNvPicPr>
                                  <a:picLocks noChangeAspect="1"/>
                                </pic:cNvPicPr>
                              </pic:nvPicPr>
                              <pic:blipFill>
                                <a:blip r:embed="rId92" cstate="print"/>
                                <a:stretch>
                                  <a:fillRect/>
                                </a:stretch>
                              </pic:blipFill>
                              <pic:spPr>
                                <a:xfrm>
                                  <a:off x="0" y="0"/>
                                  <a:ext cx="713740" cy="725170"/>
                                </a:xfrm>
                                <a:prstGeom prst="rect">
                                  <a:avLst/>
                                </a:prstGeom>
                                <a:noFill/>
                                <a:ln>
                                  <a:noFill/>
                                </a:ln>
                              </pic:spPr>
                            </pic:pic>
                          </a:graphicData>
                        </a:graphic>
                      </wp:inline>
                    </w:drawing>
                  </w:r>
                </w:p>
              </w:tc>
              <w:tc>
                <w:tcPr>
                  <w:tcW w:w="851" w:type="pct"/>
                  <w:tcBorders>
                    <w:top w:val="single" w:color="000000" w:sz="6" w:space="0"/>
                    <w:left w:val="single" w:color="auto" w:sz="4" w:space="0"/>
                    <w:bottom w:val="single" w:color="000000" w:sz="6" w:space="0"/>
                  </w:tcBorders>
                  <w:vAlign w:val="center"/>
                </w:tcPr>
                <w:p w14:paraId="330BC3A4">
                  <w:pPr>
                    <w:pStyle w:val="55"/>
                    <w:ind w:left="0"/>
                    <w:rPr>
                      <w:rFonts w:hint="default" w:ascii="Times New Roman" w:hAnsi="Times New Roman" w:eastAsia="宋体" w:cs="Times New Roman"/>
                      <w:color w:val="000000" w:themeColor="text1"/>
                    </w:rPr>
                  </w:pPr>
                  <w:r>
                    <w:rPr>
                      <w:color w:val="000000" w:themeColor="text1"/>
                      <w:kern w:val="0"/>
                      <w:szCs w:val="21"/>
                    </w:rPr>
                    <w:drawing>
                      <wp:inline distT="0" distB="0" distL="114300" distR="114300">
                        <wp:extent cx="738505" cy="668655"/>
                        <wp:effectExtent l="0" t="0" r="4445" b="17145"/>
                        <wp:docPr id="1" name="图片 33" descr="a96076237a0bfe4e2edb0eceba98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 descr="a96076237a0bfe4e2edb0eceba980e6"/>
                                <pic:cNvPicPr>
                                  <a:picLocks noChangeAspect="1"/>
                                </pic:cNvPicPr>
                              </pic:nvPicPr>
                              <pic:blipFill>
                                <a:blip r:embed="rId93"/>
                                <a:stretch>
                                  <a:fillRect/>
                                </a:stretch>
                              </pic:blipFill>
                              <pic:spPr>
                                <a:xfrm>
                                  <a:off x="0" y="0"/>
                                  <a:ext cx="738505" cy="668655"/>
                                </a:xfrm>
                                <a:prstGeom prst="rect">
                                  <a:avLst/>
                                </a:prstGeom>
                                <a:noFill/>
                                <a:ln>
                                  <a:noFill/>
                                </a:ln>
                              </pic:spPr>
                            </pic:pic>
                          </a:graphicData>
                        </a:graphic>
                      </wp:inline>
                    </w:drawing>
                  </w:r>
                </w:p>
              </w:tc>
            </w:tr>
            <w:tr w14:paraId="66ABB942">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8" w:hRule="atLeast"/>
                <w:jc w:val="center"/>
              </w:trPr>
              <w:tc>
                <w:tcPr>
                  <w:tcW w:w="823" w:type="pct"/>
                  <w:tcBorders>
                    <w:top w:val="single" w:color="000000" w:sz="6" w:space="0"/>
                    <w:bottom w:val="single" w:color="000000" w:sz="6" w:space="0"/>
                    <w:right w:val="single" w:color="auto" w:sz="4" w:space="0"/>
                  </w:tcBorders>
                  <w:vAlign w:val="center"/>
                </w:tcPr>
                <w:p w14:paraId="5DB79E9D">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形状</w:t>
                  </w:r>
                </w:p>
              </w:tc>
              <w:tc>
                <w:tcPr>
                  <w:tcW w:w="3325" w:type="pct"/>
                  <w:gridSpan w:val="4"/>
                  <w:tcBorders>
                    <w:top w:val="single" w:color="000000" w:sz="6" w:space="0"/>
                    <w:left w:val="single" w:color="auto" w:sz="4" w:space="0"/>
                    <w:bottom w:val="single" w:color="000000" w:sz="6" w:space="0"/>
                  </w:tcBorders>
                  <w:vAlign w:val="center"/>
                </w:tcPr>
                <w:p w14:paraId="479347E4">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正方形边框</w:t>
                  </w:r>
                </w:p>
              </w:tc>
              <w:tc>
                <w:tcPr>
                  <w:tcW w:w="851" w:type="pct"/>
                  <w:tcBorders>
                    <w:top w:val="single" w:color="000000" w:sz="6" w:space="0"/>
                    <w:left w:val="single" w:color="auto" w:sz="4" w:space="0"/>
                    <w:bottom w:val="single" w:color="000000" w:sz="6" w:space="0"/>
                  </w:tcBorders>
                  <w:vAlign w:val="center"/>
                </w:tcPr>
                <w:p w14:paraId="062415ED">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三角形边框</w:t>
                  </w:r>
                </w:p>
              </w:tc>
            </w:tr>
            <w:tr w14:paraId="4195999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08" w:hRule="atLeast"/>
                <w:jc w:val="center"/>
              </w:trPr>
              <w:tc>
                <w:tcPr>
                  <w:tcW w:w="823" w:type="pct"/>
                  <w:tcBorders>
                    <w:top w:val="single" w:color="000000" w:sz="6" w:space="0"/>
                    <w:bottom w:val="single" w:color="000000" w:sz="6" w:space="0"/>
                    <w:right w:val="single" w:color="auto" w:sz="4" w:space="0"/>
                  </w:tcBorders>
                  <w:vAlign w:val="center"/>
                </w:tcPr>
                <w:p w14:paraId="6D2DB02F">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背景颜色</w:t>
                  </w:r>
                </w:p>
              </w:tc>
              <w:tc>
                <w:tcPr>
                  <w:tcW w:w="3325" w:type="pct"/>
                  <w:gridSpan w:val="4"/>
                  <w:tcBorders>
                    <w:top w:val="single" w:color="000000" w:sz="6" w:space="0"/>
                    <w:left w:val="single" w:color="auto" w:sz="4" w:space="0"/>
                    <w:bottom w:val="single" w:color="000000" w:sz="6" w:space="0"/>
                  </w:tcBorders>
                  <w:vAlign w:val="center"/>
                </w:tcPr>
                <w:p w14:paraId="092B93DE">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绿色</w:t>
                  </w:r>
                </w:p>
              </w:tc>
              <w:tc>
                <w:tcPr>
                  <w:tcW w:w="851" w:type="pct"/>
                  <w:tcBorders>
                    <w:top w:val="single" w:color="000000" w:sz="6" w:space="0"/>
                    <w:left w:val="single" w:color="auto" w:sz="4" w:space="0"/>
                    <w:bottom w:val="single" w:color="000000" w:sz="6" w:space="0"/>
                  </w:tcBorders>
                  <w:vAlign w:val="center"/>
                </w:tcPr>
                <w:p w14:paraId="23FD91D4">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黄色</w:t>
                  </w:r>
                </w:p>
              </w:tc>
            </w:tr>
            <w:tr w14:paraId="3CFF6E10">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437" w:hRule="atLeast"/>
                <w:jc w:val="center"/>
              </w:trPr>
              <w:tc>
                <w:tcPr>
                  <w:tcW w:w="823" w:type="pct"/>
                  <w:tcBorders>
                    <w:top w:val="single" w:color="000000" w:sz="6" w:space="0"/>
                    <w:bottom w:val="single" w:color="auto" w:sz="12" w:space="0"/>
                    <w:right w:val="single" w:color="auto" w:sz="4" w:space="0"/>
                  </w:tcBorders>
                  <w:vAlign w:val="center"/>
                </w:tcPr>
                <w:p w14:paraId="1474063B">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图形颜色</w:t>
                  </w:r>
                </w:p>
              </w:tc>
              <w:tc>
                <w:tcPr>
                  <w:tcW w:w="3325" w:type="pct"/>
                  <w:gridSpan w:val="4"/>
                  <w:tcBorders>
                    <w:top w:val="single" w:color="000000" w:sz="6" w:space="0"/>
                    <w:left w:val="single" w:color="auto" w:sz="4" w:space="0"/>
                    <w:bottom w:val="single" w:color="auto" w:sz="12" w:space="0"/>
                  </w:tcBorders>
                  <w:vAlign w:val="center"/>
                </w:tcPr>
                <w:p w14:paraId="704191E4">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白色</w:t>
                  </w:r>
                </w:p>
              </w:tc>
              <w:tc>
                <w:tcPr>
                  <w:tcW w:w="851" w:type="pct"/>
                  <w:tcBorders>
                    <w:top w:val="single" w:color="000000" w:sz="6" w:space="0"/>
                    <w:left w:val="single" w:color="auto" w:sz="4" w:space="0"/>
                    <w:bottom w:val="single" w:color="auto" w:sz="12" w:space="0"/>
                  </w:tcBorders>
                  <w:vAlign w:val="center"/>
                </w:tcPr>
                <w:p w14:paraId="32D2F40C">
                  <w:pPr>
                    <w:pStyle w:val="55"/>
                    <w:rPr>
                      <w:rFonts w:hint="default" w:ascii="Times New Roman" w:hAnsi="Times New Roman" w:eastAsia="宋体" w:cs="Times New Roman"/>
                      <w:color w:val="000000" w:themeColor="text1"/>
                      <w:lang w:val="en-GB"/>
                    </w:rPr>
                  </w:pPr>
                  <w:r>
                    <w:rPr>
                      <w:rFonts w:hint="default" w:ascii="Times New Roman" w:hAnsi="Times New Roman" w:eastAsia="宋体" w:cs="Times New Roman"/>
                      <w:color w:val="000000" w:themeColor="text1"/>
                      <w:lang w:val="en-GB"/>
                    </w:rPr>
                    <w:t>黑色</w:t>
                  </w:r>
                </w:p>
              </w:tc>
            </w:tr>
          </w:tbl>
          <w:p w14:paraId="0B03C85F">
            <w:pPr>
              <w:ind w:firstLine="482"/>
              <w:rPr>
                <w:rFonts w:hint="default" w:ascii="Times New Roman" w:hAnsi="Times New Roman" w:eastAsia="宋体" w:cs="Times New Roman"/>
                <w:b/>
                <w:color w:val="000000" w:themeColor="text1"/>
              </w:rPr>
            </w:pPr>
            <w:r>
              <w:rPr>
                <w:rFonts w:hint="default" w:ascii="Times New Roman" w:hAnsi="Times New Roman" w:eastAsia="宋体" w:cs="Times New Roman"/>
                <w:b/>
                <w:color w:val="000000" w:themeColor="text1"/>
              </w:rPr>
              <w:t>1</w:t>
            </w:r>
            <w:r>
              <w:rPr>
                <w:rFonts w:hint="default" w:ascii="Times New Roman" w:hAnsi="Times New Roman" w:cs="Times New Roman"/>
                <w:b/>
                <w:color w:val="000000" w:themeColor="text1"/>
                <w:lang w:val="en-US" w:eastAsia="zh-CN"/>
              </w:rPr>
              <w:t>1</w:t>
            </w:r>
            <w:r>
              <w:rPr>
                <w:rFonts w:hint="default" w:ascii="Times New Roman" w:hAnsi="Times New Roman" w:eastAsia="宋体" w:cs="Times New Roman"/>
                <w:b/>
                <w:color w:val="000000" w:themeColor="text1"/>
              </w:rPr>
              <w:t>、</w:t>
            </w:r>
            <w:r>
              <w:rPr>
                <w:rFonts w:hint="default" w:ascii="Times New Roman" w:hAnsi="Times New Roman" w:eastAsia="宋体" w:cs="Times New Roman"/>
                <w:b/>
                <w:bCs/>
                <w:color w:val="000000" w:themeColor="text1"/>
              </w:rPr>
              <w:t>环评与排污许可制度衔接相关工作的通知</w:t>
            </w:r>
          </w:p>
          <w:p w14:paraId="19D1DDC8">
            <w:pPr>
              <w:spacing w:line="360" w:lineRule="auto"/>
              <w:ind w:firstLine="480" w:firstLineChars="200"/>
              <w:jc w:val="left"/>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根据《排污许可证申请与核发技术规范</w:t>
            </w:r>
            <w:r>
              <w:rPr>
                <w:rFonts w:hint="default" w:ascii="Times New Roman" w:hAnsi="Times New Roman" w:eastAsia="宋体" w:cs="Times New Roman"/>
                <w:color w:val="000000" w:themeColor="text1"/>
                <w:sz w:val="24"/>
                <w:szCs w:val="24"/>
                <w:lang w:val="en-US" w:eastAsia="zh-CN"/>
              </w:rPr>
              <w:t xml:space="preserve"> 总则</w:t>
            </w:r>
            <w:r>
              <w:rPr>
                <w:rFonts w:hint="default" w:ascii="Times New Roman" w:hAnsi="Times New Roman" w:eastAsia="宋体" w:cs="Times New Roman"/>
                <w:color w:val="000000" w:themeColor="text1"/>
                <w:sz w:val="24"/>
                <w:szCs w:val="24"/>
              </w:rPr>
              <w:t>》</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HJ942-2018</w:t>
            </w:r>
            <w:r>
              <w:rPr>
                <w:rFonts w:hint="default" w:ascii="Times New Roman" w:hAnsi="Times New Roman" w:eastAsia="宋体"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以及</w:t>
            </w:r>
            <w:r>
              <w:rPr>
                <w:rFonts w:hint="default" w:ascii="Times New Roman" w:hAnsi="Times New Roman" w:eastAsia="宋体" w:cs="Times New Roman"/>
                <w:color w:val="000000" w:themeColor="text1"/>
                <w:sz w:val="24"/>
                <w:szCs w:val="24"/>
              </w:rPr>
              <w:t>《固定污染源排污许可分类管理名录</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2019年版</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》规定，</w:t>
            </w:r>
            <w:r>
              <w:rPr>
                <w:rFonts w:hint="default" w:ascii="Times New Roman" w:hAnsi="Times New Roman" w:eastAsia="宋体" w:cs="Times New Roman"/>
                <w:color w:val="000000" w:themeColor="text1"/>
                <w:sz w:val="24"/>
                <w:szCs w:val="24"/>
                <w:lang w:val="en-US" w:eastAsia="zh-CN"/>
              </w:rPr>
              <w:t>本项目</w:t>
            </w:r>
            <w:r>
              <w:rPr>
                <w:rFonts w:hint="default" w:ascii="Times New Roman" w:hAnsi="Times New Roman" w:eastAsia="宋体" w:cs="Times New Roman"/>
                <w:color w:val="000000" w:themeColor="text1"/>
                <w:sz w:val="24"/>
                <w:szCs w:val="24"/>
              </w:rPr>
              <w:t>应</w:t>
            </w:r>
            <w:r>
              <w:rPr>
                <w:rFonts w:hint="default" w:ascii="Times New Roman" w:hAnsi="Times New Roman" w:eastAsia="宋体" w:cs="Times New Roman"/>
                <w:color w:val="000000" w:themeColor="text1"/>
                <w:sz w:val="24"/>
                <w:szCs w:val="24"/>
                <w:lang w:val="en-US" w:eastAsia="zh-CN"/>
              </w:rPr>
              <w:t>实行简化管理</w:t>
            </w:r>
            <w:r>
              <w:rPr>
                <w:rFonts w:hint="eastAsia" w:cs="Times New Roman"/>
                <w:color w:val="000000" w:themeColor="text1"/>
                <w:sz w:val="24"/>
                <w:szCs w:val="24"/>
                <w:lang w:val="en-US" w:eastAsia="zh-CN"/>
              </w:rPr>
              <w:t>，企业已进行排污登记，在本次扩建项目运行后重新申请排污许可证</w:t>
            </w:r>
            <w:r>
              <w:rPr>
                <w:rFonts w:hint="default" w:ascii="Times New Roman" w:hAnsi="Times New Roman" w:eastAsia="宋体" w:cs="Times New Roman"/>
                <w:color w:val="000000" w:themeColor="text1"/>
                <w:sz w:val="24"/>
                <w:szCs w:val="24"/>
              </w:rPr>
              <w:t>。</w:t>
            </w:r>
          </w:p>
          <w:p w14:paraId="5CC68087">
            <w:pPr>
              <w:keepNext/>
              <w:keepLines/>
              <w:ind w:firstLine="480"/>
              <w:outlineLvl w:val="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本项目在执行环境影响评价中的相关要求的同时，应按照环境保护部办公厅于2017年11月15日发布的《关于做好环境影响评价制度与排污许可制衔接相关工作的通知》（环办环评〔2017〕84 号）要求做好排污许可制度的衔接工作，具体要求如下：</w:t>
            </w:r>
          </w:p>
          <w:p w14:paraId="256852C1">
            <w:pPr>
              <w:keepNext/>
              <w:keepLines/>
              <w:ind w:firstLine="480"/>
              <w:outlineLvl w:val="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1）环境影响评价制度是建设项目的环境准入门槛，是申请排污许可证的前提和重要依据。排污许可制是企事业单位生产运营期排污的法律依据，是确保环境影响评价提出的污染防治设施和措施落实落地的重要保障。各级环保部门要切实做好两项制度的衔接，在环境影响评价管理中，不断完善管理内容，推动环境影响评价更加科学，严格污染物排放要求；在排污许可管理中，严格按照环境影响报告表以及审批文件要求核发排污许可证，维护环境影响评价的有效性。</w:t>
            </w:r>
          </w:p>
          <w:p w14:paraId="3199D4D6">
            <w:pPr>
              <w:keepNext/>
              <w:keepLines/>
              <w:ind w:firstLine="480"/>
              <w:outlineLvl w:val="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2）环境影响评价审批部门要做好建设项目环境影响报告书（表）的审查，结合排污许可证申请与核发技术规范，核定建设项目的产排污环节、污染物种类及污染防治设施和措施等基本信息；依据国家或地方污染物排放标准、环境质量标准和总量控制要求等管理规定，按照污染源源强核算技术指南、环境影响评价要素导则等技术文件，严格核定排放口数量、位置以及每个排放口的污染物种类、允许排放浓度和允许排放量、排放方式、排放去向、自行监测计划等与污染物排放相关的主要内容。</w:t>
            </w:r>
          </w:p>
          <w:p w14:paraId="1C443114">
            <w:pPr>
              <w:keepNext/>
              <w:keepLines/>
              <w:ind w:firstLine="480"/>
              <w:outlineLvl w:val="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3）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14:paraId="7A27CBBD">
            <w:pPr>
              <w:keepNext/>
              <w:keepLines/>
              <w:ind w:firstLine="480"/>
              <w:outlineLvl w:val="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4）国家将分行业制定建设项目重大变动清单。建设项目的环境影响报告书（表）经批准后，建设项目的性质、规模、地点、采用的生产工艺或者防治污染、防止生态破坏的措施发生重大变动的，建设单位应当依法重新报批环境影响评价文件，并在申请排污许可时提交重新报批的环评批复（文号）。发生变动但不属于重大变动情形的建设项目，环境影响报告书（表）2015年1月1日（含）后获得批准的，排污许可证核发部门按照污染物排放标准、总量控制要求、环境影响报告书（表）以及审批文件从严核发，其他建设项目由排污许可证核发部门按照排污许可证申请与核发技术规范要求核发。</w:t>
            </w:r>
          </w:p>
          <w:p w14:paraId="54319F02">
            <w:pPr>
              <w:pStyle w:val="6"/>
              <w:ind w:firstLine="480"/>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（5）环境保护部负责统一建设建设项目环评审批信息申报系统，并与全国排污许可证管理信息平台充分衔接。建设单位在报批建设项目环境影响报告书（表）时，应当</w:t>
            </w:r>
            <w:r>
              <w:rPr>
                <w:rFonts w:hint="eastAsia" w:cs="Times New Roman"/>
                <w:color w:val="000000" w:themeColor="text1"/>
                <w:lang w:eastAsia="zh-CN"/>
              </w:rPr>
              <w:t>登录</w:t>
            </w:r>
            <w:r>
              <w:rPr>
                <w:rFonts w:hint="default" w:ascii="Times New Roman" w:hAnsi="Times New Roman" w:eastAsia="宋体" w:cs="Times New Roman"/>
                <w:color w:val="000000" w:themeColor="text1"/>
              </w:rPr>
              <w:t>建设项目环评审批信息申报系统，在线填报相关信息并对信息的真实性、准确性和完整性负责。</w:t>
            </w:r>
          </w:p>
        </w:tc>
      </w:tr>
    </w:tbl>
    <w:p w14:paraId="2653A3AA">
      <w:pPr>
        <w:pStyle w:val="20"/>
        <w:spacing w:before="0" w:beforeAutospacing="0" w:after="0" w:afterAutospacing="0" w:line="240" w:lineRule="auto"/>
        <w:ind w:firstLine="600"/>
        <w:jc w:val="center"/>
        <w:outlineLvl w:val="0"/>
        <w:rPr>
          <w:rFonts w:hint="default" w:ascii="Times New Roman" w:hAnsi="Times New Roman" w:eastAsia="宋体" w:cs="Times New Roman"/>
          <w:snapToGrid w:val="0"/>
          <w:color w:val="000000" w:themeColor="text1"/>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80369EA">
      <w:pPr>
        <w:pStyle w:val="20"/>
        <w:spacing w:before="0" w:beforeAutospacing="0" w:after="0" w:afterAutospacing="0" w:line="240" w:lineRule="auto"/>
        <w:ind w:firstLine="600"/>
        <w:jc w:val="center"/>
        <w:outlineLvl w:val="0"/>
        <w:rPr>
          <w:rFonts w:hint="default" w:ascii="Times New Roman" w:hAnsi="Times New Roman" w:eastAsia="宋体" w:cs="Times New Roman"/>
          <w:snapToGrid w:val="0"/>
          <w:color w:val="000000" w:themeColor="text1"/>
          <w:sz w:val="30"/>
          <w:szCs w:val="30"/>
        </w:rPr>
      </w:pPr>
      <w:r>
        <w:rPr>
          <w:rFonts w:hint="default" w:ascii="Times New Roman" w:hAnsi="Times New Roman" w:eastAsia="宋体" w:cs="Times New Roman"/>
          <w:snapToGrid w:val="0"/>
          <w:color w:val="000000" w:themeColor="text1"/>
          <w:sz w:val="30"/>
          <w:szCs w:val="30"/>
        </w:rPr>
        <w:t>五、</w:t>
      </w:r>
      <w:bookmarkStart w:id="3" w:name="_Hlk54167917"/>
      <w:r>
        <w:rPr>
          <w:rFonts w:hint="default" w:ascii="Times New Roman" w:hAnsi="Times New Roman" w:eastAsia="宋体" w:cs="Times New Roman"/>
          <w:snapToGrid w:val="0"/>
          <w:color w:val="000000" w:themeColor="text1"/>
          <w:sz w:val="30"/>
          <w:szCs w:val="30"/>
        </w:rPr>
        <w:t>环境保护措施监督检查清单</w:t>
      </w:r>
      <w:bookmarkEnd w:id="3"/>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1618"/>
        <w:gridCol w:w="1492"/>
        <w:gridCol w:w="1445"/>
        <w:gridCol w:w="2997"/>
      </w:tblGrid>
      <w:tr w14:paraId="291BDD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8" w:type="dxa"/>
            <w:tcBorders>
              <w:tl2br w:val="single" w:color="auto" w:sz="4" w:space="0"/>
            </w:tcBorders>
          </w:tcPr>
          <w:p w14:paraId="3603BCD9">
            <w:pPr>
              <w:adjustRightInd w:val="0"/>
              <w:snapToGrid w:val="0"/>
              <w:spacing w:line="240" w:lineRule="auto"/>
              <w:ind w:firstLine="241" w:firstLineChars="10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内容</w:t>
            </w:r>
          </w:p>
          <w:p w14:paraId="43E6E70E">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p>
          <w:p w14:paraId="40D2F63E">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要素</w:t>
            </w:r>
          </w:p>
        </w:tc>
        <w:tc>
          <w:tcPr>
            <w:tcW w:w="1618" w:type="dxa"/>
            <w:vAlign w:val="center"/>
          </w:tcPr>
          <w:p w14:paraId="35681404">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排放口</w:t>
            </w:r>
            <w:r>
              <w:rPr>
                <w:rFonts w:hint="eastAsia"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编号、名称</w:t>
            </w:r>
            <w:r>
              <w:rPr>
                <w:rFonts w:hint="eastAsia" w:cs="Times New Roman"/>
                <w:b/>
                <w:bCs/>
                <w:color w:val="000000" w:themeColor="text1"/>
                <w:sz w:val="24"/>
                <w:szCs w:val="24"/>
                <w:lang w:eastAsia="zh-CN"/>
              </w:rPr>
              <w:t>）</w:t>
            </w:r>
            <w:r>
              <w:rPr>
                <w:rFonts w:hint="default" w:ascii="Times New Roman" w:hAnsi="Times New Roman" w:eastAsia="宋体" w:cs="Times New Roman"/>
                <w:b/>
                <w:bCs/>
                <w:color w:val="000000" w:themeColor="text1"/>
                <w:sz w:val="24"/>
                <w:szCs w:val="24"/>
              </w:rPr>
              <w:t>/污染源</w:t>
            </w:r>
          </w:p>
        </w:tc>
        <w:tc>
          <w:tcPr>
            <w:tcW w:w="1492" w:type="dxa"/>
            <w:vAlign w:val="center"/>
          </w:tcPr>
          <w:p w14:paraId="174CF23D">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污染物项目</w:t>
            </w:r>
          </w:p>
        </w:tc>
        <w:tc>
          <w:tcPr>
            <w:tcW w:w="1445" w:type="dxa"/>
            <w:tcBorders>
              <w:bottom w:val="single" w:color="auto" w:sz="4" w:space="0"/>
            </w:tcBorders>
            <w:vAlign w:val="center"/>
          </w:tcPr>
          <w:p w14:paraId="5D7B9899">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环境保护措施</w:t>
            </w:r>
          </w:p>
        </w:tc>
        <w:tc>
          <w:tcPr>
            <w:tcW w:w="2997" w:type="dxa"/>
            <w:tcBorders>
              <w:bottom w:val="single" w:color="auto" w:sz="4" w:space="0"/>
            </w:tcBorders>
            <w:vAlign w:val="center"/>
          </w:tcPr>
          <w:p w14:paraId="450346C4">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执行标准</w:t>
            </w:r>
          </w:p>
        </w:tc>
      </w:tr>
      <w:tr w14:paraId="50BAF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1508" w:type="dxa"/>
            <w:vMerge w:val="restart"/>
            <w:vAlign w:val="center"/>
          </w:tcPr>
          <w:p w14:paraId="36F972CA">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大气环境</w:t>
            </w:r>
          </w:p>
        </w:tc>
        <w:tc>
          <w:tcPr>
            <w:tcW w:w="1618" w:type="dxa"/>
            <w:vAlign w:val="center"/>
          </w:tcPr>
          <w:p w14:paraId="4BC2A7B2">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rPr>
            </w:pPr>
            <w:r>
              <w:rPr>
                <w:rFonts w:hint="eastAsia" w:cs="Times New Roman"/>
                <w:color w:val="000000" w:themeColor="text1"/>
                <w:sz w:val="24"/>
                <w:szCs w:val="24"/>
                <w:lang w:val="en-US" w:eastAsia="zh-CN"/>
              </w:rPr>
              <w:t>DA001</w:t>
            </w:r>
          </w:p>
        </w:tc>
        <w:tc>
          <w:tcPr>
            <w:tcW w:w="1492" w:type="dxa"/>
            <w:vAlign w:val="center"/>
          </w:tcPr>
          <w:p w14:paraId="38507CD7">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rPr>
            </w:pPr>
            <w:r>
              <w:rPr>
                <w:rFonts w:hint="eastAsia" w:cs="Times New Roman"/>
                <w:color w:val="000000" w:themeColor="text1"/>
                <w:sz w:val="24"/>
                <w:szCs w:val="24"/>
                <w:lang w:val="en-US" w:eastAsia="zh-CN"/>
              </w:rPr>
              <w:t>颗粒物、SO</w:t>
            </w:r>
            <w:r>
              <w:rPr>
                <w:rFonts w:hint="eastAsia" w:cs="Times New Roman"/>
                <w:color w:val="000000" w:themeColor="text1"/>
                <w:sz w:val="24"/>
                <w:szCs w:val="24"/>
                <w:vertAlign w:val="subscript"/>
                <w:lang w:val="en-US" w:eastAsia="zh-CN"/>
              </w:rPr>
              <w:t>2</w:t>
            </w:r>
            <w:r>
              <w:rPr>
                <w:rFonts w:hint="eastAsia" w:cs="Times New Roman"/>
                <w:color w:val="000000" w:themeColor="text1"/>
                <w:sz w:val="24"/>
                <w:szCs w:val="24"/>
                <w:lang w:val="en-US" w:eastAsia="zh-CN"/>
              </w:rPr>
              <w:t>、NOx</w:t>
            </w:r>
          </w:p>
        </w:tc>
        <w:tc>
          <w:tcPr>
            <w:tcW w:w="1445" w:type="dxa"/>
            <w:vAlign w:val="center"/>
          </w:tcPr>
          <w:p w14:paraId="4FC291A7">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rPr>
            </w:pPr>
            <w:r>
              <w:rPr>
                <w:rFonts w:hint="eastAsia" w:cs="Times New Roman"/>
                <w:color w:val="000000" w:themeColor="text1"/>
                <w:sz w:val="24"/>
                <w:szCs w:val="24"/>
                <w:lang w:val="en-US" w:eastAsia="zh-CN"/>
              </w:rPr>
              <w:t>1台布袋除尘+1根20m高排气筒</w:t>
            </w:r>
          </w:p>
        </w:tc>
        <w:tc>
          <w:tcPr>
            <w:tcW w:w="2997" w:type="dxa"/>
            <w:vAlign w:val="center"/>
          </w:tcPr>
          <w:p w14:paraId="30FC17FD">
            <w:pPr>
              <w:pStyle w:val="55"/>
              <w:ind w:left="0" w:leftChars="0" w:firstLine="0" w:firstLineChars="0"/>
              <w:rPr>
                <w:rFonts w:hint="default" w:ascii="Times New Roman" w:hAnsi="Times New Roman" w:eastAsia="宋体" w:cs="Times New Roman"/>
                <w:color w:val="000000" w:themeColor="text1"/>
                <w:sz w:val="24"/>
                <w:szCs w:val="24"/>
              </w:rPr>
            </w:pPr>
            <w:r>
              <w:rPr>
                <w:rFonts w:hint="eastAsia" w:ascii="Times New Roman" w:hAnsi="Times New Roman" w:cs="Times New Roman"/>
                <w:color w:val="000000" w:themeColor="text1"/>
                <w:sz w:val="24"/>
                <w:szCs w:val="24"/>
                <w:lang w:val="en-US" w:eastAsia="zh-CN"/>
              </w:rPr>
              <w:t>TSP</w:t>
            </w:r>
            <w:r>
              <w:rPr>
                <w:rFonts w:hint="default" w:ascii="Times New Roman" w:hAnsi="Times New Roman" w:cs="Times New Roman"/>
                <w:color w:val="000000" w:themeColor="text1"/>
                <w:sz w:val="24"/>
                <w:szCs w:val="24"/>
              </w:rPr>
              <w:t>最</w:t>
            </w:r>
            <w:r>
              <w:rPr>
                <w:rFonts w:hint="default" w:ascii="Times New Roman" w:hAnsi="Times New Roman" w:cs="Times New Roman"/>
                <w:bCs/>
                <w:color w:val="000000" w:themeColor="text1"/>
                <w:sz w:val="24"/>
                <w:szCs w:val="24"/>
              </w:rPr>
              <w:t>高允许排放浓度执行</w:t>
            </w:r>
            <w:r>
              <w:rPr>
                <w:rFonts w:hint="eastAsia" w:ascii="Times New Roman" w:hAnsi="Times New Roman" w:cs="Times New Roman"/>
                <w:bCs/>
                <w:color w:val="000000" w:themeColor="text1"/>
                <w:sz w:val="24"/>
                <w:szCs w:val="24"/>
                <w:lang w:val="en-US" w:eastAsia="zh-CN"/>
              </w:rPr>
              <w:t>15</w:t>
            </w:r>
            <w:r>
              <w:rPr>
                <w:rFonts w:hint="default" w:ascii="Times New Roman" w:hAnsi="Times New Roman" w:cs="Times New Roman"/>
                <w:bCs/>
                <w:color w:val="000000" w:themeColor="text1"/>
                <w:sz w:val="24"/>
                <w:szCs w:val="24"/>
              </w:rPr>
              <w:t>mg/m</w:t>
            </w:r>
            <w:r>
              <w:rPr>
                <w:rFonts w:hint="default" w:ascii="Times New Roman" w:hAnsi="Times New Roman" w:cs="Times New Roman"/>
                <w:bCs/>
                <w:color w:val="000000" w:themeColor="text1"/>
                <w:sz w:val="24"/>
                <w:szCs w:val="24"/>
                <w:vertAlign w:val="superscript"/>
              </w:rPr>
              <w:t>3</w:t>
            </w:r>
            <w:r>
              <w:rPr>
                <w:rFonts w:hint="default" w:ascii="Times New Roman" w:hAnsi="Times New Roman" w:cs="Times New Roman"/>
                <w:bCs/>
                <w:color w:val="000000" w:themeColor="text1"/>
                <w:sz w:val="24"/>
                <w:szCs w:val="24"/>
              </w:rPr>
              <w:t>、最高允许排放速率执行</w:t>
            </w:r>
            <w:r>
              <w:rPr>
                <w:rFonts w:hint="eastAsia" w:ascii="Times New Roman" w:hAnsi="Times New Roman" w:cs="Times New Roman"/>
                <w:bCs/>
                <w:color w:val="000000" w:themeColor="text1"/>
                <w:sz w:val="24"/>
                <w:szCs w:val="24"/>
                <w:lang w:val="en-US" w:eastAsia="zh-CN"/>
              </w:rPr>
              <w:t>0.36</w:t>
            </w:r>
            <w:r>
              <w:rPr>
                <w:rFonts w:hint="default" w:ascii="Times New Roman" w:hAnsi="Times New Roman" w:cs="Times New Roman"/>
                <w:bCs/>
                <w:color w:val="000000" w:themeColor="text1"/>
                <w:sz w:val="24"/>
                <w:szCs w:val="24"/>
              </w:rPr>
              <w:t>kg/h</w:t>
            </w:r>
            <w:r>
              <w:rPr>
                <w:rFonts w:hint="eastAsia" w:ascii="Times New Roman" w:hAnsi="Times New Roman" w:cs="Times New Roman"/>
                <w:bCs/>
                <w:color w:val="000000" w:themeColor="text1"/>
                <w:sz w:val="24"/>
                <w:szCs w:val="24"/>
                <w:lang w:eastAsia="zh-CN"/>
              </w:rPr>
              <w:t>；</w:t>
            </w:r>
            <w:r>
              <w:rPr>
                <w:rFonts w:hint="eastAsia" w:ascii="Times New Roman" w:hAnsi="Times New Roman" w:cs="Times New Roman"/>
                <w:color w:val="000000" w:themeColor="text1"/>
                <w:sz w:val="24"/>
                <w:szCs w:val="24"/>
                <w:lang w:val="en-US" w:eastAsia="zh-CN"/>
              </w:rPr>
              <w:t>SO</w:t>
            </w:r>
            <w:r>
              <w:rPr>
                <w:rFonts w:hint="eastAsia" w:ascii="Times New Roman" w:hAnsi="Times New Roman" w:cs="Times New Roman"/>
                <w:color w:val="000000" w:themeColor="text1"/>
                <w:sz w:val="24"/>
                <w:szCs w:val="24"/>
                <w:vertAlign w:val="subscript"/>
                <w:lang w:val="en-US" w:eastAsia="zh-CN"/>
              </w:rPr>
              <w:t>2</w:t>
            </w:r>
            <w:r>
              <w:rPr>
                <w:rFonts w:hint="default" w:ascii="Times New Roman" w:hAnsi="Times New Roman" w:cs="Times New Roman"/>
                <w:color w:val="000000" w:themeColor="text1"/>
                <w:sz w:val="24"/>
                <w:szCs w:val="24"/>
              </w:rPr>
              <w:t>最</w:t>
            </w:r>
            <w:r>
              <w:rPr>
                <w:rFonts w:hint="default" w:ascii="Times New Roman" w:hAnsi="Times New Roman" w:cs="Times New Roman"/>
                <w:bCs/>
                <w:color w:val="000000" w:themeColor="text1"/>
                <w:sz w:val="24"/>
                <w:szCs w:val="24"/>
              </w:rPr>
              <w:t>高允许排放浓度执行</w:t>
            </w:r>
            <w:r>
              <w:rPr>
                <w:rFonts w:hint="eastAsia" w:ascii="Times New Roman" w:hAnsi="Times New Roman" w:cs="Times New Roman"/>
                <w:bCs/>
                <w:color w:val="000000" w:themeColor="text1"/>
                <w:sz w:val="24"/>
                <w:szCs w:val="24"/>
                <w:lang w:val="en-US" w:eastAsia="zh-CN"/>
              </w:rPr>
              <w:t>200</w:t>
            </w:r>
            <w:r>
              <w:rPr>
                <w:rFonts w:hint="default" w:ascii="Times New Roman" w:hAnsi="Times New Roman" w:cs="Times New Roman"/>
                <w:bCs/>
                <w:color w:val="000000" w:themeColor="text1"/>
                <w:sz w:val="24"/>
                <w:szCs w:val="24"/>
              </w:rPr>
              <w:t>mg/m</w:t>
            </w:r>
            <w:r>
              <w:rPr>
                <w:rFonts w:hint="default" w:ascii="Times New Roman" w:hAnsi="Times New Roman" w:cs="Times New Roman"/>
                <w:bCs/>
                <w:color w:val="000000" w:themeColor="text1"/>
                <w:sz w:val="24"/>
                <w:szCs w:val="24"/>
                <w:vertAlign w:val="superscript"/>
              </w:rPr>
              <w:t>3</w:t>
            </w:r>
            <w:r>
              <w:rPr>
                <w:rFonts w:hint="default" w:ascii="Times New Roman" w:hAnsi="Times New Roman" w:cs="Times New Roman"/>
                <w:bCs/>
                <w:color w:val="000000" w:themeColor="text1"/>
                <w:sz w:val="24"/>
                <w:szCs w:val="24"/>
              </w:rPr>
              <w:t>、最高允许排放速率执行</w:t>
            </w:r>
            <w:r>
              <w:rPr>
                <w:rFonts w:hint="eastAsia" w:ascii="Times New Roman" w:hAnsi="Times New Roman" w:cs="Times New Roman"/>
                <w:bCs/>
                <w:color w:val="000000" w:themeColor="text1"/>
                <w:sz w:val="24"/>
                <w:szCs w:val="24"/>
                <w:lang w:val="en-US" w:eastAsia="zh-CN"/>
              </w:rPr>
              <w:t>1.6</w:t>
            </w:r>
            <w:r>
              <w:rPr>
                <w:rFonts w:hint="default" w:ascii="Times New Roman" w:hAnsi="Times New Roman" w:cs="Times New Roman"/>
                <w:bCs/>
                <w:color w:val="000000" w:themeColor="text1"/>
                <w:sz w:val="24"/>
                <w:szCs w:val="24"/>
              </w:rPr>
              <w:t>kg/h</w:t>
            </w:r>
            <w:r>
              <w:rPr>
                <w:rFonts w:hint="eastAsia" w:ascii="Times New Roman" w:hAnsi="Times New Roman" w:cs="Times New Roman"/>
                <w:bCs/>
                <w:color w:val="000000" w:themeColor="text1"/>
                <w:sz w:val="24"/>
                <w:szCs w:val="24"/>
                <w:lang w:val="en-US" w:eastAsia="zh-CN"/>
              </w:rPr>
              <w:t>；</w:t>
            </w:r>
            <w:r>
              <w:rPr>
                <w:rFonts w:hint="eastAsia" w:ascii="Times New Roman" w:hAnsi="Times New Roman" w:cs="Times New Roman"/>
                <w:color w:val="000000" w:themeColor="text1"/>
                <w:sz w:val="24"/>
                <w:szCs w:val="24"/>
                <w:lang w:val="en-US" w:eastAsia="zh-CN"/>
              </w:rPr>
              <w:t>NOx</w:t>
            </w:r>
            <w:r>
              <w:rPr>
                <w:rFonts w:hint="default" w:ascii="Times New Roman" w:hAnsi="Times New Roman" w:cs="Times New Roman"/>
                <w:color w:val="000000" w:themeColor="text1"/>
                <w:sz w:val="24"/>
                <w:szCs w:val="24"/>
              </w:rPr>
              <w:t>最</w:t>
            </w:r>
            <w:r>
              <w:rPr>
                <w:rFonts w:hint="default" w:ascii="Times New Roman" w:hAnsi="Times New Roman" w:cs="Times New Roman"/>
                <w:bCs/>
                <w:color w:val="000000" w:themeColor="text1"/>
                <w:sz w:val="24"/>
                <w:szCs w:val="24"/>
              </w:rPr>
              <w:t>高允许排放浓度执行</w:t>
            </w:r>
            <w:r>
              <w:rPr>
                <w:rFonts w:hint="eastAsia" w:ascii="Times New Roman" w:hAnsi="Times New Roman" w:cs="Times New Roman"/>
                <w:bCs/>
                <w:color w:val="000000" w:themeColor="text1"/>
                <w:sz w:val="24"/>
                <w:szCs w:val="24"/>
                <w:lang w:val="en-US" w:eastAsia="zh-CN"/>
              </w:rPr>
              <w:t>200</w:t>
            </w:r>
            <w:r>
              <w:rPr>
                <w:rFonts w:hint="default" w:ascii="Times New Roman" w:hAnsi="Times New Roman" w:cs="Times New Roman"/>
                <w:bCs/>
                <w:color w:val="000000" w:themeColor="text1"/>
                <w:sz w:val="24"/>
                <w:szCs w:val="24"/>
              </w:rPr>
              <w:t>mg/m</w:t>
            </w:r>
            <w:r>
              <w:rPr>
                <w:rFonts w:hint="default" w:ascii="Times New Roman" w:hAnsi="Times New Roman" w:cs="Times New Roman"/>
                <w:bCs/>
                <w:color w:val="000000" w:themeColor="text1"/>
                <w:sz w:val="24"/>
                <w:szCs w:val="24"/>
                <w:vertAlign w:val="superscript"/>
              </w:rPr>
              <w:t>3</w:t>
            </w:r>
            <w:r>
              <w:rPr>
                <w:rFonts w:hint="default" w:ascii="Times New Roman" w:hAnsi="Times New Roman" w:cs="Times New Roman"/>
                <w:bCs/>
                <w:color w:val="000000" w:themeColor="text1"/>
                <w:sz w:val="24"/>
                <w:szCs w:val="24"/>
              </w:rPr>
              <w:t>、最高允许排放速率执行</w:t>
            </w:r>
            <w:r>
              <w:rPr>
                <w:rFonts w:hint="eastAsia" w:ascii="Times New Roman" w:hAnsi="Times New Roman" w:cs="Times New Roman"/>
                <w:bCs/>
                <w:color w:val="000000" w:themeColor="text1"/>
                <w:sz w:val="24"/>
                <w:szCs w:val="24"/>
                <w:lang w:val="en-US" w:eastAsia="zh-CN"/>
              </w:rPr>
              <w:t>0.47</w:t>
            </w:r>
            <w:r>
              <w:rPr>
                <w:rFonts w:hint="default" w:ascii="Times New Roman" w:hAnsi="Times New Roman" w:cs="Times New Roman"/>
                <w:bCs/>
                <w:color w:val="000000" w:themeColor="text1"/>
                <w:sz w:val="24"/>
                <w:szCs w:val="24"/>
              </w:rPr>
              <w:t>kg/h</w:t>
            </w:r>
            <w:r>
              <w:rPr>
                <w:rFonts w:hint="eastAsia" w:ascii="Times New Roman" w:hAnsi="Times New Roman" w:cs="Times New Roman"/>
                <w:bCs/>
                <w:color w:val="000000" w:themeColor="text1"/>
                <w:sz w:val="24"/>
                <w:szCs w:val="24"/>
                <w:lang w:eastAsia="zh-CN"/>
              </w:rPr>
              <w:t>。</w:t>
            </w:r>
          </w:p>
        </w:tc>
      </w:tr>
      <w:tr w14:paraId="66E7D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540727B4">
            <w:pPr>
              <w:adjustRightInd w:val="0"/>
              <w:snapToGrid w:val="0"/>
              <w:spacing w:line="240" w:lineRule="auto"/>
              <w:ind w:firstLine="0" w:firstLineChars="0"/>
              <w:jc w:val="center"/>
              <w:rPr>
                <w:color w:val="000000" w:themeColor="text1"/>
              </w:rPr>
            </w:pPr>
          </w:p>
        </w:tc>
        <w:tc>
          <w:tcPr>
            <w:tcW w:w="1618" w:type="dxa"/>
            <w:vMerge w:val="restart"/>
            <w:vAlign w:val="center"/>
          </w:tcPr>
          <w:p w14:paraId="4EC9F00F">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DA002</w:t>
            </w:r>
          </w:p>
        </w:tc>
        <w:tc>
          <w:tcPr>
            <w:tcW w:w="1492" w:type="dxa"/>
            <w:vAlign w:val="center"/>
          </w:tcPr>
          <w:p w14:paraId="0F154BCD">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颗粒物</w:t>
            </w:r>
          </w:p>
        </w:tc>
        <w:tc>
          <w:tcPr>
            <w:tcW w:w="1445" w:type="dxa"/>
            <w:vAlign w:val="center"/>
          </w:tcPr>
          <w:p w14:paraId="2D177E20">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1套布袋除尘+1根20m高排气筒</w:t>
            </w:r>
          </w:p>
        </w:tc>
        <w:tc>
          <w:tcPr>
            <w:tcW w:w="2997" w:type="dxa"/>
            <w:vAlign w:val="center"/>
          </w:tcPr>
          <w:p w14:paraId="3CC23637">
            <w:pPr>
              <w:pStyle w:val="55"/>
              <w:ind w:left="0" w:leftChars="0" w:firstLine="0" w:firstLineChars="0"/>
              <w:rPr>
                <w:rFonts w:hint="default" w:ascii="Times New Roman" w:hAnsi="Times New Roman" w:eastAsia="宋体" w:cs="Times New Roman"/>
                <w:color w:val="000000" w:themeColor="text1"/>
                <w:sz w:val="24"/>
                <w:szCs w:val="24"/>
                <w:lang w:val="en-US" w:eastAsia="zh-CN"/>
              </w:rPr>
            </w:pPr>
            <w:r>
              <w:rPr>
                <w:rFonts w:hint="eastAsia" w:ascii="Times New Roman" w:hAnsi="Times New Roman" w:cs="Times New Roman"/>
                <w:color w:val="000000" w:themeColor="text1"/>
                <w:sz w:val="24"/>
                <w:szCs w:val="24"/>
                <w:lang w:val="en-US" w:eastAsia="zh-CN"/>
              </w:rPr>
              <w:t>TSP</w:t>
            </w:r>
            <w:r>
              <w:rPr>
                <w:rFonts w:hint="default" w:ascii="Times New Roman" w:hAnsi="Times New Roman" w:cs="Times New Roman"/>
                <w:color w:val="000000" w:themeColor="text1"/>
                <w:sz w:val="24"/>
                <w:szCs w:val="24"/>
              </w:rPr>
              <w:t>最</w:t>
            </w:r>
            <w:r>
              <w:rPr>
                <w:rFonts w:hint="default" w:ascii="Times New Roman" w:hAnsi="Times New Roman" w:cs="Times New Roman"/>
                <w:bCs/>
                <w:color w:val="000000" w:themeColor="text1"/>
                <w:sz w:val="24"/>
                <w:szCs w:val="24"/>
              </w:rPr>
              <w:t>高允许排放浓度执行</w:t>
            </w:r>
            <w:r>
              <w:rPr>
                <w:rFonts w:hint="eastAsia" w:ascii="Times New Roman" w:hAnsi="Times New Roman" w:cs="Times New Roman"/>
                <w:bCs/>
                <w:color w:val="000000" w:themeColor="text1"/>
                <w:sz w:val="24"/>
                <w:szCs w:val="24"/>
                <w:lang w:val="en-US" w:eastAsia="zh-CN"/>
              </w:rPr>
              <w:t>15</w:t>
            </w:r>
            <w:r>
              <w:rPr>
                <w:rFonts w:hint="default" w:ascii="Times New Roman" w:hAnsi="Times New Roman" w:cs="Times New Roman"/>
                <w:bCs/>
                <w:color w:val="000000" w:themeColor="text1"/>
                <w:sz w:val="24"/>
                <w:szCs w:val="24"/>
              </w:rPr>
              <w:t>mg/m</w:t>
            </w:r>
            <w:r>
              <w:rPr>
                <w:rFonts w:hint="default" w:ascii="Times New Roman" w:hAnsi="Times New Roman" w:cs="Times New Roman"/>
                <w:bCs/>
                <w:color w:val="000000" w:themeColor="text1"/>
                <w:sz w:val="24"/>
                <w:szCs w:val="24"/>
                <w:vertAlign w:val="superscript"/>
              </w:rPr>
              <w:t>3</w:t>
            </w:r>
            <w:r>
              <w:rPr>
                <w:rFonts w:hint="default" w:ascii="Times New Roman" w:hAnsi="Times New Roman" w:cs="Times New Roman"/>
                <w:bCs/>
                <w:color w:val="000000" w:themeColor="text1"/>
                <w:sz w:val="24"/>
                <w:szCs w:val="24"/>
              </w:rPr>
              <w:t>、最高允许排放速率执行</w:t>
            </w:r>
            <w:r>
              <w:rPr>
                <w:rFonts w:hint="eastAsia" w:ascii="Times New Roman" w:hAnsi="Times New Roman" w:cs="Times New Roman"/>
                <w:bCs/>
                <w:color w:val="000000" w:themeColor="text1"/>
                <w:sz w:val="24"/>
                <w:szCs w:val="24"/>
                <w:lang w:val="en-US" w:eastAsia="zh-CN"/>
              </w:rPr>
              <w:t>0.36</w:t>
            </w:r>
            <w:r>
              <w:rPr>
                <w:rFonts w:hint="default" w:ascii="Times New Roman" w:hAnsi="Times New Roman" w:cs="Times New Roman"/>
                <w:bCs/>
                <w:color w:val="000000" w:themeColor="text1"/>
                <w:sz w:val="24"/>
                <w:szCs w:val="24"/>
              </w:rPr>
              <w:t>kg/h</w:t>
            </w:r>
          </w:p>
        </w:tc>
      </w:tr>
      <w:tr w14:paraId="0A0B4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20B6D288">
            <w:pPr>
              <w:adjustRightInd w:val="0"/>
              <w:snapToGrid w:val="0"/>
              <w:spacing w:line="240" w:lineRule="auto"/>
              <w:ind w:firstLine="0" w:firstLineChars="0"/>
              <w:jc w:val="center"/>
              <w:rPr>
                <w:color w:val="000000" w:themeColor="text1"/>
              </w:rPr>
            </w:pPr>
          </w:p>
        </w:tc>
        <w:tc>
          <w:tcPr>
            <w:tcW w:w="1618" w:type="dxa"/>
            <w:vMerge w:val="continue"/>
            <w:vAlign w:val="center"/>
          </w:tcPr>
          <w:p w14:paraId="51F4B459">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p>
        </w:tc>
        <w:tc>
          <w:tcPr>
            <w:tcW w:w="1492" w:type="dxa"/>
            <w:vAlign w:val="center"/>
          </w:tcPr>
          <w:p w14:paraId="1A5F0726">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非甲烷总烃</w:t>
            </w:r>
          </w:p>
        </w:tc>
        <w:tc>
          <w:tcPr>
            <w:tcW w:w="1445" w:type="dxa"/>
            <w:vMerge w:val="restart"/>
            <w:vAlign w:val="center"/>
          </w:tcPr>
          <w:p w14:paraId="1F937CC3">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冷凝+二级活性炭+1根20m高排气筒</w:t>
            </w:r>
          </w:p>
        </w:tc>
        <w:tc>
          <w:tcPr>
            <w:tcW w:w="2997" w:type="dxa"/>
            <w:vAlign w:val="center"/>
          </w:tcPr>
          <w:p w14:paraId="13669161">
            <w:pPr>
              <w:pStyle w:val="55"/>
              <w:ind w:left="0" w:leftChars="0" w:firstLine="0" w:firstLineChars="0"/>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rPr>
              <w:t>《挥发性有机物排放标准 第4部分：塑料制造业》（DB36/1101.</w:t>
            </w:r>
            <w:r>
              <w:rPr>
                <w:rFonts w:hint="eastAsia" w:ascii="Times New Roman" w:hAnsi="Times New Roman" w:cs="Times New Roman"/>
                <w:color w:val="000000" w:themeColor="text1"/>
                <w:sz w:val="24"/>
                <w:szCs w:val="24"/>
                <w:lang w:val="en-US" w:eastAsia="zh-CN"/>
              </w:rPr>
              <w:t>4</w:t>
            </w:r>
            <w:r>
              <w:rPr>
                <w:rFonts w:hint="default" w:ascii="Times New Roman" w:hAnsi="Times New Roman" w:cs="Times New Roman"/>
                <w:color w:val="000000" w:themeColor="text1"/>
                <w:sz w:val="24"/>
                <w:szCs w:val="24"/>
              </w:rPr>
              <w:t>-2019）</w:t>
            </w:r>
          </w:p>
        </w:tc>
      </w:tr>
      <w:tr w14:paraId="749D57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68590D7A">
            <w:pPr>
              <w:adjustRightInd w:val="0"/>
              <w:snapToGrid w:val="0"/>
              <w:spacing w:line="240" w:lineRule="auto"/>
              <w:ind w:firstLine="0" w:firstLineChars="0"/>
              <w:jc w:val="center"/>
              <w:rPr>
                <w:color w:val="000000" w:themeColor="text1"/>
              </w:rPr>
            </w:pPr>
          </w:p>
        </w:tc>
        <w:tc>
          <w:tcPr>
            <w:tcW w:w="1618" w:type="dxa"/>
            <w:vMerge w:val="continue"/>
            <w:vAlign w:val="center"/>
          </w:tcPr>
          <w:p w14:paraId="5413F098">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p>
        </w:tc>
        <w:tc>
          <w:tcPr>
            <w:tcW w:w="1492" w:type="dxa"/>
            <w:vAlign w:val="center"/>
          </w:tcPr>
          <w:p w14:paraId="6DF3E1F1">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臭气浓度</w:t>
            </w:r>
          </w:p>
        </w:tc>
        <w:tc>
          <w:tcPr>
            <w:tcW w:w="1445" w:type="dxa"/>
            <w:vMerge w:val="continue"/>
            <w:vAlign w:val="center"/>
          </w:tcPr>
          <w:p w14:paraId="1C0A81C0">
            <w:pPr>
              <w:adjustRightInd w:val="0"/>
              <w:snapToGrid w:val="0"/>
              <w:spacing w:line="240" w:lineRule="auto"/>
              <w:ind w:firstLine="0" w:firstLineChars="0"/>
              <w:jc w:val="center"/>
              <w:rPr>
                <w:rFonts w:hint="eastAsia" w:cs="Times New Roman"/>
                <w:color w:val="000000" w:themeColor="text1"/>
                <w:sz w:val="24"/>
                <w:szCs w:val="24"/>
                <w:lang w:val="en-US" w:eastAsia="zh-CN"/>
              </w:rPr>
            </w:pPr>
          </w:p>
        </w:tc>
        <w:tc>
          <w:tcPr>
            <w:tcW w:w="2997" w:type="dxa"/>
            <w:vAlign w:val="center"/>
          </w:tcPr>
          <w:p w14:paraId="0C4BCA17">
            <w:pPr>
              <w:pStyle w:val="55"/>
              <w:ind w:left="0" w:leftChars="0" w:firstLine="0" w:firstLineChars="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《恶臭污染物排</w:t>
            </w:r>
          </w:p>
          <w:p w14:paraId="3670268B">
            <w:pPr>
              <w:pStyle w:val="55"/>
              <w:ind w:left="0" w:leftChars="0" w:firstLine="0" w:firstLineChars="0"/>
              <w:rPr>
                <w:rFonts w:hint="default" w:ascii="Times New Roman" w:hAnsi="Times New Roman" w:cs="Times New Roman"/>
                <w:color w:val="000000" w:themeColor="text1"/>
                <w:sz w:val="24"/>
                <w:szCs w:val="24"/>
              </w:rPr>
            </w:pPr>
            <w:r>
              <w:rPr>
                <w:rFonts w:hint="default" w:ascii="Times New Roman" w:hAnsi="Times New Roman" w:eastAsia="宋体" w:cs="Times New Roman"/>
                <w:color w:val="000000" w:themeColor="text1"/>
                <w:sz w:val="24"/>
                <w:szCs w:val="24"/>
              </w:rPr>
              <w:t>放标准》（GB14554-93）</w:t>
            </w:r>
          </w:p>
        </w:tc>
      </w:tr>
      <w:tr w14:paraId="225E4C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5CF533E6">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p>
        </w:tc>
        <w:tc>
          <w:tcPr>
            <w:tcW w:w="1618" w:type="dxa"/>
            <w:vAlign w:val="center"/>
          </w:tcPr>
          <w:p w14:paraId="7379CDAE">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厂界</w:t>
            </w:r>
          </w:p>
        </w:tc>
        <w:tc>
          <w:tcPr>
            <w:tcW w:w="1492" w:type="dxa"/>
            <w:vAlign w:val="center"/>
          </w:tcPr>
          <w:p w14:paraId="0C32F65E">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颗粒物</w:t>
            </w:r>
          </w:p>
        </w:tc>
        <w:tc>
          <w:tcPr>
            <w:tcW w:w="1445" w:type="dxa"/>
            <w:vAlign w:val="center"/>
          </w:tcPr>
          <w:p w14:paraId="597D9C5C">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加强管理</w:t>
            </w:r>
          </w:p>
        </w:tc>
        <w:tc>
          <w:tcPr>
            <w:tcW w:w="2997" w:type="dxa"/>
            <w:vAlign w:val="center"/>
          </w:tcPr>
          <w:p w14:paraId="1E4195B9">
            <w:pPr>
              <w:pStyle w:val="55"/>
              <w:ind w:left="0" w:leftChars="0" w:firstLine="0" w:firstLineChars="0"/>
              <w:rPr>
                <w:rFonts w:hint="default" w:ascii="Times New Roman" w:hAnsi="Times New Roman" w:eastAsia="宋体" w:cs="Times New Roman"/>
                <w:color w:val="000000" w:themeColor="text1"/>
                <w:sz w:val="24"/>
                <w:szCs w:val="24"/>
                <w:lang w:val="en-US" w:eastAsia="zh-CN"/>
              </w:rPr>
            </w:pPr>
            <w:r>
              <w:rPr>
                <w:rFonts w:hint="eastAsia" w:ascii="Times New Roman" w:hAnsi="Times New Roman" w:eastAsia="宋体" w:cs="Times New Roman"/>
                <w:color w:val="000000" w:themeColor="text1"/>
                <w:sz w:val="24"/>
                <w:szCs w:val="24"/>
                <w:lang w:val="en-US" w:eastAsia="zh-CN"/>
              </w:rPr>
              <w:t>生产装置不得有明显无组织排放</w:t>
            </w:r>
          </w:p>
        </w:tc>
      </w:tr>
      <w:tr w14:paraId="0D861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3E21F5F5">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p>
        </w:tc>
        <w:tc>
          <w:tcPr>
            <w:tcW w:w="1618" w:type="dxa"/>
            <w:vAlign w:val="center"/>
          </w:tcPr>
          <w:p w14:paraId="656D8CBB">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default" w:ascii="Times New Roman" w:hAnsi="Times New Roman" w:eastAsia="宋体" w:cs="Times New Roman"/>
                <w:color w:val="000000" w:themeColor="text1"/>
                <w:sz w:val="24"/>
                <w:szCs w:val="24"/>
                <w:lang w:val="en-US" w:eastAsia="zh-CN"/>
              </w:rPr>
              <w:t>厂界</w:t>
            </w:r>
          </w:p>
        </w:tc>
        <w:tc>
          <w:tcPr>
            <w:tcW w:w="1492" w:type="dxa"/>
            <w:vAlign w:val="center"/>
          </w:tcPr>
          <w:p w14:paraId="11DB3F2A">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非甲烷总烃</w:t>
            </w:r>
          </w:p>
        </w:tc>
        <w:tc>
          <w:tcPr>
            <w:tcW w:w="1445" w:type="dxa"/>
            <w:vAlign w:val="center"/>
          </w:tcPr>
          <w:p w14:paraId="1FEEDAD9">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加强管理</w:t>
            </w:r>
          </w:p>
        </w:tc>
        <w:tc>
          <w:tcPr>
            <w:tcW w:w="2997" w:type="dxa"/>
            <w:vAlign w:val="center"/>
          </w:tcPr>
          <w:p w14:paraId="59E42404">
            <w:pPr>
              <w:pStyle w:val="55"/>
              <w:ind w:left="0" w:leftChars="0" w:firstLine="0" w:firstLineChars="0"/>
              <w:rPr>
                <w:rFonts w:hint="default" w:ascii="Times New Roman" w:hAnsi="Times New Roman" w:eastAsia="宋体" w:cs="Times New Roman"/>
                <w:color w:val="000000" w:themeColor="text1"/>
                <w:sz w:val="24"/>
                <w:szCs w:val="24"/>
                <w:lang w:val="en-US" w:eastAsia="zh-CN"/>
              </w:rPr>
            </w:pPr>
            <w:r>
              <w:rPr>
                <w:rFonts w:hint="default" w:ascii="Times New Roman" w:hAnsi="Times New Roman" w:cs="Times New Roman"/>
                <w:color w:val="000000" w:themeColor="text1"/>
                <w:sz w:val="24"/>
                <w:szCs w:val="24"/>
              </w:rPr>
              <w:t>《挥发性有机物排放标准 第4部分：塑料制造业》（DB36/1101.</w:t>
            </w:r>
            <w:r>
              <w:rPr>
                <w:rFonts w:hint="eastAsia" w:ascii="Times New Roman" w:hAnsi="Times New Roman" w:cs="Times New Roman"/>
                <w:color w:val="000000" w:themeColor="text1"/>
                <w:sz w:val="24"/>
                <w:szCs w:val="24"/>
                <w:lang w:val="en-US" w:eastAsia="zh-CN"/>
              </w:rPr>
              <w:t>4</w:t>
            </w:r>
            <w:r>
              <w:rPr>
                <w:rFonts w:hint="default" w:ascii="Times New Roman" w:hAnsi="Times New Roman" w:cs="Times New Roman"/>
                <w:color w:val="000000" w:themeColor="text1"/>
                <w:sz w:val="24"/>
                <w:szCs w:val="24"/>
              </w:rPr>
              <w:t>-2019）</w:t>
            </w:r>
          </w:p>
        </w:tc>
      </w:tr>
      <w:tr w14:paraId="41BEF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508" w:type="dxa"/>
            <w:vMerge w:val="continue"/>
            <w:vAlign w:val="center"/>
          </w:tcPr>
          <w:p w14:paraId="28FCDA72">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p>
        </w:tc>
        <w:tc>
          <w:tcPr>
            <w:tcW w:w="1618" w:type="dxa"/>
            <w:vAlign w:val="center"/>
          </w:tcPr>
          <w:p w14:paraId="601CC898">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厂界</w:t>
            </w:r>
          </w:p>
        </w:tc>
        <w:tc>
          <w:tcPr>
            <w:tcW w:w="1492" w:type="dxa"/>
            <w:vAlign w:val="center"/>
          </w:tcPr>
          <w:p w14:paraId="1F9D6ED9">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臭气浓度</w:t>
            </w:r>
          </w:p>
        </w:tc>
        <w:tc>
          <w:tcPr>
            <w:tcW w:w="1445" w:type="dxa"/>
            <w:vAlign w:val="center"/>
          </w:tcPr>
          <w:p w14:paraId="389378DB">
            <w:pPr>
              <w:adjustRightInd w:val="0"/>
              <w:snapToGrid w:val="0"/>
              <w:spacing w:line="240" w:lineRule="auto"/>
              <w:ind w:firstLine="0" w:firstLineChars="0"/>
              <w:jc w:val="center"/>
              <w:rPr>
                <w:rFonts w:hint="eastAsia" w:cs="Times New Roman"/>
                <w:color w:val="000000" w:themeColor="text1"/>
                <w:sz w:val="24"/>
                <w:szCs w:val="24"/>
                <w:lang w:val="en-US" w:eastAsia="zh-CN"/>
              </w:rPr>
            </w:pPr>
            <w:r>
              <w:rPr>
                <w:rFonts w:hint="eastAsia" w:cs="Times New Roman"/>
                <w:color w:val="000000" w:themeColor="text1"/>
                <w:sz w:val="24"/>
                <w:szCs w:val="24"/>
                <w:lang w:val="en-US" w:eastAsia="zh-CN"/>
              </w:rPr>
              <w:t>加强管理</w:t>
            </w:r>
          </w:p>
        </w:tc>
        <w:tc>
          <w:tcPr>
            <w:tcW w:w="2997" w:type="dxa"/>
            <w:vAlign w:val="center"/>
          </w:tcPr>
          <w:p w14:paraId="3881EF6A">
            <w:pPr>
              <w:pStyle w:val="55"/>
              <w:ind w:left="0" w:leftChars="0" w:firstLine="0" w:firstLineChars="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《恶臭污染物排</w:t>
            </w:r>
          </w:p>
          <w:p w14:paraId="0F41DF3E">
            <w:pPr>
              <w:pStyle w:val="55"/>
              <w:ind w:left="0" w:leftChars="0" w:firstLine="0" w:firstLineChars="0"/>
              <w:rPr>
                <w:rFonts w:hint="default" w:ascii="Times New Roman" w:hAnsi="Times New Roman" w:cs="Times New Roman"/>
                <w:color w:val="000000" w:themeColor="text1"/>
                <w:sz w:val="24"/>
                <w:szCs w:val="24"/>
              </w:rPr>
            </w:pPr>
            <w:r>
              <w:rPr>
                <w:rFonts w:hint="default" w:ascii="Times New Roman" w:hAnsi="Times New Roman" w:eastAsia="宋体" w:cs="Times New Roman"/>
                <w:color w:val="000000" w:themeColor="text1"/>
                <w:sz w:val="24"/>
                <w:szCs w:val="24"/>
              </w:rPr>
              <w:t>放标准》（GB14554-93）</w:t>
            </w:r>
          </w:p>
        </w:tc>
      </w:tr>
      <w:tr w14:paraId="24B335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08" w:type="dxa"/>
            <w:vAlign w:val="center"/>
          </w:tcPr>
          <w:p w14:paraId="2C2A94EC">
            <w:pPr>
              <w:adjustRightInd w:val="0"/>
              <w:snapToGrid w:val="0"/>
              <w:spacing w:line="240" w:lineRule="auto"/>
              <w:ind w:firstLine="0" w:firstLineChars="0"/>
              <w:jc w:val="center"/>
              <w:rPr>
                <w:rFonts w:hint="eastAsia" w:ascii="Times New Roman" w:hAnsi="Times New Roman" w:eastAsia="宋体" w:cs="Times New Roman"/>
                <w:b/>
                <w:bCs/>
                <w:color w:val="000000" w:themeColor="text1"/>
                <w:sz w:val="24"/>
                <w:szCs w:val="24"/>
                <w:lang w:val="en-US" w:eastAsia="zh-CN"/>
              </w:rPr>
            </w:pPr>
            <w:r>
              <w:rPr>
                <w:rFonts w:hint="eastAsia" w:cs="Times New Roman"/>
                <w:b/>
                <w:bCs/>
                <w:color w:val="000000" w:themeColor="text1"/>
                <w:sz w:val="24"/>
                <w:szCs w:val="24"/>
                <w:lang w:val="en-US" w:eastAsia="zh-CN"/>
              </w:rPr>
              <w:t>地表水环境</w:t>
            </w:r>
          </w:p>
        </w:tc>
        <w:tc>
          <w:tcPr>
            <w:tcW w:w="1618" w:type="dxa"/>
            <w:vAlign w:val="center"/>
          </w:tcPr>
          <w:p w14:paraId="6262F8F0">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废水排放口</w:t>
            </w:r>
          </w:p>
        </w:tc>
        <w:tc>
          <w:tcPr>
            <w:tcW w:w="1492" w:type="dxa"/>
            <w:vAlign w:val="center"/>
          </w:tcPr>
          <w:p w14:paraId="2600911D">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rPr>
            </w:pPr>
            <w:r>
              <w:rPr>
                <w:rFonts w:hint="eastAsia" w:cs="Times New Roman"/>
                <w:color w:val="000000" w:themeColor="text1"/>
                <w:lang w:val="en-US" w:eastAsia="zh-CN"/>
              </w:rPr>
              <w:t>COD</w:t>
            </w:r>
            <w:r>
              <w:rPr>
                <w:rFonts w:hint="eastAsia" w:cs="Times New Roman"/>
                <w:color w:val="000000" w:themeColor="text1"/>
                <w:vertAlign w:val="subscript"/>
                <w:lang w:val="en-US" w:eastAsia="zh-CN"/>
              </w:rPr>
              <w:t>cr</w:t>
            </w:r>
            <w:r>
              <w:rPr>
                <w:rFonts w:hint="eastAsia" w:cs="Times New Roman"/>
                <w:color w:val="000000" w:themeColor="text1"/>
                <w:lang w:val="en-US" w:eastAsia="zh-CN"/>
              </w:rPr>
              <w:t>、BOD</w:t>
            </w:r>
            <w:r>
              <w:rPr>
                <w:rFonts w:hint="eastAsia" w:cs="Times New Roman"/>
                <w:color w:val="000000" w:themeColor="text1"/>
                <w:vertAlign w:val="subscript"/>
                <w:lang w:val="en-US" w:eastAsia="zh-CN"/>
              </w:rPr>
              <w:t>5</w:t>
            </w:r>
            <w:r>
              <w:rPr>
                <w:rFonts w:hint="eastAsia" w:cs="Times New Roman"/>
                <w:color w:val="000000" w:themeColor="text1"/>
                <w:lang w:val="en-US" w:eastAsia="zh-CN"/>
              </w:rPr>
              <w:t>、SS、pH</w:t>
            </w:r>
          </w:p>
        </w:tc>
        <w:tc>
          <w:tcPr>
            <w:tcW w:w="1445" w:type="dxa"/>
            <w:tcBorders>
              <w:bottom w:val="single" w:color="auto" w:sz="4" w:space="0"/>
            </w:tcBorders>
            <w:vAlign w:val="center"/>
          </w:tcPr>
          <w:p w14:paraId="44B0F639">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eastAsia="zh-CN"/>
              </w:rPr>
            </w:pPr>
            <w:r>
              <w:rPr>
                <w:rFonts w:hint="eastAsia" w:cs="Times New Roman"/>
                <w:color w:val="000000" w:themeColor="text1"/>
                <w:sz w:val="24"/>
                <w:szCs w:val="24"/>
                <w:lang w:val="en-US" w:eastAsia="zh-CN"/>
              </w:rPr>
              <w:t>化粪池</w:t>
            </w:r>
          </w:p>
        </w:tc>
        <w:tc>
          <w:tcPr>
            <w:tcW w:w="2997" w:type="dxa"/>
            <w:tcBorders>
              <w:bottom w:val="single" w:color="auto" w:sz="4" w:space="0"/>
            </w:tcBorders>
            <w:vAlign w:val="center"/>
          </w:tcPr>
          <w:p w14:paraId="583DB10F">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eastAsia" w:cs="Times New Roman"/>
                <w:color w:val="000000" w:themeColor="text1"/>
                <w:lang w:val="en-US" w:eastAsia="zh-CN"/>
              </w:rPr>
              <w:t>赤湖工业园污水处理厂接管标准</w:t>
            </w:r>
          </w:p>
        </w:tc>
      </w:tr>
      <w:tr w14:paraId="49DBDC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508" w:type="dxa"/>
            <w:vAlign w:val="center"/>
          </w:tcPr>
          <w:p w14:paraId="63A98EF0">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声环境</w:t>
            </w:r>
          </w:p>
        </w:tc>
        <w:tc>
          <w:tcPr>
            <w:tcW w:w="1618" w:type="dxa"/>
            <w:vAlign w:val="center"/>
          </w:tcPr>
          <w:p w14:paraId="73F5CF48">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生产车间</w:t>
            </w:r>
          </w:p>
        </w:tc>
        <w:tc>
          <w:tcPr>
            <w:tcW w:w="1492" w:type="dxa"/>
            <w:vAlign w:val="center"/>
          </w:tcPr>
          <w:p w14:paraId="72B3D675">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设备噪声</w:t>
            </w:r>
          </w:p>
        </w:tc>
        <w:tc>
          <w:tcPr>
            <w:tcW w:w="1445" w:type="dxa"/>
            <w:tcBorders>
              <w:bottom w:val="single" w:color="auto" w:sz="4" w:space="0"/>
            </w:tcBorders>
            <w:vAlign w:val="center"/>
          </w:tcPr>
          <w:p w14:paraId="0AC62A7F">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w:t>
            </w:r>
          </w:p>
        </w:tc>
        <w:tc>
          <w:tcPr>
            <w:tcW w:w="2997" w:type="dxa"/>
            <w:tcBorders>
              <w:bottom w:val="single" w:color="auto" w:sz="4" w:space="0"/>
            </w:tcBorders>
            <w:vAlign w:val="center"/>
          </w:tcPr>
          <w:p w14:paraId="3E4B6167">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《工业企业厂界环境噪声排放标准》</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GB12348-2008</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3类标准</w:t>
            </w:r>
          </w:p>
        </w:tc>
      </w:tr>
      <w:tr w14:paraId="22CA88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08" w:type="dxa"/>
            <w:vMerge w:val="restart"/>
            <w:vAlign w:val="center"/>
          </w:tcPr>
          <w:p w14:paraId="422CA10C">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固体废物</w:t>
            </w:r>
          </w:p>
        </w:tc>
        <w:tc>
          <w:tcPr>
            <w:tcW w:w="3110" w:type="dxa"/>
            <w:gridSpan w:val="2"/>
            <w:vAlign w:val="center"/>
          </w:tcPr>
          <w:p w14:paraId="63F9E5BC">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lang w:val="en-US"/>
              </w:rPr>
            </w:pPr>
            <w:r>
              <w:rPr>
                <w:rFonts w:hint="default" w:ascii="Times New Roman" w:hAnsi="Times New Roman" w:eastAsia="宋体" w:cs="Times New Roman"/>
                <w:color w:val="000000" w:themeColor="text1"/>
                <w:sz w:val="24"/>
                <w:szCs w:val="24"/>
              </w:rPr>
              <w:t>废</w:t>
            </w:r>
            <w:r>
              <w:rPr>
                <w:rFonts w:hint="eastAsia" w:cs="Times New Roman"/>
                <w:color w:val="000000" w:themeColor="text1"/>
                <w:sz w:val="24"/>
                <w:szCs w:val="24"/>
                <w:lang w:val="en-US" w:eastAsia="zh-CN"/>
              </w:rPr>
              <w:t>润滑油、废润滑油桶、废冷凝液、废活性炭</w:t>
            </w:r>
          </w:p>
        </w:tc>
        <w:tc>
          <w:tcPr>
            <w:tcW w:w="1445" w:type="dxa"/>
            <w:vAlign w:val="center"/>
          </w:tcPr>
          <w:p w14:paraId="3F5B285B">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交由资质单位统一处理</w:t>
            </w:r>
          </w:p>
        </w:tc>
        <w:tc>
          <w:tcPr>
            <w:tcW w:w="2997" w:type="dxa"/>
            <w:vAlign w:val="center"/>
          </w:tcPr>
          <w:p w14:paraId="2824BB2B">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《危险废物贮存污染控制标准》</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GB18597-2001</w:t>
            </w:r>
            <w:r>
              <w:rPr>
                <w:rFonts w:hint="eastAsia"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rPr>
              <w:t>及修改单</w:t>
            </w:r>
          </w:p>
        </w:tc>
      </w:tr>
      <w:tr w14:paraId="53E48A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08" w:type="dxa"/>
            <w:vMerge w:val="continue"/>
            <w:vAlign w:val="center"/>
          </w:tcPr>
          <w:p w14:paraId="347836E1">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p>
        </w:tc>
        <w:tc>
          <w:tcPr>
            <w:tcW w:w="3110" w:type="dxa"/>
            <w:gridSpan w:val="2"/>
            <w:vAlign w:val="center"/>
          </w:tcPr>
          <w:p w14:paraId="282A15E8">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eastAsia" w:cs="Times New Roman"/>
                <w:color w:val="000000" w:themeColor="text1"/>
                <w:sz w:val="24"/>
                <w:szCs w:val="24"/>
                <w:lang w:val="en-US" w:eastAsia="zh-CN"/>
              </w:rPr>
              <w:t>废包装袋</w:t>
            </w:r>
          </w:p>
        </w:tc>
        <w:tc>
          <w:tcPr>
            <w:tcW w:w="1445" w:type="dxa"/>
            <w:vAlign w:val="center"/>
          </w:tcPr>
          <w:p w14:paraId="4A0FCA9E">
            <w:pPr>
              <w:adjustRightInd w:val="0"/>
              <w:snapToGrid w:val="0"/>
              <w:spacing w:line="240" w:lineRule="auto"/>
              <w:ind w:firstLine="0" w:firstLineChars="0"/>
              <w:jc w:val="center"/>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lang w:val="en-US" w:eastAsia="zh-CN"/>
              </w:rPr>
              <w:t>交由环卫部门清运</w:t>
            </w:r>
          </w:p>
        </w:tc>
        <w:tc>
          <w:tcPr>
            <w:tcW w:w="2997" w:type="dxa"/>
            <w:vMerge w:val="restart"/>
            <w:vAlign w:val="center"/>
          </w:tcPr>
          <w:p w14:paraId="3DE5A6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《一般工业固体废弃物贮存</w:t>
            </w:r>
            <w:r>
              <w:rPr>
                <w:rFonts w:hint="eastAsia" w:cs="Times New Roman"/>
                <w:color w:val="000000" w:themeColor="text1"/>
                <w:sz w:val="24"/>
                <w:szCs w:val="24"/>
                <w:lang w:val="en-US" w:eastAsia="zh-CN"/>
              </w:rPr>
              <w:t>和</w:t>
            </w:r>
            <w:r>
              <w:rPr>
                <w:rFonts w:hint="default" w:ascii="Times New Roman" w:hAnsi="Times New Roman" w:eastAsia="宋体" w:cs="Times New Roman"/>
                <w:color w:val="000000" w:themeColor="text1"/>
                <w:sz w:val="24"/>
                <w:szCs w:val="24"/>
              </w:rPr>
              <w:t>填埋污染控制标准》（GB18599-2020）</w:t>
            </w:r>
          </w:p>
        </w:tc>
      </w:tr>
      <w:tr w14:paraId="662B6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08" w:type="dxa"/>
            <w:vMerge w:val="continue"/>
            <w:vAlign w:val="center"/>
          </w:tcPr>
          <w:p w14:paraId="05F1BE02">
            <w:pPr>
              <w:adjustRightInd w:val="0"/>
              <w:snapToGrid w:val="0"/>
              <w:spacing w:line="240" w:lineRule="auto"/>
              <w:ind w:firstLine="0" w:firstLineChars="0"/>
              <w:jc w:val="center"/>
              <w:rPr>
                <w:color w:val="000000" w:themeColor="text1"/>
              </w:rPr>
            </w:pPr>
          </w:p>
        </w:tc>
        <w:tc>
          <w:tcPr>
            <w:tcW w:w="3110" w:type="dxa"/>
            <w:gridSpan w:val="2"/>
            <w:vAlign w:val="center"/>
          </w:tcPr>
          <w:p w14:paraId="6E7ED1C9">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布袋收集粉尘</w:t>
            </w:r>
          </w:p>
        </w:tc>
        <w:tc>
          <w:tcPr>
            <w:tcW w:w="1445" w:type="dxa"/>
            <w:vAlign w:val="center"/>
          </w:tcPr>
          <w:p w14:paraId="496C9D21">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回用于生产</w:t>
            </w:r>
          </w:p>
        </w:tc>
        <w:tc>
          <w:tcPr>
            <w:tcW w:w="2997" w:type="dxa"/>
            <w:vMerge w:val="continue"/>
            <w:vAlign w:val="center"/>
          </w:tcPr>
          <w:p w14:paraId="71E56FE0">
            <w:pPr>
              <w:adjustRightInd w:val="0"/>
              <w:snapToGrid w:val="0"/>
              <w:spacing w:line="240" w:lineRule="auto"/>
              <w:ind w:firstLine="0" w:firstLineChars="0"/>
              <w:jc w:val="center"/>
              <w:rPr>
                <w:rFonts w:hint="eastAsia" w:cs="Times New Roman"/>
                <w:color w:val="000000" w:themeColor="text1"/>
                <w:sz w:val="24"/>
                <w:szCs w:val="24"/>
                <w:lang w:val="en-US" w:eastAsia="zh-CN"/>
              </w:rPr>
            </w:pPr>
          </w:p>
        </w:tc>
      </w:tr>
      <w:tr w14:paraId="254A5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508" w:type="dxa"/>
            <w:vMerge w:val="continue"/>
            <w:vAlign w:val="center"/>
          </w:tcPr>
          <w:p w14:paraId="0F30EEEC">
            <w:pPr>
              <w:adjustRightInd w:val="0"/>
              <w:snapToGrid w:val="0"/>
              <w:spacing w:line="240" w:lineRule="auto"/>
              <w:ind w:firstLine="0" w:firstLineChars="0"/>
              <w:jc w:val="center"/>
              <w:rPr>
                <w:color w:val="000000" w:themeColor="text1"/>
              </w:rPr>
            </w:pPr>
          </w:p>
        </w:tc>
        <w:tc>
          <w:tcPr>
            <w:tcW w:w="3110" w:type="dxa"/>
            <w:gridSpan w:val="2"/>
            <w:vAlign w:val="center"/>
          </w:tcPr>
          <w:p w14:paraId="386E3BB5">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废布袋</w:t>
            </w:r>
          </w:p>
        </w:tc>
        <w:tc>
          <w:tcPr>
            <w:tcW w:w="1445" w:type="dxa"/>
            <w:vAlign w:val="center"/>
          </w:tcPr>
          <w:p w14:paraId="4025DDBC">
            <w:pPr>
              <w:adjustRightInd w:val="0"/>
              <w:snapToGrid w:val="0"/>
              <w:spacing w:line="240" w:lineRule="auto"/>
              <w:ind w:firstLine="0" w:firstLineChars="0"/>
              <w:jc w:val="center"/>
              <w:rPr>
                <w:rFonts w:hint="default" w:cs="Times New Roman"/>
                <w:color w:val="000000" w:themeColor="text1"/>
                <w:sz w:val="24"/>
                <w:szCs w:val="24"/>
                <w:lang w:val="en-US" w:eastAsia="zh-CN"/>
              </w:rPr>
            </w:pPr>
            <w:r>
              <w:rPr>
                <w:rFonts w:hint="eastAsia" w:cs="Times New Roman"/>
                <w:color w:val="000000" w:themeColor="text1"/>
                <w:sz w:val="24"/>
                <w:szCs w:val="24"/>
                <w:lang w:val="en-US" w:eastAsia="zh-CN"/>
              </w:rPr>
              <w:t>收集后外售</w:t>
            </w:r>
          </w:p>
        </w:tc>
        <w:tc>
          <w:tcPr>
            <w:tcW w:w="2997" w:type="dxa"/>
            <w:vMerge w:val="continue"/>
            <w:vAlign w:val="center"/>
          </w:tcPr>
          <w:p w14:paraId="0315688C">
            <w:pPr>
              <w:adjustRightInd w:val="0"/>
              <w:snapToGrid w:val="0"/>
              <w:spacing w:line="240" w:lineRule="auto"/>
              <w:ind w:firstLine="0" w:firstLineChars="0"/>
              <w:jc w:val="center"/>
              <w:rPr>
                <w:rFonts w:hint="eastAsia" w:cs="Times New Roman"/>
                <w:color w:val="000000" w:themeColor="text1"/>
                <w:sz w:val="24"/>
                <w:szCs w:val="24"/>
                <w:lang w:val="en-US" w:eastAsia="zh-CN"/>
              </w:rPr>
            </w:pPr>
          </w:p>
        </w:tc>
      </w:tr>
      <w:tr w14:paraId="22879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508" w:type="dxa"/>
            <w:vAlign w:val="center"/>
          </w:tcPr>
          <w:p w14:paraId="4397BCE3">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土壤及地下水污染防治措施</w:t>
            </w:r>
          </w:p>
        </w:tc>
        <w:tc>
          <w:tcPr>
            <w:tcW w:w="7552" w:type="dxa"/>
            <w:gridSpan w:val="4"/>
            <w:vAlign w:val="center"/>
          </w:tcPr>
          <w:p w14:paraId="564988C5">
            <w:pPr>
              <w:pStyle w:val="55"/>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sz w:val="24"/>
                <w:szCs w:val="24"/>
              </w:rPr>
            </w:pPr>
            <w:r>
              <w:rPr>
                <w:rFonts w:hint="default" w:ascii="Times New Roman" w:hAnsi="Times New Roman" w:cs="Times New Roman"/>
                <w:color w:val="000000" w:themeColor="text1"/>
                <w:sz w:val="24"/>
                <w:szCs w:val="24"/>
              </w:rPr>
              <w:t>按源头控制、分区防渗要求做好防护措施</w:t>
            </w:r>
            <w:r>
              <w:rPr>
                <w:rFonts w:hint="eastAsia" w:ascii="Times New Roman" w:hAnsi="Times New Roman" w:cs="Times New Roman"/>
                <w:color w:val="000000" w:themeColor="text1"/>
                <w:sz w:val="24"/>
                <w:szCs w:val="24"/>
                <w:lang w:eastAsia="zh-CN"/>
              </w:rPr>
              <w:t>。</w:t>
            </w:r>
            <w:r>
              <w:rPr>
                <w:rFonts w:hint="default" w:ascii="Times New Roman" w:hAnsi="Times New Roman" w:eastAsia="宋体" w:cs="Times New Roman"/>
                <w:color w:val="000000" w:themeColor="text1"/>
                <w:sz w:val="24"/>
                <w:szCs w:val="24"/>
                <w:lang w:val="en-US" w:eastAsia="zh-CN"/>
              </w:rPr>
              <w:t>根据本项目厂区可能泄漏至地面区域污染物的性质和生产单元的构筑方式，将</w:t>
            </w:r>
            <w:r>
              <w:rPr>
                <w:rFonts w:hint="eastAsia" w:ascii="Times New Roman" w:hAnsi="Times New Roman" w:eastAsia="宋体" w:cs="Times New Roman"/>
                <w:color w:val="000000" w:themeColor="text1"/>
                <w:sz w:val="24"/>
                <w:szCs w:val="24"/>
                <w:lang w:val="en-US" w:eastAsia="zh-CN"/>
              </w:rPr>
              <w:t>厂区</w:t>
            </w:r>
            <w:r>
              <w:rPr>
                <w:rFonts w:hint="default" w:ascii="Times New Roman" w:hAnsi="Times New Roman" w:eastAsia="宋体" w:cs="Times New Roman"/>
                <w:color w:val="000000" w:themeColor="text1"/>
                <w:sz w:val="24"/>
                <w:szCs w:val="24"/>
                <w:lang w:val="en-US" w:eastAsia="zh-CN"/>
              </w:rPr>
              <w:t>划分为重点污染防治区、一般污染防治区和</w:t>
            </w:r>
            <w:r>
              <w:rPr>
                <w:rFonts w:hint="eastAsia" w:ascii="Times New Roman" w:hAnsi="Times New Roman" w:eastAsia="宋体" w:cs="Times New Roman"/>
                <w:color w:val="000000" w:themeColor="text1"/>
                <w:sz w:val="24"/>
                <w:szCs w:val="24"/>
                <w:lang w:val="en-US" w:eastAsia="zh-CN"/>
              </w:rPr>
              <w:t>简</w:t>
            </w:r>
            <w:r>
              <w:rPr>
                <w:rFonts w:hint="eastAsia" w:cs="Times New Roman"/>
                <w:color w:val="000000" w:themeColor="text1"/>
                <w:sz w:val="24"/>
                <w:szCs w:val="24"/>
                <w:lang w:val="en-US" w:eastAsia="zh-CN"/>
              </w:rPr>
              <w:t>单污</w:t>
            </w:r>
            <w:r>
              <w:rPr>
                <w:rFonts w:hint="default" w:ascii="Times New Roman" w:hAnsi="Times New Roman" w:eastAsia="宋体" w:cs="Times New Roman"/>
                <w:color w:val="000000" w:themeColor="text1"/>
                <w:sz w:val="24"/>
                <w:szCs w:val="24"/>
                <w:lang w:val="en-US" w:eastAsia="zh-CN"/>
              </w:rPr>
              <w:t>染防治区，针对不同的区域提出相应的防渗措施。危废暂存库为本项目地下水重点污染区域</w:t>
            </w:r>
            <w:r>
              <w:rPr>
                <w:rFonts w:hint="eastAsia" w:ascii="Times New Roman" w:hAnsi="Times New Roman" w:eastAsia="宋体" w:cs="Times New Roman"/>
                <w:color w:val="000000" w:themeColor="text1"/>
                <w:sz w:val="24"/>
                <w:szCs w:val="24"/>
                <w:lang w:val="en-US" w:eastAsia="zh-CN"/>
              </w:rPr>
              <w:t>，重点防渗区的防渗性能应与6.0m厚粘土层（渗透系数1.0×10</w:t>
            </w:r>
            <w:r>
              <w:rPr>
                <w:rFonts w:hint="eastAsia" w:ascii="Times New Roman" w:hAnsi="Times New Roman" w:eastAsia="宋体" w:cs="Times New Roman"/>
                <w:color w:val="000000" w:themeColor="text1"/>
                <w:sz w:val="24"/>
                <w:szCs w:val="24"/>
                <w:vertAlign w:val="superscript"/>
                <w:lang w:val="en-US" w:eastAsia="zh-CN"/>
              </w:rPr>
              <w:t>-7</w:t>
            </w:r>
            <w:r>
              <w:rPr>
                <w:rFonts w:hint="eastAsia" w:ascii="Times New Roman" w:hAnsi="Times New Roman" w:eastAsia="宋体" w:cs="Times New Roman"/>
                <w:color w:val="000000" w:themeColor="text1"/>
                <w:sz w:val="24"/>
                <w:szCs w:val="24"/>
                <w:lang w:val="en-US" w:eastAsia="zh-CN"/>
              </w:rPr>
              <w:t>cm/s）等效</w:t>
            </w:r>
            <w:r>
              <w:rPr>
                <w:rFonts w:hint="default" w:ascii="Times New Roman" w:hAnsi="Times New Roman" w:eastAsia="宋体" w:cs="Times New Roman"/>
                <w:color w:val="000000" w:themeColor="text1"/>
                <w:sz w:val="24"/>
                <w:szCs w:val="24"/>
                <w:lang w:val="en-US" w:eastAsia="zh-CN"/>
              </w:rPr>
              <w:t>。一般固废暂存库</w:t>
            </w:r>
            <w:r>
              <w:rPr>
                <w:rFonts w:hint="eastAsia" w:ascii="Times New Roman" w:hAnsi="Times New Roman" w:eastAsia="宋体" w:cs="Times New Roman"/>
                <w:color w:val="000000" w:themeColor="text1"/>
                <w:sz w:val="24"/>
                <w:szCs w:val="24"/>
                <w:lang w:val="en-US" w:eastAsia="zh-CN"/>
              </w:rPr>
              <w:t>、化粪池为</w:t>
            </w:r>
            <w:r>
              <w:rPr>
                <w:rFonts w:hint="eastAsia" w:cs="Times New Roman"/>
                <w:color w:val="000000" w:themeColor="text1"/>
                <w:sz w:val="24"/>
                <w:szCs w:val="24"/>
                <w:lang w:val="en-US" w:eastAsia="zh-CN"/>
              </w:rPr>
              <w:t>一般防渗区</w:t>
            </w:r>
            <w:r>
              <w:rPr>
                <w:rFonts w:hint="eastAsia" w:ascii="Times New Roman" w:hAnsi="Times New Roman" w:eastAsia="宋体" w:cs="Times New Roman"/>
                <w:color w:val="000000" w:themeColor="text1"/>
                <w:sz w:val="24"/>
                <w:szCs w:val="24"/>
                <w:lang w:val="en-US" w:eastAsia="zh-CN"/>
              </w:rPr>
              <w:t>的防渗性能应与1.5m厚粘土层（渗透系数1.0×10</w:t>
            </w:r>
            <w:r>
              <w:rPr>
                <w:rFonts w:hint="eastAsia" w:ascii="Times New Roman" w:hAnsi="Times New Roman" w:eastAsia="宋体" w:cs="Times New Roman"/>
                <w:color w:val="000000" w:themeColor="text1"/>
                <w:sz w:val="24"/>
                <w:szCs w:val="24"/>
                <w:vertAlign w:val="superscript"/>
                <w:lang w:val="en-US" w:eastAsia="zh-CN"/>
              </w:rPr>
              <w:t>-7</w:t>
            </w:r>
            <w:r>
              <w:rPr>
                <w:rFonts w:hint="eastAsia" w:ascii="Times New Roman" w:hAnsi="Times New Roman" w:eastAsia="宋体" w:cs="Times New Roman"/>
                <w:color w:val="000000" w:themeColor="text1"/>
                <w:sz w:val="24"/>
                <w:szCs w:val="24"/>
                <w:lang w:val="en-US" w:eastAsia="zh-CN"/>
              </w:rPr>
              <w:t>cm/s）等效。厂房其他地面为简单防渗区，地面进行硬化处理。</w:t>
            </w:r>
          </w:p>
        </w:tc>
      </w:tr>
      <w:tr w14:paraId="35872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508" w:type="dxa"/>
            <w:vAlign w:val="center"/>
          </w:tcPr>
          <w:p w14:paraId="2A46BF40">
            <w:pPr>
              <w:adjustRightInd w:val="0"/>
              <w:snapToGrid w:val="0"/>
              <w:spacing w:line="240" w:lineRule="auto"/>
              <w:ind w:firstLine="0" w:firstLineChars="0"/>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rPr>
              <w:t>生态保护措施</w:t>
            </w:r>
          </w:p>
        </w:tc>
        <w:tc>
          <w:tcPr>
            <w:tcW w:w="7552" w:type="dxa"/>
            <w:gridSpan w:val="4"/>
            <w:vAlign w:val="center"/>
          </w:tcPr>
          <w:p w14:paraId="18589B81">
            <w:pPr>
              <w:pStyle w:val="55"/>
              <w:keepNext w:val="0"/>
              <w:keepLines w:val="0"/>
              <w:suppressLineNumbers w:val="0"/>
              <w:spacing w:before="0" w:beforeAutospacing="0" w:after="0" w:afterAutospacing="0"/>
              <w:ind w:left="0" w:leftChars="0" w:right="0" w:rightChars="0" w:firstLine="0" w:firstLineChars="0"/>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color w:val="000000" w:themeColor="text1"/>
                <w:sz w:val="24"/>
                <w:szCs w:val="24"/>
              </w:rPr>
              <w:t>三废治理</w:t>
            </w:r>
            <w:r>
              <w:rPr>
                <w:rFonts w:hint="eastAsia" w:ascii="Times New Roman" w:hAnsi="Times New Roman" w:eastAsia="宋体" w:cs="Times New Roman"/>
                <w:color w:val="000000" w:themeColor="text1"/>
                <w:sz w:val="24"/>
                <w:szCs w:val="24"/>
                <w:lang w:val="en-US" w:eastAsia="zh-CN"/>
              </w:rPr>
              <w:t>必须</w:t>
            </w:r>
            <w:r>
              <w:rPr>
                <w:rFonts w:hint="default" w:ascii="Times New Roman" w:hAnsi="Times New Roman" w:eastAsia="宋体" w:cs="Times New Roman"/>
                <w:color w:val="000000" w:themeColor="text1"/>
                <w:sz w:val="24"/>
                <w:szCs w:val="24"/>
              </w:rPr>
              <w:t>达标排放，同时加强绿化</w:t>
            </w:r>
          </w:p>
        </w:tc>
      </w:tr>
      <w:tr w14:paraId="36FDE2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508" w:type="dxa"/>
            <w:vAlign w:val="center"/>
          </w:tcPr>
          <w:p w14:paraId="02C53155">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8"/>
                <w:sz w:val="24"/>
                <w:szCs w:val="24"/>
              </w:rPr>
            </w:pPr>
            <w:r>
              <w:rPr>
                <w:rFonts w:hint="default" w:ascii="Times New Roman" w:hAnsi="Times New Roman" w:eastAsia="宋体" w:cs="Times New Roman"/>
                <w:b/>
                <w:bCs/>
                <w:color w:val="000000" w:themeColor="text1"/>
                <w:spacing w:val="-8"/>
                <w:sz w:val="24"/>
                <w:szCs w:val="24"/>
              </w:rPr>
              <w:t>环境风险</w:t>
            </w:r>
          </w:p>
          <w:p w14:paraId="1270DB28">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8"/>
                <w:sz w:val="24"/>
                <w:szCs w:val="24"/>
              </w:rPr>
            </w:pPr>
            <w:r>
              <w:rPr>
                <w:rFonts w:hint="default" w:ascii="Times New Roman" w:hAnsi="Times New Roman" w:eastAsia="宋体" w:cs="Times New Roman"/>
                <w:b/>
                <w:bCs/>
                <w:color w:val="000000" w:themeColor="text1"/>
                <w:spacing w:val="-8"/>
                <w:sz w:val="24"/>
                <w:szCs w:val="24"/>
              </w:rPr>
              <w:t>防范措施</w:t>
            </w:r>
          </w:p>
        </w:tc>
        <w:tc>
          <w:tcPr>
            <w:tcW w:w="7552" w:type="dxa"/>
            <w:gridSpan w:val="4"/>
            <w:vAlign w:val="center"/>
          </w:tcPr>
          <w:p w14:paraId="4948AC14">
            <w:pPr>
              <w:pStyle w:val="55"/>
              <w:ind w:left="0"/>
              <w:rPr>
                <w:rFonts w:hint="default" w:ascii="Times New Roman" w:hAnsi="Times New Roman" w:eastAsia="宋体" w:cs="Times New Roman"/>
                <w:color w:val="000000" w:themeColor="text1"/>
                <w:sz w:val="24"/>
                <w:szCs w:val="24"/>
                <w:lang w:eastAsia="zh-CN"/>
              </w:rPr>
            </w:pPr>
            <w:r>
              <w:rPr>
                <w:rFonts w:hint="default" w:ascii="Times New Roman" w:hAnsi="Times New Roman" w:cs="Times New Roman"/>
                <w:color w:val="000000" w:themeColor="text1"/>
                <w:sz w:val="24"/>
                <w:szCs w:val="24"/>
                <w:lang w:val="en-US" w:eastAsia="zh-CN"/>
              </w:rPr>
              <w:t>保证环保设施的正常稳定运行</w:t>
            </w:r>
          </w:p>
        </w:tc>
      </w:tr>
      <w:tr w14:paraId="028F43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08" w:type="dxa"/>
            <w:vAlign w:val="center"/>
          </w:tcPr>
          <w:p w14:paraId="4C90BBC6">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8"/>
                <w:sz w:val="24"/>
                <w:szCs w:val="24"/>
              </w:rPr>
            </w:pPr>
            <w:r>
              <w:rPr>
                <w:rFonts w:hint="default" w:ascii="Times New Roman" w:hAnsi="Times New Roman" w:eastAsia="宋体" w:cs="Times New Roman"/>
                <w:b/>
                <w:bCs/>
                <w:color w:val="000000" w:themeColor="text1"/>
                <w:spacing w:val="-8"/>
                <w:sz w:val="24"/>
                <w:szCs w:val="24"/>
              </w:rPr>
              <w:t>其他环境</w:t>
            </w:r>
          </w:p>
          <w:p w14:paraId="44C13149">
            <w:pPr>
              <w:adjustRightInd w:val="0"/>
              <w:snapToGrid w:val="0"/>
              <w:spacing w:line="240" w:lineRule="auto"/>
              <w:ind w:firstLine="0" w:firstLineChars="0"/>
              <w:jc w:val="center"/>
              <w:rPr>
                <w:rFonts w:hint="default" w:ascii="Times New Roman" w:hAnsi="Times New Roman" w:eastAsia="宋体" w:cs="Times New Roman"/>
                <w:b/>
                <w:bCs/>
                <w:color w:val="000000" w:themeColor="text1"/>
                <w:spacing w:val="-8"/>
                <w:sz w:val="24"/>
                <w:szCs w:val="24"/>
              </w:rPr>
            </w:pPr>
            <w:r>
              <w:rPr>
                <w:rFonts w:hint="default" w:ascii="Times New Roman" w:hAnsi="Times New Roman" w:eastAsia="宋体" w:cs="Times New Roman"/>
                <w:b/>
                <w:bCs/>
                <w:color w:val="000000" w:themeColor="text1"/>
                <w:spacing w:val="-8"/>
                <w:sz w:val="24"/>
                <w:szCs w:val="24"/>
              </w:rPr>
              <w:t>管理要求</w:t>
            </w:r>
          </w:p>
        </w:tc>
        <w:tc>
          <w:tcPr>
            <w:tcW w:w="7552" w:type="dxa"/>
            <w:gridSpan w:val="4"/>
            <w:vAlign w:val="center"/>
          </w:tcPr>
          <w:p w14:paraId="1368B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①加强环保设施的维护和管理，保证设备正常运行，落实环保资金，以实施治污措施，实现污染物达标排放。</w:t>
            </w:r>
          </w:p>
          <w:p w14:paraId="799D61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②建设单位应严格按环境影响报告表的要求认真落实“三同时”，明确职责，专人管理，切实做好环境管理工作，保证环保设施的正常运行。</w:t>
            </w:r>
          </w:p>
          <w:p w14:paraId="2203F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③</w:t>
            </w:r>
            <w:r>
              <w:rPr>
                <w:rFonts w:hint="default" w:ascii="Times New Roman" w:hAnsi="Times New Roman" w:cs="Times New Roman"/>
                <w:color w:val="000000" w:themeColor="text1"/>
                <w:sz w:val="24"/>
                <w:szCs w:val="24"/>
                <w:lang w:val="en-US" w:eastAsia="zh-CN"/>
              </w:rPr>
              <w:t>本项目</w:t>
            </w:r>
            <w:r>
              <w:rPr>
                <w:rFonts w:hint="default" w:ascii="Times New Roman" w:hAnsi="Times New Roman" w:eastAsia="宋体" w:cs="Times New Roman"/>
                <w:color w:val="000000" w:themeColor="text1"/>
                <w:sz w:val="24"/>
                <w:szCs w:val="24"/>
                <w:lang w:val="en-US" w:eastAsia="zh-CN"/>
              </w:rPr>
              <w:t>为</w:t>
            </w:r>
            <w:r>
              <w:rPr>
                <w:rFonts w:hint="eastAsia" w:cs="Times New Roman"/>
                <w:color w:val="000000" w:themeColor="text1"/>
                <w:sz w:val="24"/>
                <w:szCs w:val="24"/>
                <w:lang w:val="en-US" w:eastAsia="zh-CN"/>
              </w:rPr>
              <w:t>塑料零件及其他塑料制品制造以及非金属废料和碎屑加工处理</w:t>
            </w:r>
            <w:r>
              <w:rPr>
                <w:rFonts w:hint="default" w:ascii="Times New Roman" w:hAnsi="Times New Roman" w:eastAsia="宋体" w:cs="Times New Roman"/>
                <w:color w:val="000000" w:themeColor="text1"/>
                <w:sz w:val="24"/>
                <w:szCs w:val="24"/>
                <w:lang w:val="en-US" w:eastAsia="zh-CN"/>
              </w:rPr>
              <w:t>，属于《固定污染源排污许可分类管理名录（2019版）》中的“</w:t>
            </w:r>
            <w:r>
              <w:rPr>
                <w:rFonts w:hint="eastAsia"/>
                <w:color w:val="000000" w:themeColor="text1"/>
                <w:sz w:val="24"/>
                <w:highlight w:val="none"/>
                <w:lang w:val="en-US" w:eastAsia="zh-CN"/>
              </w:rPr>
              <w:t>二十四</w:t>
            </w:r>
            <w:r>
              <w:rPr>
                <w:color w:val="000000" w:themeColor="text1"/>
                <w:sz w:val="24"/>
                <w:highlight w:val="none"/>
              </w:rPr>
              <w:t>、</w:t>
            </w:r>
            <w:r>
              <w:rPr>
                <w:rFonts w:hint="eastAsia"/>
                <w:color w:val="000000" w:themeColor="text1"/>
                <w:sz w:val="24"/>
                <w:highlight w:val="none"/>
                <w:lang w:val="en-US" w:eastAsia="zh-CN"/>
              </w:rPr>
              <w:t>橡胶和塑料制品业 29 62</w:t>
            </w:r>
            <w:r>
              <w:rPr>
                <w:color w:val="000000" w:themeColor="text1"/>
                <w:sz w:val="24"/>
                <w:highlight w:val="none"/>
              </w:rPr>
              <w:t>、</w:t>
            </w:r>
            <w:r>
              <w:rPr>
                <w:rFonts w:hint="eastAsia"/>
                <w:color w:val="000000" w:themeColor="text1"/>
                <w:sz w:val="24"/>
                <w:highlight w:val="none"/>
                <w:lang w:val="en-US" w:eastAsia="zh-CN"/>
              </w:rPr>
              <w:t xml:space="preserve">塑料制品业 292 </w:t>
            </w:r>
            <w:r>
              <w:rPr>
                <w:rFonts w:hint="default" w:ascii="Times New Roman" w:hAnsi="Times New Roman" w:eastAsia="宋体" w:cs="Times New Roman"/>
                <w:color w:val="000000" w:themeColor="text1"/>
                <w:sz w:val="24"/>
                <w:highlight w:val="none"/>
                <w:lang w:val="en-US" w:eastAsia="zh-CN"/>
              </w:rPr>
              <w:t>塑料零件及其他塑料制品制造</w:t>
            </w:r>
            <w:r>
              <w:rPr>
                <w:rFonts w:hint="default" w:ascii="Times New Roman" w:hAnsi="Times New Roman" w:cs="Times New Roman"/>
                <w:color w:val="000000" w:themeColor="text1"/>
                <w:sz w:val="24"/>
                <w:szCs w:val="24"/>
                <w:lang w:val="en-US" w:eastAsia="zh-CN"/>
              </w:rPr>
              <w:t>”，应执行排污</w:t>
            </w:r>
            <w:r>
              <w:rPr>
                <w:rFonts w:hint="eastAsia" w:ascii="Times New Roman" w:hAnsi="Times New Roman" w:cs="Times New Roman"/>
                <w:color w:val="000000" w:themeColor="text1"/>
                <w:sz w:val="24"/>
                <w:szCs w:val="24"/>
                <w:lang w:val="en-US" w:eastAsia="zh-CN"/>
              </w:rPr>
              <w:t>简化</w:t>
            </w:r>
            <w:r>
              <w:rPr>
                <w:rFonts w:hint="default" w:ascii="Times New Roman" w:hAnsi="Times New Roman" w:cs="Times New Roman"/>
                <w:color w:val="000000" w:themeColor="text1"/>
                <w:sz w:val="24"/>
                <w:szCs w:val="24"/>
                <w:lang w:val="en-US" w:eastAsia="zh-CN"/>
              </w:rPr>
              <w:t>管理</w:t>
            </w:r>
            <w:r>
              <w:rPr>
                <w:rFonts w:hint="eastAsia" w:ascii="Times New Roman" w:hAnsi="Times New Roman" w:cs="Times New Roman"/>
                <w:color w:val="000000" w:themeColor="text1"/>
                <w:sz w:val="24"/>
                <w:szCs w:val="24"/>
                <w:lang w:val="en-US" w:eastAsia="zh-CN"/>
              </w:rPr>
              <w:t>；本项目还属于</w:t>
            </w:r>
            <w:r>
              <w:rPr>
                <w:rFonts w:hint="default" w:ascii="Times New Roman" w:hAnsi="Times New Roman" w:eastAsia="宋体" w:cs="Times New Roman"/>
                <w:color w:val="000000" w:themeColor="text1"/>
                <w:sz w:val="24"/>
                <w:szCs w:val="24"/>
                <w:lang w:val="en-US" w:eastAsia="zh-CN"/>
              </w:rPr>
              <w:t>“</w:t>
            </w:r>
            <w:r>
              <w:rPr>
                <w:rFonts w:hint="eastAsia" w:ascii="Times New Roman" w:hAnsi="Times New Roman" w:eastAsia="宋体" w:cs="Times New Roman"/>
                <w:color w:val="000000" w:themeColor="text1"/>
                <w:sz w:val="24"/>
                <w:szCs w:val="24"/>
                <w:lang w:val="en-US" w:eastAsia="zh-CN"/>
              </w:rPr>
              <w:t>三十七</w:t>
            </w:r>
            <w:r>
              <w:rPr>
                <w:color w:val="000000" w:themeColor="text1"/>
                <w:sz w:val="24"/>
                <w:highlight w:val="none"/>
              </w:rPr>
              <w:t>、</w:t>
            </w:r>
            <w:r>
              <w:rPr>
                <w:rFonts w:hint="eastAsia"/>
                <w:color w:val="000000" w:themeColor="text1"/>
                <w:sz w:val="24"/>
                <w:highlight w:val="none"/>
                <w:lang w:val="en-US" w:eastAsia="zh-CN"/>
              </w:rPr>
              <w:t>废弃资源综合利用业 42 93</w:t>
            </w:r>
            <w:r>
              <w:rPr>
                <w:color w:val="000000" w:themeColor="text1"/>
                <w:sz w:val="24"/>
                <w:highlight w:val="none"/>
              </w:rPr>
              <w:t>、</w:t>
            </w:r>
            <w:r>
              <w:rPr>
                <w:rFonts w:hint="eastAsia"/>
                <w:color w:val="000000" w:themeColor="text1"/>
                <w:sz w:val="24"/>
                <w:highlight w:val="none"/>
                <w:lang w:val="en-US" w:eastAsia="zh-CN"/>
              </w:rPr>
              <w:t xml:space="preserve">非金属废料和碎屑加工处理 422 </w:t>
            </w:r>
            <w:r>
              <w:rPr>
                <w:rFonts w:hint="eastAsia" w:ascii="Times New Roman" w:hAnsi="Times New Roman" w:eastAsia="宋体" w:cs="Times New Roman"/>
                <w:color w:val="000000" w:themeColor="text1"/>
                <w:sz w:val="24"/>
                <w:highlight w:val="none"/>
                <w:lang w:val="en-US" w:eastAsia="zh-CN"/>
              </w:rPr>
              <w:t>其他</w:t>
            </w:r>
            <w:r>
              <w:rPr>
                <w:rFonts w:hint="default" w:ascii="Times New Roman" w:hAnsi="Times New Roman" w:cs="Times New Roman"/>
                <w:color w:val="000000" w:themeColor="text1"/>
                <w:sz w:val="24"/>
                <w:szCs w:val="24"/>
                <w:lang w:val="en-US" w:eastAsia="zh-CN"/>
              </w:rPr>
              <w:t>”，</w:t>
            </w:r>
            <w:r>
              <w:rPr>
                <w:rFonts w:hint="eastAsia" w:cs="Times New Roman"/>
                <w:color w:val="000000" w:themeColor="text1"/>
                <w:sz w:val="24"/>
                <w:szCs w:val="24"/>
                <w:lang w:val="en-US" w:eastAsia="zh-CN"/>
              </w:rPr>
              <w:t>应登记管理</w:t>
            </w:r>
            <w:r>
              <w:rPr>
                <w:rFonts w:hint="eastAsia" w:cs="Times New Roman"/>
                <w:color w:val="000000" w:themeColor="text1"/>
                <w:kern w:val="0"/>
                <w:sz w:val="24"/>
                <w:szCs w:val="24"/>
                <w:lang w:val="en-US" w:eastAsia="zh-CN"/>
              </w:rPr>
              <w:t>；本项目最终实行简化管理。</w:t>
            </w:r>
            <w:r>
              <w:rPr>
                <w:rFonts w:hint="eastAsia" w:ascii="宋体" w:hAnsi="宋体" w:cs="宋体"/>
                <w:color w:val="000000" w:themeColor="text1"/>
                <w:sz w:val="24"/>
                <w:szCs w:val="24"/>
              </w:rPr>
              <w:t>严格按照《排污许可管理条例》及最新的分类管理名录进行排污许可证的申领工作，并严格执行自行监测要求。</w:t>
            </w:r>
          </w:p>
          <w:p w14:paraId="04ED6B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④废水排放口、固定噪声源、固体废物贮存和排气筒和危险废物等必须按照国家和江西省的有关规定进行建设，应符合“一明显、二合理、三便于”的要求，即环保标志明显，排污口设置合理，便于采集样品、便于监测计量、便于公众参与和监督管理。同时要求按照国家环保总局制定的《环境保护图形标志实施细则（试行）》的规定，设置与排污口相应的图形标志牌。</w:t>
            </w:r>
          </w:p>
          <w:p w14:paraId="121AE7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⑤建设单位应建立环境管理台账制度，落实环境管理台账记录的责任部门和责任人，明确工作职责，包括台账的记录、整理、维护和管理等，台账记录内容和频次须满足排污许可证环境管理要求，并对台账记录结果的真实性、完整性和规范性负责。</w:t>
            </w:r>
          </w:p>
          <w:p w14:paraId="2F4F752F">
            <w:pPr>
              <w:pStyle w:val="55"/>
              <w:keepNext w:val="0"/>
              <w:keepLines w:val="0"/>
              <w:pageBreakBefore w:val="0"/>
              <w:widowControl w:val="0"/>
              <w:kinsoku/>
              <w:wordWrap/>
              <w:overflowPunct/>
              <w:topLinePunct w:val="0"/>
              <w:autoSpaceDE/>
              <w:autoSpaceDN/>
              <w:bidi w:val="0"/>
              <w:adjustRightInd w:val="0"/>
              <w:snapToGrid w:val="0"/>
              <w:ind w:left="0" w:firstLine="480" w:firstLineChars="200"/>
              <w:jc w:val="both"/>
              <w:textAlignment w:val="auto"/>
              <w:rPr>
                <w:rFonts w:hint="default" w:ascii="Times New Roman" w:hAnsi="Times New Roman" w:eastAsia="宋体" w:cs="Times New Roman"/>
                <w:color w:val="000000" w:themeColor="text1"/>
                <w:sz w:val="24"/>
                <w:szCs w:val="24"/>
              </w:rPr>
            </w:pPr>
            <w:r>
              <w:rPr>
                <w:rFonts w:hint="default" w:ascii="Times New Roman" w:hAnsi="Times New Roman" w:cs="Times New Roman"/>
                <w:color w:val="000000" w:themeColor="text1"/>
                <w:sz w:val="24"/>
                <w:szCs w:val="24"/>
              </w:rPr>
              <w:t>⑥后续做好</w:t>
            </w:r>
            <w:r>
              <w:rPr>
                <w:rFonts w:hint="default" w:ascii="Times New Roman" w:hAnsi="Times New Roman" w:cs="Times New Roman"/>
                <w:color w:val="000000" w:themeColor="text1"/>
                <w:kern w:val="0"/>
                <w:sz w:val="24"/>
                <w:szCs w:val="24"/>
              </w:rPr>
              <w:t>环境突发事件应急预案制定和备案工作，开展定期演练。</w:t>
            </w:r>
          </w:p>
        </w:tc>
      </w:tr>
    </w:tbl>
    <w:p w14:paraId="2984ADDA">
      <w:pPr>
        <w:pStyle w:val="20"/>
        <w:spacing w:before="0" w:beforeAutospacing="0" w:after="0" w:afterAutospacing="0" w:line="240" w:lineRule="auto"/>
        <w:ind w:firstLine="2730" w:firstLineChars="1300"/>
        <w:jc w:val="both"/>
        <w:outlineLvl w:val="9"/>
        <w:rPr>
          <w:rFonts w:hint="default" w:ascii="Times New Roman" w:hAnsi="Times New Roman" w:eastAsia="宋体" w:cs="Times New Roman"/>
          <w:snapToGrid w:val="0"/>
          <w:color w:val="000000" w:themeColor="text1"/>
          <w:sz w:val="21"/>
          <w:szCs w:val="21"/>
        </w:rPr>
      </w:pPr>
    </w:p>
    <w:p w14:paraId="4C452691">
      <w:pPr>
        <w:pStyle w:val="20"/>
        <w:spacing w:before="0" w:beforeAutospacing="0" w:after="0" w:afterAutospacing="0" w:line="240" w:lineRule="auto"/>
        <w:ind w:firstLine="3900" w:firstLineChars="1300"/>
        <w:jc w:val="both"/>
        <w:outlineLvl w:val="9"/>
        <w:rPr>
          <w:rFonts w:hint="default" w:ascii="Times New Roman" w:hAnsi="Times New Roman" w:eastAsia="宋体" w:cs="Times New Roman"/>
          <w:snapToGrid w:val="0"/>
          <w:color w:val="000000" w:themeColor="text1"/>
          <w:sz w:val="30"/>
          <w:szCs w:val="30"/>
        </w:rPr>
      </w:pPr>
    </w:p>
    <w:p w14:paraId="5F2B31A3">
      <w:pPr>
        <w:pStyle w:val="20"/>
        <w:spacing w:before="0" w:beforeAutospacing="0" w:after="0" w:afterAutospacing="0" w:line="240" w:lineRule="auto"/>
        <w:ind w:firstLine="3900" w:firstLineChars="1300"/>
        <w:jc w:val="both"/>
        <w:outlineLvl w:val="0"/>
        <w:rPr>
          <w:rFonts w:hint="default" w:ascii="Times New Roman" w:hAnsi="Times New Roman" w:eastAsia="宋体" w:cs="Times New Roman"/>
          <w:snapToGrid w:val="0"/>
          <w:color w:val="000000" w:themeColor="text1"/>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1BFDA136">
      <w:pPr>
        <w:pStyle w:val="20"/>
        <w:spacing w:before="0" w:beforeAutospacing="0" w:after="0" w:afterAutospacing="0" w:line="240" w:lineRule="auto"/>
        <w:ind w:firstLine="3900" w:firstLineChars="1300"/>
        <w:jc w:val="both"/>
        <w:outlineLvl w:val="0"/>
        <w:rPr>
          <w:rFonts w:hint="default" w:ascii="Times New Roman" w:hAnsi="Times New Roman" w:eastAsia="宋体" w:cs="Times New Roman"/>
          <w:snapToGrid w:val="0"/>
          <w:color w:val="000000" w:themeColor="text1"/>
          <w:sz w:val="30"/>
          <w:szCs w:val="30"/>
        </w:rPr>
      </w:pPr>
      <w:r>
        <w:rPr>
          <w:rFonts w:hint="default" w:ascii="Times New Roman" w:hAnsi="Times New Roman" w:eastAsia="宋体" w:cs="Times New Roman"/>
          <w:snapToGrid w:val="0"/>
          <w:color w:val="000000" w:themeColor="text1"/>
          <w:sz w:val="30"/>
          <w:szCs w:val="30"/>
        </w:rPr>
        <w:t>六、结论</w:t>
      </w:r>
    </w:p>
    <w:tbl>
      <w:tblPr>
        <w:tblStyle w:val="3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002B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5103B6C2">
            <w:pPr>
              <w:pStyle w:val="12"/>
              <w:widowControl w:val="0"/>
              <w:autoSpaceDE w:val="0"/>
              <w:autoSpaceDN w:val="0"/>
              <w:snapToGrid/>
              <w:spacing w:before="123" w:after="0" w:line="364" w:lineRule="auto"/>
              <w:ind w:right="-15" w:firstLine="448"/>
              <w:jc w:val="left"/>
              <w:rPr>
                <w:rFonts w:hint="default" w:ascii="Times New Roman" w:hAnsi="Times New Roman" w:eastAsia="宋体" w:cs="Times New Roman"/>
                <w:color w:val="000000" w:themeColor="text1"/>
                <w:spacing w:val="-8"/>
                <w:sz w:val="24"/>
                <w:szCs w:val="24"/>
                <w:lang w:val="zh-CN" w:bidi="zh-CN"/>
              </w:rPr>
            </w:pPr>
            <w:r>
              <w:rPr>
                <w:rFonts w:hint="default" w:ascii="Times New Roman" w:hAnsi="Times New Roman" w:eastAsia="宋体" w:cs="Times New Roman"/>
                <w:color w:val="000000" w:themeColor="text1"/>
                <w:spacing w:val="-8"/>
                <w:sz w:val="24"/>
                <w:szCs w:val="24"/>
                <w:lang w:val="zh-CN" w:bidi="zh-CN"/>
              </w:rPr>
              <w:t>本项目在生产过程中会产生废气、废水、噪声、固体废物等，在全面落实本报告表提出的各项环境保护措施的基础上，切实做到“三同时”，并在营运期内持之以恒加强环境管理的前提下，从环境保护角度，本项目环境影响可行。</w:t>
            </w:r>
          </w:p>
          <w:p w14:paraId="77C08549">
            <w:pPr>
              <w:ind w:firstLine="480"/>
              <w:rPr>
                <w:rFonts w:hint="default" w:ascii="Times New Roman" w:hAnsi="Times New Roman" w:eastAsia="宋体" w:cs="Times New Roman"/>
                <w:color w:val="000000" w:themeColor="text1"/>
              </w:rPr>
            </w:pPr>
          </w:p>
        </w:tc>
      </w:tr>
    </w:tbl>
    <w:p w14:paraId="43692534">
      <w:pPr>
        <w:rPr>
          <w:rFonts w:hint="default" w:ascii="Times New Roman" w:hAnsi="Times New Roman" w:eastAsia="宋体" w:cs="Times New Roman"/>
          <w:color w:val="000000" w:themeColor="text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5C51C00">
      <w:pPr>
        <w:pStyle w:val="20"/>
        <w:adjustRightInd w:val="0"/>
        <w:snapToGrid w:val="0"/>
        <w:spacing w:before="0" w:beforeAutospacing="0" w:after="0" w:afterAutospacing="0"/>
        <w:ind w:firstLine="640"/>
        <w:outlineLvl w:val="0"/>
        <w:rPr>
          <w:rFonts w:hint="default" w:ascii="Times New Roman" w:hAnsi="Times New Roman" w:eastAsia="宋体" w:cs="Times New Roman"/>
          <w:snapToGrid w:val="0"/>
          <w:color w:val="000000" w:themeColor="text1"/>
          <w:sz w:val="32"/>
          <w:szCs w:val="32"/>
        </w:rPr>
      </w:pPr>
      <w:r>
        <w:rPr>
          <w:rFonts w:hint="default" w:ascii="Times New Roman" w:hAnsi="Times New Roman" w:eastAsia="宋体" w:cs="Times New Roman"/>
          <w:snapToGrid w:val="0"/>
          <w:color w:val="000000" w:themeColor="text1"/>
          <w:sz w:val="32"/>
          <w:szCs w:val="32"/>
        </w:rPr>
        <w:t>附表</w:t>
      </w:r>
    </w:p>
    <w:p w14:paraId="3CEBE040">
      <w:pPr>
        <w:pStyle w:val="20"/>
        <w:adjustRightInd w:val="0"/>
        <w:snapToGrid w:val="0"/>
        <w:spacing w:before="0" w:beforeAutospacing="0" w:after="0" w:afterAutospacing="0" w:line="240" w:lineRule="auto"/>
        <w:ind w:firstLine="0" w:firstLineChars="0"/>
        <w:jc w:val="center"/>
        <w:outlineLvl w:val="0"/>
        <w:rPr>
          <w:rFonts w:hint="default" w:ascii="Times New Roman" w:hAnsi="Times New Roman" w:eastAsia="宋体" w:cs="Times New Roman"/>
          <w:snapToGrid w:val="0"/>
          <w:color w:val="000000" w:themeColor="text1"/>
          <w:sz w:val="38"/>
          <w:szCs w:val="38"/>
        </w:rPr>
      </w:pPr>
      <w:r>
        <w:rPr>
          <w:rFonts w:hint="default" w:ascii="Times New Roman" w:hAnsi="Times New Roman" w:eastAsia="宋体" w:cs="Times New Roman"/>
          <w:snapToGrid w:val="0"/>
          <w:color w:val="000000" w:themeColor="text1"/>
          <w:sz w:val="38"/>
          <w:szCs w:val="38"/>
        </w:rPr>
        <w:t>建设项目污染物排放量汇总表</w:t>
      </w:r>
    </w:p>
    <w:tbl>
      <w:tblPr>
        <w:tblStyle w:val="33"/>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668"/>
        <w:gridCol w:w="1701"/>
        <w:gridCol w:w="1276"/>
        <w:gridCol w:w="1424"/>
        <w:gridCol w:w="1701"/>
        <w:gridCol w:w="1275"/>
        <w:gridCol w:w="1843"/>
        <w:gridCol w:w="1563"/>
      </w:tblGrid>
      <w:tr w14:paraId="391F2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337" w:type="dxa"/>
            <w:tcBorders>
              <w:tl2br w:val="single" w:color="auto" w:sz="4" w:space="0"/>
            </w:tcBorders>
            <w:tcMar>
              <w:left w:w="28" w:type="dxa"/>
              <w:right w:w="28" w:type="dxa"/>
            </w:tcMar>
            <w:vAlign w:val="center"/>
          </w:tcPr>
          <w:p w14:paraId="5CBF0F9D">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 xml:space="preserve">  项目</w:t>
            </w:r>
          </w:p>
          <w:p w14:paraId="1B1BBFBC">
            <w:pPr>
              <w:pStyle w:val="55"/>
              <w:keepNext w:val="0"/>
              <w:keepLines w:val="0"/>
              <w:pageBreakBefore w:val="0"/>
              <w:widowControl w:val="0"/>
              <w:kinsoku/>
              <w:wordWrap/>
              <w:overflowPunct/>
              <w:topLinePunct w:val="0"/>
              <w:autoSpaceDE/>
              <w:autoSpaceDN/>
              <w:bidi w:val="0"/>
              <w:spacing w:line="240" w:lineRule="auto"/>
              <w:ind w:left="0" w:firstLine="0" w:firstLineChars="0"/>
              <w:jc w:val="both"/>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分类</w:t>
            </w:r>
          </w:p>
        </w:tc>
        <w:tc>
          <w:tcPr>
            <w:tcW w:w="1668" w:type="dxa"/>
            <w:tcMar>
              <w:left w:w="28" w:type="dxa"/>
              <w:right w:w="28" w:type="dxa"/>
            </w:tcMar>
            <w:vAlign w:val="center"/>
          </w:tcPr>
          <w:p w14:paraId="5DB855F2">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污染物名称</w:t>
            </w:r>
          </w:p>
        </w:tc>
        <w:tc>
          <w:tcPr>
            <w:tcW w:w="1701" w:type="dxa"/>
            <w:tcMar>
              <w:left w:w="28" w:type="dxa"/>
              <w:right w:w="28" w:type="dxa"/>
            </w:tcMar>
            <w:vAlign w:val="center"/>
          </w:tcPr>
          <w:p w14:paraId="255FA8F7">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现有工程排放量（固体废物产生量）</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1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①</w:t>
            </w:r>
            <w:r>
              <w:rPr>
                <w:rFonts w:hint="default" w:ascii="Times New Roman" w:hAnsi="Times New Roman" w:eastAsia="宋体" w:cs="Times New Roman"/>
                <w:b/>
                <w:bCs/>
                <w:color w:val="000000" w:themeColor="text1"/>
              </w:rPr>
              <w:fldChar w:fldCharType="end"/>
            </w:r>
          </w:p>
        </w:tc>
        <w:tc>
          <w:tcPr>
            <w:tcW w:w="1276" w:type="dxa"/>
            <w:tcMar>
              <w:left w:w="28" w:type="dxa"/>
              <w:right w:w="28" w:type="dxa"/>
            </w:tcMar>
            <w:vAlign w:val="center"/>
          </w:tcPr>
          <w:p w14:paraId="4A10502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现有工程</w:t>
            </w:r>
          </w:p>
          <w:p w14:paraId="794D8B5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许可排放量</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2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②</w:t>
            </w:r>
            <w:r>
              <w:rPr>
                <w:rFonts w:hint="default" w:ascii="Times New Roman" w:hAnsi="Times New Roman" w:eastAsia="宋体" w:cs="Times New Roman"/>
                <w:b/>
                <w:bCs/>
                <w:color w:val="000000" w:themeColor="text1"/>
              </w:rPr>
              <w:fldChar w:fldCharType="end"/>
            </w:r>
          </w:p>
        </w:tc>
        <w:tc>
          <w:tcPr>
            <w:tcW w:w="1424" w:type="dxa"/>
            <w:tcMar>
              <w:left w:w="28" w:type="dxa"/>
              <w:right w:w="28" w:type="dxa"/>
            </w:tcMar>
            <w:vAlign w:val="center"/>
          </w:tcPr>
          <w:p w14:paraId="26630932">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在建工程排放量（固体废物产生量）</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3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③</w:t>
            </w:r>
            <w:r>
              <w:rPr>
                <w:rFonts w:hint="default" w:ascii="Times New Roman" w:hAnsi="Times New Roman" w:eastAsia="宋体" w:cs="Times New Roman"/>
                <w:b/>
                <w:bCs/>
                <w:color w:val="000000" w:themeColor="text1"/>
              </w:rPr>
              <w:fldChar w:fldCharType="end"/>
            </w:r>
          </w:p>
        </w:tc>
        <w:tc>
          <w:tcPr>
            <w:tcW w:w="1701" w:type="dxa"/>
            <w:tcMar>
              <w:left w:w="28" w:type="dxa"/>
              <w:right w:w="28" w:type="dxa"/>
            </w:tcMar>
            <w:vAlign w:val="center"/>
          </w:tcPr>
          <w:p w14:paraId="6E9DE35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本项目</w:t>
            </w:r>
          </w:p>
          <w:p w14:paraId="78BF3B5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排放量（固体废物产生量）</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4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④</w:t>
            </w:r>
            <w:r>
              <w:rPr>
                <w:rFonts w:hint="default" w:ascii="Times New Roman" w:hAnsi="Times New Roman" w:eastAsia="宋体" w:cs="Times New Roman"/>
                <w:b/>
                <w:bCs/>
                <w:color w:val="000000" w:themeColor="text1"/>
              </w:rPr>
              <w:fldChar w:fldCharType="end"/>
            </w:r>
          </w:p>
        </w:tc>
        <w:tc>
          <w:tcPr>
            <w:tcW w:w="1275" w:type="dxa"/>
            <w:tcMar>
              <w:left w:w="28" w:type="dxa"/>
              <w:right w:w="28" w:type="dxa"/>
            </w:tcMar>
            <w:vAlign w:val="center"/>
          </w:tcPr>
          <w:p w14:paraId="65BB6A3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以新带老削减量（新建项目不填）</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5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⑤</w:t>
            </w:r>
            <w:r>
              <w:rPr>
                <w:rFonts w:hint="default" w:ascii="Times New Roman" w:hAnsi="Times New Roman" w:eastAsia="宋体" w:cs="Times New Roman"/>
                <w:b/>
                <w:bCs/>
                <w:color w:val="000000" w:themeColor="text1"/>
              </w:rPr>
              <w:fldChar w:fldCharType="end"/>
            </w:r>
          </w:p>
        </w:tc>
        <w:tc>
          <w:tcPr>
            <w:tcW w:w="1843" w:type="dxa"/>
            <w:tcMar>
              <w:left w:w="28" w:type="dxa"/>
              <w:right w:w="28" w:type="dxa"/>
            </w:tcMar>
            <w:vAlign w:val="center"/>
          </w:tcPr>
          <w:p w14:paraId="1CBF135D">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本项目建成后</w:t>
            </w:r>
          </w:p>
          <w:p w14:paraId="404DDE26">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全厂排放量（固体废物产生量）</w:t>
            </w: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6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⑥</w:t>
            </w:r>
            <w:r>
              <w:rPr>
                <w:rFonts w:hint="default" w:ascii="Times New Roman" w:hAnsi="Times New Roman" w:eastAsia="宋体" w:cs="Times New Roman"/>
                <w:b/>
                <w:bCs/>
                <w:color w:val="000000" w:themeColor="text1"/>
              </w:rPr>
              <w:fldChar w:fldCharType="end"/>
            </w:r>
          </w:p>
        </w:tc>
        <w:tc>
          <w:tcPr>
            <w:tcW w:w="1563" w:type="dxa"/>
            <w:tcMar>
              <w:left w:w="28" w:type="dxa"/>
              <w:right w:w="28" w:type="dxa"/>
            </w:tcMar>
            <w:vAlign w:val="center"/>
          </w:tcPr>
          <w:p w14:paraId="1F04455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t>变化量</w:t>
            </w:r>
          </w:p>
          <w:p w14:paraId="6771EEFC">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b/>
                <w:bCs/>
                <w:color w:val="000000" w:themeColor="text1"/>
              </w:rPr>
            </w:pPr>
            <w:r>
              <w:rPr>
                <w:rFonts w:hint="default" w:ascii="Times New Roman" w:hAnsi="Times New Roman" w:eastAsia="宋体" w:cs="Times New Roman"/>
                <w:b/>
                <w:bCs/>
                <w:color w:val="000000" w:themeColor="text1"/>
              </w:rPr>
              <w:fldChar w:fldCharType="begin"/>
            </w:r>
            <w:r>
              <w:rPr>
                <w:rFonts w:hint="default" w:ascii="Times New Roman" w:hAnsi="Times New Roman" w:eastAsia="宋体" w:cs="Times New Roman"/>
                <w:b/>
                <w:bCs/>
                <w:color w:val="000000" w:themeColor="text1"/>
              </w:rPr>
              <w:instrText xml:space="preserve"> = 7 \* GB3 \* MERGEFORMAT </w:instrText>
            </w:r>
            <w:r>
              <w:rPr>
                <w:rFonts w:hint="default" w:ascii="Times New Roman" w:hAnsi="Times New Roman" w:eastAsia="宋体" w:cs="Times New Roman"/>
                <w:b/>
                <w:bCs/>
                <w:color w:val="000000" w:themeColor="text1"/>
              </w:rPr>
              <w:fldChar w:fldCharType="separate"/>
            </w:r>
            <w:r>
              <w:rPr>
                <w:rFonts w:hint="default" w:ascii="Times New Roman" w:hAnsi="Times New Roman" w:eastAsia="宋体" w:cs="Times New Roman"/>
                <w:b/>
                <w:bCs/>
                <w:color w:val="000000" w:themeColor="text1"/>
              </w:rPr>
              <w:t>⑦</w:t>
            </w:r>
            <w:r>
              <w:rPr>
                <w:rFonts w:hint="default" w:ascii="Times New Roman" w:hAnsi="Times New Roman" w:eastAsia="宋体" w:cs="Times New Roman"/>
                <w:b/>
                <w:bCs/>
                <w:color w:val="000000" w:themeColor="text1"/>
              </w:rPr>
              <w:fldChar w:fldCharType="end"/>
            </w:r>
          </w:p>
        </w:tc>
      </w:tr>
      <w:tr w14:paraId="643C0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restart"/>
            <w:vAlign w:val="center"/>
          </w:tcPr>
          <w:p w14:paraId="4AA1F47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废气</w:t>
            </w:r>
          </w:p>
        </w:tc>
        <w:tc>
          <w:tcPr>
            <w:tcW w:w="1668" w:type="dxa"/>
            <w:vAlign w:val="center"/>
          </w:tcPr>
          <w:p w14:paraId="273DDA07">
            <w:pPr>
              <w:pStyle w:val="55"/>
              <w:ind w:left="0" w:leftChars="0" w:firstLine="0" w:firstLineChars="0"/>
              <w:rPr>
                <w:rFonts w:hint="default" w:ascii="Times New Roman" w:hAnsi="Times New Roman" w:eastAsia="宋体" w:cs="Times New Roman"/>
                <w:color w:val="000000" w:themeColor="text1"/>
              </w:rPr>
            </w:pPr>
            <w:r>
              <w:rPr>
                <w:rFonts w:hint="eastAsia" w:cs="Times New Roman"/>
                <w:color w:val="000000" w:themeColor="text1"/>
                <w:lang w:val="en-US" w:eastAsia="zh-CN"/>
              </w:rPr>
              <w:t>TVOC</w:t>
            </w:r>
          </w:p>
        </w:tc>
        <w:tc>
          <w:tcPr>
            <w:tcW w:w="1701" w:type="dxa"/>
            <w:vAlign w:val="center"/>
          </w:tcPr>
          <w:p w14:paraId="45588475">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w:t>
            </w:r>
          </w:p>
        </w:tc>
        <w:tc>
          <w:tcPr>
            <w:tcW w:w="1276" w:type="dxa"/>
            <w:vAlign w:val="center"/>
          </w:tcPr>
          <w:p w14:paraId="33477AC4">
            <w:pPr>
              <w:pStyle w:val="55"/>
              <w:ind w:left="0" w:leftChars="0" w:firstLine="0" w:firstLineChars="0"/>
              <w:rPr>
                <w:rFonts w:hint="eastAsia"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w:t>
            </w:r>
          </w:p>
        </w:tc>
        <w:tc>
          <w:tcPr>
            <w:tcW w:w="1424" w:type="dxa"/>
            <w:vAlign w:val="center"/>
          </w:tcPr>
          <w:p w14:paraId="3E6095AC">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46943647">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1.458</w:t>
            </w:r>
            <w:r>
              <w:rPr>
                <w:rFonts w:hint="eastAsia" w:ascii="Times New Roman" w:hAnsi="Times New Roman" w:eastAsia="宋体" w:cs="Times New Roman"/>
                <w:color w:val="000000" w:themeColor="text1"/>
                <w:lang w:val="en-US" w:eastAsia="zh-CN"/>
              </w:rPr>
              <w:t>t/a</w:t>
            </w:r>
          </w:p>
        </w:tc>
        <w:tc>
          <w:tcPr>
            <w:tcW w:w="1275" w:type="dxa"/>
            <w:vAlign w:val="center"/>
          </w:tcPr>
          <w:p w14:paraId="42ECD2F3">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0</w:t>
            </w:r>
          </w:p>
        </w:tc>
        <w:tc>
          <w:tcPr>
            <w:tcW w:w="1843" w:type="dxa"/>
            <w:vAlign w:val="center"/>
          </w:tcPr>
          <w:p w14:paraId="013D3B1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1.458</w:t>
            </w:r>
            <w:r>
              <w:rPr>
                <w:rFonts w:hint="eastAsia" w:ascii="Times New Roman" w:hAnsi="Times New Roman" w:eastAsia="宋体" w:cs="Times New Roman"/>
                <w:color w:val="000000" w:themeColor="text1"/>
                <w:lang w:val="en-US" w:eastAsia="zh-CN"/>
              </w:rPr>
              <w:t>t/a</w:t>
            </w:r>
          </w:p>
        </w:tc>
        <w:tc>
          <w:tcPr>
            <w:tcW w:w="1563" w:type="dxa"/>
            <w:vAlign w:val="center"/>
          </w:tcPr>
          <w:p w14:paraId="304EAE8E">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+1.458</w:t>
            </w:r>
            <w:r>
              <w:rPr>
                <w:rFonts w:hint="eastAsia" w:ascii="Times New Roman" w:hAnsi="Times New Roman" w:eastAsia="宋体" w:cs="Times New Roman"/>
                <w:color w:val="000000" w:themeColor="text1"/>
                <w:lang w:val="en-US" w:eastAsia="zh-CN"/>
              </w:rPr>
              <w:t>t/a</w:t>
            </w:r>
          </w:p>
        </w:tc>
      </w:tr>
      <w:tr w14:paraId="1FB96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41E9F79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63991D59">
            <w:pPr>
              <w:pStyle w:val="55"/>
              <w:ind w:left="0" w:leftChars="0" w:firstLine="0" w:firstLineChars="0"/>
              <w:rPr>
                <w:rFonts w:hint="default" w:cs="Times New Roman"/>
                <w:color w:val="000000" w:themeColor="text1"/>
                <w:lang w:val="en-US" w:eastAsia="zh-CN"/>
              </w:rPr>
            </w:pPr>
            <w:r>
              <w:rPr>
                <w:rFonts w:hint="eastAsia" w:cs="Times New Roman"/>
                <w:color w:val="000000" w:themeColor="text1"/>
                <w:lang w:val="en-US" w:eastAsia="zh-CN"/>
              </w:rPr>
              <w:t>颗粒物</w:t>
            </w:r>
          </w:p>
        </w:tc>
        <w:tc>
          <w:tcPr>
            <w:tcW w:w="1701" w:type="dxa"/>
            <w:vAlign w:val="center"/>
          </w:tcPr>
          <w:p w14:paraId="4143077F">
            <w:pPr>
              <w:pStyle w:val="55"/>
              <w:ind w:left="0" w:leftChars="0" w:firstLine="0" w:firstLineChars="0"/>
              <w:rPr>
                <w:rFonts w:hint="eastAsia"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0.922</w:t>
            </w:r>
            <w:r>
              <w:rPr>
                <w:rFonts w:hint="eastAsia" w:ascii="Times New Roman" w:hAnsi="Times New Roman" w:eastAsia="宋体" w:cs="Times New Roman"/>
                <w:color w:val="000000" w:themeColor="text1"/>
                <w:lang w:val="en-US" w:eastAsia="zh-CN"/>
              </w:rPr>
              <w:t>t/a</w:t>
            </w:r>
          </w:p>
        </w:tc>
        <w:tc>
          <w:tcPr>
            <w:tcW w:w="1276" w:type="dxa"/>
            <w:vAlign w:val="center"/>
          </w:tcPr>
          <w:p w14:paraId="743514F0">
            <w:pPr>
              <w:pStyle w:val="55"/>
              <w:ind w:left="0" w:leftChars="0" w:firstLine="0" w:firstLineChars="0"/>
              <w:rPr>
                <w:rFonts w:hint="eastAsia"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0.922</w:t>
            </w:r>
            <w:r>
              <w:rPr>
                <w:rFonts w:hint="eastAsia" w:ascii="Times New Roman" w:hAnsi="Times New Roman" w:eastAsia="宋体" w:cs="Times New Roman"/>
                <w:color w:val="000000" w:themeColor="text1"/>
                <w:lang w:val="en-US" w:eastAsia="zh-CN"/>
              </w:rPr>
              <w:t>t/a</w:t>
            </w:r>
          </w:p>
        </w:tc>
        <w:tc>
          <w:tcPr>
            <w:tcW w:w="1424" w:type="dxa"/>
            <w:vAlign w:val="center"/>
          </w:tcPr>
          <w:p w14:paraId="4259F749">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536C07CD">
            <w:pPr>
              <w:pStyle w:val="77"/>
              <w:spacing w:line="240" w:lineRule="auto"/>
              <w:ind w:firstLine="0" w:firstLineChars="0"/>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0.986</w:t>
            </w:r>
            <w:r>
              <w:rPr>
                <w:rFonts w:hint="eastAsia" w:ascii="Times New Roman" w:hAnsi="Times New Roman" w:eastAsia="宋体" w:cs="Times New Roman"/>
                <w:color w:val="000000" w:themeColor="text1"/>
                <w:lang w:val="en-US" w:eastAsia="zh-CN"/>
              </w:rPr>
              <w:t>t/a</w:t>
            </w:r>
          </w:p>
        </w:tc>
        <w:tc>
          <w:tcPr>
            <w:tcW w:w="1275" w:type="dxa"/>
            <w:vAlign w:val="center"/>
          </w:tcPr>
          <w:p w14:paraId="0D0878EE">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c>
          <w:tcPr>
            <w:tcW w:w="1843" w:type="dxa"/>
            <w:vAlign w:val="center"/>
          </w:tcPr>
          <w:p w14:paraId="51BDFDD2">
            <w:pPr>
              <w:pStyle w:val="77"/>
              <w:spacing w:line="240" w:lineRule="auto"/>
              <w:ind w:firstLine="0" w:firstLineChars="0"/>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1.908</w:t>
            </w:r>
            <w:r>
              <w:rPr>
                <w:rFonts w:hint="eastAsia" w:ascii="Times New Roman" w:hAnsi="Times New Roman" w:eastAsia="宋体" w:cs="Times New Roman"/>
                <w:color w:val="000000" w:themeColor="text1"/>
                <w:lang w:val="en-US" w:eastAsia="zh-CN"/>
              </w:rPr>
              <w:t>t/a</w:t>
            </w:r>
          </w:p>
        </w:tc>
        <w:tc>
          <w:tcPr>
            <w:tcW w:w="1563" w:type="dxa"/>
            <w:vAlign w:val="center"/>
          </w:tcPr>
          <w:p w14:paraId="449EE77F">
            <w:pPr>
              <w:pStyle w:val="77"/>
              <w:spacing w:line="240" w:lineRule="auto"/>
              <w:ind w:firstLine="0" w:firstLineChars="0"/>
              <w:jc w:val="center"/>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+0.986</w:t>
            </w:r>
            <w:r>
              <w:rPr>
                <w:rFonts w:hint="eastAsia" w:ascii="Times New Roman" w:hAnsi="Times New Roman" w:eastAsia="宋体" w:cs="Times New Roman"/>
                <w:color w:val="000000" w:themeColor="text1"/>
                <w:lang w:val="en-US" w:eastAsia="zh-CN"/>
              </w:rPr>
              <w:t>t/a</w:t>
            </w:r>
          </w:p>
        </w:tc>
      </w:tr>
      <w:tr w14:paraId="48A25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58B4975D">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72B67ADB">
            <w:pPr>
              <w:pStyle w:val="55"/>
              <w:ind w:left="0" w:leftChars="0" w:firstLine="0" w:firstLineChars="0"/>
              <w:rPr>
                <w:rFonts w:hint="default" w:ascii="Times New Roman" w:hAnsi="Times New Roman" w:eastAsia="宋体" w:cs="Times New Roman"/>
                <w:color w:val="000000" w:themeColor="text1"/>
              </w:rPr>
            </w:pPr>
            <w:r>
              <w:rPr>
                <w:rFonts w:hint="eastAsia" w:cs="Times New Roman"/>
                <w:color w:val="000000" w:themeColor="text1"/>
                <w:lang w:val="en-US" w:eastAsia="zh-CN"/>
              </w:rPr>
              <w:t>SO</w:t>
            </w:r>
            <w:r>
              <w:rPr>
                <w:rFonts w:hint="eastAsia" w:cs="Times New Roman"/>
                <w:color w:val="000000" w:themeColor="text1"/>
                <w:vertAlign w:val="subscript"/>
                <w:lang w:val="en-US" w:eastAsia="zh-CN"/>
              </w:rPr>
              <w:t>2</w:t>
            </w:r>
          </w:p>
        </w:tc>
        <w:tc>
          <w:tcPr>
            <w:tcW w:w="1701" w:type="dxa"/>
            <w:vAlign w:val="center"/>
          </w:tcPr>
          <w:p w14:paraId="224BA71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c>
          <w:tcPr>
            <w:tcW w:w="1276" w:type="dxa"/>
            <w:vAlign w:val="center"/>
          </w:tcPr>
          <w:p w14:paraId="29A240D7">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c>
          <w:tcPr>
            <w:tcW w:w="1424" w:type="dxa"/>
            <w:vAlign w:val="center"/>
          </w:tcPr>
          <w:p w14:paraId="574FF63C">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2617F348">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0.016</w:t>
            </w:r>
            <w:r>
              <w:rPr>
                <w:rFonts w:hint="eastAsia" w:ascii="Times New Roman" w:hAnsi="Times New Roman" w:eastAsia="宋体" w:cs="Times New Roman"/>
                <w:color w:val="000000" w:themeColor="text1"/>
                <w:lang w:val="en-US" w:eastAsia="zh-CN"/>
              </w:rPr>
              <w:t>t/a</w:t>
            </w:r>
          </w:p>
        </w:tc>
        <w:tc>
          <w:tcPr>
            <w:tcW w:w="1275" w:type="dxa"/>
            <w:vAlign w:val="center"/>
          </w:tcPr>
          <w:p w14:paraId="62DCC885">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12122046">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0.216</w:t>
            </w:r>
            <w:r>
              <w:rPr>
                <w:rFonts w:hint="eastAsia" w:ascii="Times New Roman" w:hAnsi="Times New Roman" w:eastAsia="宋体" w:cs="Times New Roman"/>
                <w:color w:val="000000" w:themeColor="text1"/>
                <w:lang w:val="en-US" w:eastAsia="zh-CN"/>
              </w:rPr>
              <w:t>t/a</w:t>
            </w:r>
          </w:p>
        </w:tc>
        <w:tc>
          <w:tcPr>
            <w:tcW w:w="1563" w:type="dxa"/>
            <w:vAlign w:val="center"/>
          </w:tcPr>
          <w:p w14:paraId="69324202">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+0.016</w:t>
            </w:r>
            <w:r>
              <w:rPr>
                <w:rFonts w:hint="eastAsia" w:ascii="Times New Roman" w:hAnsi="Times New Roman" w:eastAsia="宋体" w:cs="Times New Roman"/>
                <w:color w:val="000000" w:themeColor="text1"/>
                <w:lang w:val="en-US" w:eastAsia="zh-CN"/>
              </w:rPr>
              <w:t>t/a</w:t>
            </w:r>
          </w:p>
        </w:tc>
      </w:tr>
      <w:tr w14:paraId="6AF74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68E92B74">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5C727595">
            <w:pPr>
              <w:pStyle w:val="55"/>
              <w:ind w:left="0" w:leftChars="0" w:firstLine="0" w:firstLineChars="0"/>
              <w:rPr>
                <w:rFonts w:hint="eastAsia" w:ascii="Times New Roman" w:hAnsi="Times New Roman" w:eastAsia="宋体" w:cs="Times New Roman"/>
                <w:color w:val="000000" w:themeColor="text1"/>
                <w:lang w:eastAsia="zh-CN"/>
              </w:rPr>
            </w:pPr>
            <w:r>
              <w:rPr>
                <w:rFonts w:hint="eastAsia" w:cs="Times New Roman"/>
                <w:color w:val="000000" w:themeColor="text1"/>
                <w:lang w:val="en-US" w:eastAsia="zh-CN"/>
              </w:rPr>
              <w:t>NOx</w:t>
            </w:r>
          </w:p>
        </w:tc>
        <w:tc>
          <w:tcPr>
            <w:tcW w:w="1701" w:type="dxa"/>
            <w:vAlign w:val="center"/>
          </w:tcPr>
          <w:p w14:paraId="489E0BA7">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1.86</w:t>
            </w:r>
            <w:r>
              <w:rPr>
                <w:rFonts w:hint="eastAsia" w:ascii="Times New Roman" w:hAnsi="Times New Roman" w:eastAsia="宋体" w:cs="Times New Roman"/>
                <w:color w:val="000000" w:themeColor="text1"/>
                <w:lang w:val="en-US" w:eastAsia="zh-CN"/>
              </w:rPr>
              <w:t>t/a</w:t>
            </w:r>
          </w:p>
        </w:tc>
        <w:tc>
          <w:tcPr>
            <w:tcW w:w="1276" w:type="dxa"/>
            <w:vAlign w:val="center"/>
          </w:tcPr>
          <w:p w14:paraId="208F153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1.86</w:t>
            </w:r>
            <w:r>
              <w:rPr>
                <w:rFonts w:hint="eastAsia" w:ascii="Times New Roman" w:hAnsi="Times New Roman" w:eastAsia="宋体" w:cs="Times New Roman"/>
                <w:color w:val="000000" w:themeColor="text1"/>
                <w:lang w:val="en-US" w:eastAsia="zh-CN"/>
              </w:rPr>
              <w:t>t/a</w:t>
            </w:r>
          </w:p>
        </w:tc>
        <w:tc>
          <w:tcPr>
            <w:tcW w:w="1424" w:type="dxa"/>
            <w:vAlign w:val="center"/>
          </w:tcPr>
          <w:p w14:paraId="3E65136C">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6C132A93">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0.075</w:t>
            </w:r>
            <w:r>
              <w:rPr>
                <w:rFonts w:hint="eastAsia" w:ascii="Times New Roman" w:hAnsi="Times New Roman" w:eastAsia="宋体" w:cs="Times New Roman"/>
                <w:color w:val="000000" w:themeColor="text1"/>
                <w:lang w:val="en-US" w:eastAsia="zh-CN"/>
              </w:rPr>
              <w:t>t/a</w:t>
            </w:r>
          </w:p>
        </w:tc>
        <w:tc>
          <w:tcPr>
            <w:tcW w:w="1275" w:type="dxa"/>
            <w:vAlign w:val="center"/>
          </w:tcPr>
          <w:p w14:paraId="53602E0F">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5C2BD482">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1.935</w:t>
            </w:r>
            <w:r>
              <w:rPr>
                <w:rFonts w:hint="eastAsia" w:ascii="Times New Roman" w:hAnsi="Times New Roman" w:eastAsia="宋体" w:cs="Times New Roman"/>
                <w:color w:val="000000" w:themeColor="text1"/>
                <w:lang w:val="en-US" w:eastAsia="zh-CN"/>
              </w:rPr>
              <w:t>t/a</w:t>
            </w:r>
          </w:p>
        </w:tc>
        <w:tc>
          <w:tcPr>
            <w:tcW w:w="1563" w:type="dxa"/>
            <w:vAlign w:val="center"/>
          </w:tcPr>
          <w:p w14:paraId="2D1D2F47">
            <w:pPr>
              <w:pStyle w:val="77"/>
              <w:spacing w:line="240" w:lineRule="auto"/>
              <w:ind w:firstLine="0" w:firstLineChars="0"/>
              <w:jc w:val="center"/>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z w:val="21"/>
                <w:szCs w:val="21"/>
                <w:lang w:val="en-US" w:eastAsia="zh-CN"/>
              </w:rPr>
              <w:t>+0.075</w:t>
            </w:r>
            <w:r>
              <w:rPr>
                <w:rFonts w:hint="eastAsia" w:ascii="Times New Roman" w:hAnsi="Times New Roman" w:eastAsia="宋体" w:cs="Times New Roman"/>
                <w:color w:val="000000" w:themeColor="text1"/>
                <w:lang w:val="en-US" w:eastAsia="zh-CN"/>
              </w:rPr>
              <w:t>t/a</w:t>
            </w:r>
          </w:p>
        </w:tc>
      </w:tr>
      <w:tr w14:paraId="2A272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restart"/>
            <w:vAlign w:val="center"/>
          </w:tcPr>
          <w:p w14:paraId="1C8F56F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废水</w:t>
            </w:r>
          </w:p>
        </w:tc>
        <w:tc>
          <w:tcPr>
            <w:tcW w:w="1668" w:type="dxa"/>
            <w:vAlign w:val="center"/>
          </w:tcPr>
          <w:p w14:paraId="63F642A3">
            <w:pPr>
              <w:pStyle w:val="100"/>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eastAsia" w:cs="Times New Roman"/>
                <w:color w:val="000000" w:themeColor="text1"/>
                <w:szCs w:val="21"/>
                <w:lang w:val="en-US" w:eastAsia="zh-CN"/>
              </w:rPr>
              <w:t>COD</w:t>
            </w:r>
            <w:r>
              <w:rPr>
                <w:rFonts w:hint="eastAsia" w:cs="Times New Roman"/>
                <w:color w:val="000000" w:themeColor="text1"/>
                <w:szCs w:val="21"/>
                <w:vertAlign w:val="subscript"/>
                <w:lang w:val="en-US" w:eastAsia="zh-CN"/>
              </w:rPr>
              <w:t>cr</w:t>
            </w:r>
          </w:p>
        </w:tc>
        <w:tc>
          <w:tcPr>
            <w:tcW w:w="1701" w:type="dxa"/>
            <w:vAlign w:val="center"/>
          </w:tcPr>
          <w:p w14:paraId="7177F358">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0.41</w:t>
            </w:r>
            <w:r>
              <w:rPr>
                <w:rFonts w:hint="eastAsia" w:ascii="Times New Roman" w:hAnsi="Times New Roman" w:eastAsia="宋体" w:cs="Times New Roman"/>
                <w:color w:val="000000" w:themeColor="text1"/>
                <w:lang w:val="en-US" w:eastAsia="zh-CN"/>
              </w:rPr>
              <w:t>t/a</w:t>
            </w:r>
          </w:p>
        </w:tc>
        <w:tc>
          <w:tcPr>
            <w:tcW w:w="1276" w:type="dxa"/>
            <w:vAlign w:val="center"/>
          </w:tcPr>
          <w:p w14:paraId="02A88C3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0.41</w:t>
            </w:r>
            <w:r>
              <w:rPr>
                <w:rFonts w:hint="eastAsia" w:ascii="Times New Roman" w:hAnsi="Times New Roman" w:eastAsia="宋体" w:cs="Times New Roman"/>
                <w:color w:val="000000" w:themeColor="text1"/>
                <w:lang w:val="en-US" w:eastAsia="zh-CN"/>
              </w:rPr>
              <w:t>t/a</w:t>
            </w:r>
          </w:p>
        </w:tc>
        <w:tc>
          <w:tcPr>
            <w:tcW w:w="1424" w:type="dxa"/>
            <w:vAlign w:val="center"/>
          </w:tcPr>
          <w:p w14:paraId="612CFE2C">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638DE598">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0.008</w:t>
            </w:r>
            <w:r>
              <w:rPr>
                <w:rFonts w:hint="eastAsia" w:ascii="Times New Roman" w:hAnsi="Times New Roman" w:eastAsia="宋体" w:cs="Times New Roman"/>
                <w:color w:val="000000" w:themeColor="text1"/>
                <w:lang w:val="en-US" w:eastAsia="zh-CN"/>
              </w:rPr>
              <w:t>t/a</w:t>
            </w:r>
          </w:p>
        </w:tc>
        <w:tc>
          <w:tcPr>
            <w:tcW w:w="1275" w:type="dxa"/>
            <w:vAlign w:val="center"/>
          </w:tcPr>
          <w:p w14:paraId="721CC40D">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1841CB90">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0.418</w:t>
            </w:r>
            <w:r>
              <w:rPr>
                <w:rFonts w:hint="eastAsia" w:ascii="Times New Roman" w:hAnsi="Times New Roman" w:eastAsia="宋体" w:cs="Times New Roman"/>
                <w:color w:val="000000" w:themeColor="text1"/>
                <w:lang w:val="en-US" w:eastAsia="zh-CN"/>
              </w:rPr>
              <w:t>t/a</w:t>
            </w:r>
          </w:p>
        </w:tc>
        <w:tc>
          <w:tcPr>
            <w:tcW w:w="1563" w:type="dxa"/>
            <w:vAlign w:val="center"/>
          </w:tcPr>
          <w:p w14:paraId="4EB23DD9">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+0.008</w:t>
            </w:r>
            <w:r>
              <w:rPr>
                <w:rFonts w:hint="eastAsia" w:ascii="Times New Roman" w:hAnsi="Times New Roman" w:eastAsia="宋体" w:cs="Times New Roman"/>
                <w:color w:val="000000" w:themeColor="text1"/>
                <w:lang w:val="en-US" w:eastAsia="zh-CN"/>
              </w:rPr>
              <w:t>t/a</w:t>
            </w:r>
          </w:p>
        </w:tc>
      </w:tr>
      <w:tr w14:paraId="11EEE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2E3D642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0831E9C6">
            <w:pPr>
              <w:pStyle w:val="100"/>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eastAsia" w:ascii="Times New Roman" w:hAnsi="Times New Roman" w:eastAsia="宋体" w:cs="Times New Roman"/>
                <w:color w:val="000000" w:themeColor="text1"/>
                <w:lang w:val="en-US" w:eastAsia="zh-CN"/>
              </w:rPr>
              <w:t>BOD</w:t>
            </w:r>
            <w:r>
              <w:rPr>
                <w:rFonts w:hint="eastAsia" w:ascii="Times New Roman" w:hAnsi="Times New Roman" w:eastAsia="宋体" w:cs="Times New Roman"/>
                <w:color w:val="000000" w:themeColor="text1"/>
                <w:vertAlign w:val="subscript"/>
                <w:lang w:val="en-US" w:eastAsia="zh-CN"/>
              </w:rPr>
              <w:t>5</w:t>
            </w:r>
          </w:p>
        </w:tc>
        <w:tc>
          <w:tcPr>
            <w:tcW w:w="1701" w:type="dxa"/>
            <w:vAlign w:val="center"/>
          </w:tcPr>
          <w:p w14:paraId="586C0FBA">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0.036</w:t>
            </w:r>
            <w:r>
              <w:rPr>
                <w:rFonts w:hint="eastAsia" w:ascii="Times New Roman" w:hAnsi="Times New Roman" w:eastAsia="宋体" w:cs="Times New Roman"/>
                <w:color w:val="000000" w:themeColor="text1"/>
                <w:lang w:val="en-US" w:eastAsia="zh-CN"/>
              </w:rPr>
              <w:t>t/a</w:t>
            </w:r>
          </w:p>
        </w:tc>
        <w:tc>
          <w:tcPr>
            <w:tcW w:w="1276" w:type="dxa"/>
            <w:vAlign w:val="center"/>
          </w:tcPr>
          <w:p w14:paraId="4791930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w:t>
            </w:r>
          </w:p>
        </w:tc>
        <w:tc>
          <w:tcPr>
            <w:tcW w:w="1424" w:type="dxa"/>
            <w:vAlign w:val="center"/>
          </w:tcPr>
          <w:p w14:paraId="0BF6A6FB">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7811DD4B">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0.003</w:t>
            </w:r>
            <w:r>
              <w:rPr>
                <w:rFonts w:hint="eastAsia" w:ascii="Times New Roman" w:hAnsi="Times New Roman" w:eastAsia="宋体" w:cs="Times New Roman"/>
                <w:color w:val="000000" w:themeColor="text1"/>
                <w:lang w:val="en-US" w:eastAsia="zh-CN"/>
              </w:rPr>
              <w:t>t/a</w:t>
            </w:r>
          </w:p>
        </w:tc>
        <w:tc>
          <w:tcPr>
            <w:tcW w:w="1275" w:type="dxa"/>
            <w:vAlign w:val="center"/>
          </w:tcPr>
          <w:p w14:paraId="1E87404F">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559FBA3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0.039</w:t>
            </w:r>
            <w:r>
              <w:rPr>
                <w:rFonts w:hint="eastAsia" w:ascii="Times New Roman" w:hAnsi="Times New Roman" w:eastAsia="宋体" w:cs="Times New Roman"/>
                <w:color w:val="000000" w:themeColor="text1"/>
                <w:lang w:val="en-US" w:eastAsia="zh-CN"/>
              </w:rPr>
              <w:t>t/a</w:t>
            </w:r>
          </w:p>
        </w:tc>
        <w:tc>
          <w:tcPr>
            <w:tcW w:w="1563" w:type="dxa"/>
            <w:vAlign w:val="center"/>
          </w:tcPr>
          <w:p w14:paraId="3B2B48A4">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+0.003</w:t>
            </w:r>
            <w:r>
              <w:rPr>
                <w:rFonts w:hint="eastAsia" w:ascii="Times New Roman" w:hAnsi="Times New Roman" w:eastAsia="宋体" w:cs="Times New Roman"/>
                <w:color w:val="000000" w:themeColor="text1"/>
                <w:lang w:val="en-US" w:eastAsia="zh-CN"/>
              </w:rPr>
              <w:t>t/a</w:t>
            </w:r>
          </w:p>
        </w:tc>
      </w:tr>
      <w:tr w14:paraId="02E33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52ECDA11">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12C05C1B">
            <w:pPr>
              <w:pStyle w:val="100"/>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szCs w:val="21"/>
              </w:rPr>
              <w:t>SS</w:t>
            </w:r>
          </w:p>
        </w:tc>
        <w:tc>
          <w:tcPr>
            <w:tcW w:w="1701" w:type="dxa"/>
            <w:vAlign w:val="center"/>
          </w:tcPr>
          <w:p w14:paraId="053419F3">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0.036</w:t>
            </w:r>
            <w:r>
              <w:rPr>
                <w:rFonts w:hint="eastAsia" w:ascii="Times New Roman" w:hAnsi="Times New Roman" w:eastAsia="宋体" w:cs="Times New Roman"/>
                <w:color w:val="000000" w:themeColor="text1"/>
                <w:lang w:val="en-US" w:eastAsia="zh-CN"/>
              </w:rPr>
              <w:t>t/a</w:t>
            </w:r>
          </w:p>
        </w:tc>
        <w:tc>
          <w:tcPr>
            <w:tcW w:w="1276" w:type="dxa"/>
            <w:vAlign w:val="center"/>
          </w:tcPr>
          <w:p w14:paraId="4D46057C">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w:t>
            </w:r>
          </w:p>
        </w:tc>
        <w:tc>
          <w:tcPr>
            <w:tcW w:w="1424" w:type="dxa"/>
            <w:vAlign w:val="center"/>
          </w:tcPr>
          <w:p w14:paraId="29809903">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0F95AC50">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0.003</w:t>
            </w:r>
            <w:r>
              <w:rPr>
                <w:rFonts w:hint="eastAsia" w:ascii="Times New Roman" w:hAnsi="Times New Roman" w:eastAsia="宋体" w:cs="Times New Roman"/>
                <w:color w:val="000000" w:themeColor="text1"/>
                <w:lang w:val="en-US" w:eastAsia="zh-CN"/>
              </w:rPr>
              <w:t>t/a</w:t>
            </w:r>
          </w:p>
        </w:tc>
        <w:tc>
          <w:tcPr>
            <w:tcW w:w="1275" w:type="dxa"/>
            <w:vAlign w:val="center"/>
          </w:tcPr>
          <w:p w14:paraId="1A17D432">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5A15016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0.039</w:t>
            </w:r>
            <w:r>
              <w:rPr>
                <w:rFonts w:hint="eastAsia" w:ascii="Times New Roman" w:hAnsi="Times New Roman" w:eastAsia="宋体" w:cs="Times New Roman"/>
                <w:color w:val="000000" w:themeColor="text1"/>
                <w:lang w:val="en-US" w:eastAsia="zh-CN"/>
              </w:rPr>
              <w:t>t/a</w:t>
            </w:r>
          </w:p>
        </w:tc>
        <w:tc>
          <w:tcPr>
            <w:tcW w:w="1563" w:type="dxa"/>
            <w:vAlign w:val="center"/>
          </w:tcPr>
          <w:p w14:paraId="44143B4F">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+0.003</w:t>
            </w:r>
            <w:r>
              <w:rPr>
                <w:rFonts w:hint="eastAsia" w:ascii="Times New Roman" w:hAnsi="Times New Roman" w:eastAsia="宋体" w:cs="Times New Roman"/>
                <w:color w:val="000000" w:themeColor="text1"/>
                <w:lang w:val="en-US" w:eastAsia="zh-CN"/>
              </w:rPr>
              <w:t>t/a</w:t>
            </w:r>
          </w:p>
        </w:tc>
      </w:tr>
      <w:tr w14:paraId="12D46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6AA67ED4">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0CA8319F">
            <w:pPr>
              <w:pStyle w:val="100"/>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eastAsia" w:ascii="Times New Roman" w:hAnsi="Times New Roman" w:eastAsia="宋体" w:cs="Times New Roman"/>
                <w:color w:val="000000" w:themeColor="text1"/>
                <w:szCs w:val="21"/>
                <w:lang w:val="en-US" w:eastAsia="zh-CN"/>
              </w:rPr>
            </w:pPr>
            <w:r>
              <w:rPr>
                <w:rFonts w:hint="eastAsia" w:cs="Times New Roman"/>
                <w:color w:val="000000" w:themeColor="text1"/>
                <w:szCs w:val="21"/>
                <w:lang w:val="en-US" w:eastAsia="zh-CN"/>
              </w:rPr>
              <w:t>氨氮</w:t>
            </w:r>
          </w:p>
        </w:tc>
        <w:tc>
          <w:tcPr>
            <w:tcW w:w="1701" w:type="dxa"/>
            <w:vAlign w:val="center"/>
          </w:tcPr>
          <w:p w14:paraId="6EE41BE4">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0.018</w:t>
            </w:r>
            <w:r>
              <w:rPr>
                <w:rFonts w:hint="eastAsia" w:ascii="Times New Roman" w:hAnsi="Times New Roman" w:eastAsia="宋体" w:cs="Times New Roman"/>
                <w:color w:val="000000" w:themeColor="text1"/>
                <w:lang w:val="en-US" w:eastAsia="zh-CN"/>
              </w:rPr>
              <w:t>t/a</w:t>
            </w:r>
          </w:p>
        </w:tc>
        <w:tc>
          <w:tcPr>
            <w:tcW w:w="1276" w:type="dxa"/>
            <w:vAlign w:val="center"/>
          </w:tcPr>
          <w:p w14:paraId="0757C2B0">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0.018</w:t>
            </w:r>
            <w:r>
              <w:rPr>
                <w:rFonts w:hint="eastAsia" w:ascii="Times New Roman" w:hAnsi="Times New Roman" w:eastAsia="宋体" w:cs="Times New Roman"/>
                <w:color w:val="000000" w:themeColor="text1"/>
                <w:lang w:val="en-US" w:eastAsia="zh-CN"/>
              </w:rPr>
              <w:t>t/a</w:t>
            </w:r>
          </w:p>
        </w:tc>
        <w:tc>
          <w:tcPr>
            <w:tcW w:w="1424" w:type="dxa"/>
            <w:vAlign w:val="center"/>
          </w:tcPr>
          <w:p w14:paraId="43C12EB2">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70DE551E">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w:t>
            </w:r>
          </w:p>
        </w:tc>
        <w:tc>
          <w:tcPr>
            <w:tcW w:w="1275" w:type="dxa"/>
            <w:vAlign w:val="center"/>
          </w:tcPr>
          <w:p w14:paraId="6500AAE7">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7124283D">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0.018</w:t>
            </w:r>
            <w:r>
              <w:rPr>
                <w:rFonts w:hint="eastAsia" w:ascii="Times New Roman" w:hAnsi="Times New Roman" w:eastAsia="宋体" w:cs="Times New Roman"/>
                <w:color w:val="000000" w:themeColor="text1"/>
                <w:lang w:val="en-US" w:eastAsia="zh-CN"/>
              </w:rPr>
              <w:t>t/a</w:t>
            </w:r>
          </w:p>
        </w:tc>
        <w:tc>
          <w:tcPr>
            <w:tcW w:w="1563" w:type="dxa"/>
            <w:vAlign w:val="center"/>
          </w:tcPr>
          <w:p w14:paraId="4CBDA1B2">
            <w:pPr>
              <w:pStyle w:val="145"/>
              <w:keepLines w:val="0"/>
              <w:pageBreakBefore w:val="0"/>
              <w:widowControl w:val="0"/>
              <w:kinsoku/>
              <w:wordWrap/>
              <w:topLinePunct w:val="0"/>
              <w:autoSpaceDE/>
              <w:autoSpaceDN/>
              <w:bidi w:val="0"/>
              <w:spacing w:line="240" w:lineRule="auto"/>
              <w:ind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w:t>
            </w:r>
          </w:p>
        </w:tc>
      </w:tr>
      <w:tr w14:paraId="5D778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restart"/>
            <w:tcBorders>
              <w:bottom w:val="single" w:color="auto" w:sz="4" w:space="0"/>
            </w:tcBorders>
            <w:vAlign w:val="center"/>
          </w:tcPr>
          <w:p w14:paraId="778C6E26">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一般工业</w:t>
            </w:r>
          </w:p>
          <w:p w14:paraId="365B9876">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固体废物</w:t>
            </w:r>
          </w:p>
        </w:tc>
        <w:tc>
          <w:tcPr>
            <w:tcW w:w="1668" w:type="dxa"/>
            <w:tcBorders>
              <w:bottom w:val="single" w:color="auto" w:sz="4" w:space="0"/>
            </w:tcBorders>
            <w:vAlign w:val="center"/>
          </w:tcPr>
          <w:p w14:paraId="7A8D36C2">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rPr>
            </w:pPr>
            <w:r>
              <w:rPr>
                <w:rFonts w:hint="eastAsia" w:cs="Times New Roman"/>
                <w:color w:val="000000" w:themeColor="text1"/>
                <w:lang w:val="en-US" w:eastAsia="zh-CN"/>
              </w:rPr>
              <w:t>废包装袋</w:t>
            </w:r>
          </w:p>
        </w:tc>
        <w:tc>
          <w:tcPr>
            <w:tcW w:w="1701" w:type="dxa"/>
            <w:tcBorders>
              <w:bottom w:val="single" w:color="auto" w:sz="4" w:space="0"/>
            </w:tcBorders>
            <w:vAlign w:val="center"/>
          </w:tcPr>
          <w:p w14:paraId="01ADBE8A">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0.5</w:t>
            </w:r>
            <w:r>
              <w:rPr>
                <w:rFonts w:hint="eastAsia" w:ascii="Times New Roman" w:hAnsi="Times New Roman" w:eastAsia="宋体" w:cs="Times New Roman"/>
                <w:color w:val="000000" w:themeColor="text1"/>
                <w:lang w:val="en-US" w:eastAsia="zh-CN"/>
              </w:rPr>
              <w:t>t/a</w:t>
            </w:r>
          </w:p>
        </w:tc>
        <w:tc>
          <w:tcPr>
            <w:tcW w:w="1276" w:type="dxa"/>
            <w:tcBorders>
              <w:bottom w:val="single" w:color="auto" w:sz="4" w:space="0"/>
            </w:tcBorders>
            <w:vAlign w:val="center"/>
          </w:tcPr>
          <w:p w14:paraId="6638091D">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424" w:type="dxa"/>
            <w:tcBorders>
              <w:bottom w:val="single" w:color="auto" w:sz="4" w:space="0"/>
            </w:tcBorders>
            <w:vAlign w:val="center"/>
          </w:tcPr>
          <w:p w14:paraId="5F897BEA">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tcBorders>
              <w:bottom w:val="single" w:color="auto" w:sz="4" w:space="0"/>
            </w:tcBorders>
            <w:vAlign w:val="center"/>
          </w:tcPr>
          <w:p w14:paraId="71D10EF0">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0.2</w:t>
            </w:r>
            <w:r>
              <w:rPr>
                <w:rFonts w:hint="eastAsia" w:ascii="Times New Roman" w:hAnsi="Times New Roman" w:eastAsia="宋体" w:cs="Times New Roman"/>
                <w:color w:val="000000" w:themeColor="text1"/>
                <w:lang w:val="en-US" w:eastAsia="zh-CN"/>
              </w:rPr>
              <w:t>t/a</w:t>
            </w:r>
          </w:p>
        </w:tc>
        <w:tc>
          <w:tcPr>
            <w:tcW w:w="1275" w:type="dxa"/>
            <w:tcBorders>
              <w:bottom w:val="single" w:color="auto" w:sz="4" w:space="0"/>
            </w:tcBorders>
            <w:vAlign w:val="center"/>
          </w:tcPr>
          <w:p w14:paraId="171CE3E8">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tcBorders>
              <w:bottom w:val="single" w:color="auto" w:sz="4" w:space="0"/>
            </w:tcBorders>
            <w:vAlign w:val="center"/>
          </w:tcPr>
          <w:p w14:paraId="409EB88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0.7</w:t>
            </w:r>
            <w:r>
              <w:rPr>
                <w:rFonts w:hint="eastAsia" w:ascii="Times New Roman" w:hAnsi="Times New Roman" w:eastAsia="宋体" w:cs="Times New Roman"/>
                <w:color w:val="000000" w:themeColor="text1"/>
                <w:lang w:val="en-US" w:eastAsia="zh-CN"/>
              </w:rPr>
              <w:t>t/a</w:t>
            </w:r>
          </w:p>
        </w:tc>
        <w:tc>
          <w:tcPr>
            <w:tcW w:w="1563" w:type="dxa"/>
            <w:tcBorders>
              <w:bottom w:val="single" w:color="auto" w:sz="4" w:space="0"/>
            </w:tcBorders>
            <w:vAlign w:val="center"/>
          </w:tcPr>
          <w:p w14:paraId="7E571377">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r>
      <w:tr w14:paraId="052A40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10FECE7B">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379FB4EE">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cs="Times New Roman"/>
                <w:color w:val="000000" w:themeColor="text1"/>
                <w:lang w:val="en-US" w:eastAsia="zh-CN"/>
              </w:rPr>
            </w:pPr>
            <w:r>
              <w:rPr>
                <w:rFonts w:hint="eastAsia" w:ascii="Times New Roman" w:hAnsi="Times New Roman" w:cs="Times New Roman"/>
                <w:color w:val="000000" w:themeColor="text1"/>
                <w:spacing w:val="4"/>
                <w:sz w:val="21"/>
                <w:szCs w:val="21"/>
                <w:lang w:val="en-US" w:eastAsia="zh-CN"/>
              </w:rPr>
              <w:t>不合格品以及边角料</w:t>
            </w:r>
          </w:p>
        </w:tc>
        <w:tc>
          <w:tcPr>
            <w:tcW w:w="1701" w:type="dxa"/>
            <w:vAlign w:val="center"/>
          </w:tcPr>
          <w:p w14:paraId="587AB44A">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0</w:t>
            </w:r>
          </w:p>
        </w:tc>
        <w:tc>
          <w:tcPr>
            <w:tcW w:w="1276" w:type="dxa"/>
            <w:vAlign w:val="center"/>
          </w:tcPr>
          <w:p w14:paraId="6F9F09BC">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56D8092B">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701" w:type="dxa"/>
            <w:vAlign w:val="center"/>
          </w:tcPr>
          <w:p w14:paraId="4915BD74">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spacing w:val="4"/>
                <w:sz w:val="21"/>
                <w:szCs w:val="21"/>
                <w:lang w:val="en-US" w:eastAsia="zh-CN"/>
              </w:rPr>
            </w:pPr>
            <w:r>
              <w:rPr>
                <w:rFonts w:hint="eastAsia" w:ascii="Times New Roman" w:hAnsi="Times New Roman" w:cs="Times New Roman"/>
                <w:color w:val="000000" w:themeColor="text1"/>
                <w:spacing w:val="4"/>
                <w:sz w:val="21"/>
                <w:szCs w:val="21"/>
                <w:lang w:val="en-US" w:eastAsia="zh-CN"/>
              </w:rPr>
              <w:t>3</w:t>
            </w:r>
            <w:r>
              <w:rPr>
                <w:rFonts w:hint="eastAsia" w:ascii="Times New Roman" w:hAnsi="Times New Roman" w:eastAsia="宋体" w:cs="Times New Roman"/>
                <w:color w:val="000000" w:themeColor="text1"/>
                <w:lang w:val="en-US" w:eastAsia="zh-CN"/>
              </w:rPr>
              <w:t>t/a</w:t>
            </w:r>
          </w:p>
        </w:tc>
        <w:tc>
          <w:tcPr>
            <w:tcW w:w="1275" w:type="dxa"/>
            <w:vAlign w:val="center"/>
          </w:tcPr>
          <w:p w14:paraId="0EB28627">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0</w:t>
            </w:r>
          </w:p>
        </w:tc>
        <w:tc>
          <w:tcPr>
            <w:tcW w:w="1843" w:type="dxa"/>
            <w:vAlign w:val="center"/>
          </w:tcPr>
          <w:p w14:paraId="3573C757">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r>
              <w:rPr>
                <w:rFonts w:hint="eastAsia" w:ascii="Times New Roman" w:hAnsi="Times New Roman" w:eastAsia="宋体" w:cs="Times New Roman"/>
                <w:color w:val="000000" w:themeColor="text1"/>
                <w:lang w:val="en-US" w:eastAsia="zh-CN"/>
              </w:rPr>
              <w:t>t/a</w:t>
            </w:r>
          </w:p>
        </w:tc>
        <w:tc>
          <w:tcPr>
            <w:tcW w:w="1563" w:type="dxa"/>
            <w:vAlign w:val="center"/>
          </w:tcPr>
          <w:p w14:paraId="695D2F1F">
            <w:pPr>
              <w:pStyle w:val="55"/>
              <w:ind w:left="0" w:leftChars="0" w:firstLine="0" w:firstLineChars="0"/>
              <w:rPr>
                <w:rFonts w:hint="default" w:cs="Times New Roman"/>
                <w:color w:val="000000" w:themeColor="text1"/>
                <w:sz w:val="21"/>
                <w:szCs w:val="21"/>
                <w:lang w:val="en-US" w:eastAsia="zh-CN"/>
              </w:rPr>
            </w:pPr>
            <w:r>
              <w:rPr>
                <w:rFonts w:hint="eastAsia" w:cs="Times New Roman"/>
                <w:color w:val="000000" w:themeColor="text1"/>
                <w:sz w:val="21"/>
                <w:szCs w:val="21"/>
                <w:lang w:val="en-US" w:eastAsia="zh-CN"/>
              </w:rPr>
              <w:t>+3</w:t>
            </w:r>
            <w:r>
              <w:rPr>
                <w:rFonts w:hint="eastAsia" w:ascii="Times New Roman" w:hAnsi="Times New Roman" w:eastAsia="宋体" w:cs="Times New Roman"/>
                <w:color w:val="000000" w:themeColor="text1"/>
                <w:lang w:val="en-US" w:eastAsia="zh-CN"/>
              </w:rPr>
              <w:t>t/a</w:t>
            </w:r>
          </w:p>
        </w:tc>
      </w:tr>
      <w:tr w14:paraId="77268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42298EFB">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7561ED20">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rPr>
            </w:pPr>
            <w:r>
              <w:rPr>
                <w:rFonts w:hint="eastAsia" w:cs="Times New Roman"/>
                <w:color w:val="000000" w:themeColor="text1"/>
                <w:lang w:val="en-US" w:eastAsia="zh-CN"/>
              </w:rPr>
              <w:t>布袋收集粉尘</w:t>
            </w:r>
          </w:p>
        </w:tc>
        <w:tc>
          <w:tcPr>
            <w:tcW w:w="1701" w:type="dxa"/>
            <w:vAlign w:val="center"/>
          </w:tcPr>
          <w:p w14:paraId="20709A48">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50</w:t>
            </w:r>
            <w:r>
              <w:rPr>
                <w:rFonts w:hint="eastAsia" w:ascii="Times New Roman" w:hAnsi="Times New Roman" w:eastAsia="宋体" w:cs="Times New Roman"/>
                <w:color w:val="000000" w:themeColor="text1"/>
                <w:lang w:val="en-US" w:eastAsia="zh-CN"/>
              </w:rPr>
              <w:t>t/a</w:t>
            </w:r>
          </w:p>
        </w:tc>
        <w:tc>
          <w:tcPr>
            <w:tcW w:w="1276" w:type="dxa"/>
            <w:vAlign w:val="center"/>
          </w:tcPr>
          <w:p w14:paraId="45E46876">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0424DA34">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4304BACD">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15.53</w:t>
            </w:r>
            <w:r>
              <w:rPr>
                <w:rFonts w:hint="eastAsia" w:ascii="Times New Roman" w:hAnsi="Times New Roman" w:eastAsia="宋体" w:cs="Times New Roman"/>
                <w:color w:val="000000" w:themeColor="text1"/>
                <w:lang w:val="en-US" w:eastAsia="zh-CN"/>
              </w:rPr>
              <w:t>t/a</w:t>
            </w:r>
          </w:p>
        </w:tc>
        <w:tc>
          <w:tcPr>
            <w:tcW w:w="1275" w:type="dxa"/>
            <w:vAlign w:val="center"/>
          </w:tcPr>
          <w:p w14:paraId="47B76AD3">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3F986543">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65.53</w:t>
            </w:r>
            <w:r>
              <w:rPr>
                <w:rFonts w:hint="eastAsia" w:ascii="Times New Roman" w:hAnsi="Times New Roman" w:eastAsia="宋体" w:cs="Times New Roman"/>
                <w:color w:val="000000" w:themeColor="text1"/>
                <w:lang w:val="en-US" w:eastAsia="zh-CN"/>
              </w:rPr>
              <w:t>t/a</w:t>
            </w:r>
          </w:p>
        </w:tc>
        <w:tc>
          <w:tcPr>
            <w:tcW w:w="1563" w:type="dxa"/>
            <w:vAlign w:val="center"/>
          </w:tcPr>
          <w:p w14:paraId="5068918B">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+15.53</w:t>
            </w:r>
            <w:r>
              <w:rPr>
                <w:rFonts w:hint="eastAsia" w:ascii="Times New Roman" w:hAnsi="Times New Roman" w:eastAsia="宋体" w:cs="Times New Roman"/>
                <w:color w:val="000000" w:themeColor="text1"/>
                <w:lang w:val="en-US" w:eastAsia="zh-CN"/>
              </w:rPr>
              <w:t>t/a</w:t>
            </w:r>
          </w:p>
        </w:tc>
      </w:tr>
      <w:tr w14:paraId="5FA70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6997128F">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0E182380">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rPr>
            </w:pPr>
            <w:r>
              <w:rPr>
                <w:rFonts w:hint="eastAsia" w:cs="Times New Roman"/>
                <w:color w:val="000000" w:themeColor="text1"/>
                <w:lang w:val="en-US" w:eastAsia="zh-CN"/>
              </w:rPr>
              <w:t>废布袋</w:t>
            </w:r>
          </w:p>
        </w:tc>
        <w:tc>
          <w:tcPr>
            <w:tcW w:w="1701" w:type="dxa"/>
            <w:vAlign w:val="center"/>
          </w:tcPr>
          <w:p w14:paraId="4E3D744C">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0.7</w:t>
            </w:r>
            <w:r>
              <w:rPr>
                <w:rFonts w:hint="eastAsia" w:ascii="Times New Roman" w:hAnsi="Times New Roman" w:eastAsia="宋体" w:cs="Times New Roman"/>
                <w:color w:val="000000" w:themeColor="text1"/>
                <w:lang w:val="en-US" w:eastAsia="zh-CN"/>
              </w:rPr>
              <w:t>t/a</w:t>
            </w:r>
          </w:p>
        </w:tc>
        <w:tc>
          <w:tcPr>
            <w:tcW w:w="1276" w:type="dxa"/>
            <w:vAlign w:val="center"/>
          </w:tcPr>
          <w:p w14:paraId="4A48BEF2">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6862599F">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080607F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eastAsia="宋体" w:cs="Times New Roman"/>
                <w:color w:val="000000" w:themeColor="text1"/>
                <w:spacing w:val="4"/>
                <w:sz w:val="21"/>
                <w:szCs w:val="21"/>
                <w:lang w:val="en-US" w:eastAsia="zh-CN"/>
              </w:rPr>
              <w:t>5</w:t>
            </w:r>
            <w:r>
              <w:rPr>
                <w:rFonts w:hint="eastAsia" w:ascii="Times New Roman" w:hAnsi="Times New Roman" w:eastAsia="宋体" w:cs="Times New Roman"/>
                <w:color w:val="000000" w:themeColor="text1"/>
                <w:lang w:val="en-US" w:eastAsia="zh-CN"/>
              </w:rPr>
              <w:t>t/a</w:t>
            </w:r>
          </w:p>
        </w:tc>
        <w:tc>
          <w:tcPr>
            <w:tcW w:w="1275" w:type="dxa"/>
            <w:vAlign w:val="center"/>
          </w:tcPr>
          <w:p w14:paraId="009D384F">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252CD1B4">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1.2</w:t>
            </w:r>
            <w:r>
              <w:rPr>
                <w:rFonts w:hint="eastAsia" w:ascii="Times New Roman" w:hAnsi="Times New Roman" w:eastAsia="宋体" w:cs="Times New Roman"/>
                <w:color w:val="000000" w:themeColor="text1"/>
                <w:lang w:val="en-US" w:eastAsia="zh-CN"/>
              </w:rPr>
              <w:t>t/a</w:t>
            </w:r>
          </w:p>
        </w:tc>
        <w:tc>
          <w:tcPr>
            <w:tcW w:w="1563" w:type="dxa"/>
            <w:vAlign w:val="center"/>
          </w:tcPr>
          <w:p w14:paraId="6057A674">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+0.5</w:t>
            </w:r>
            <w:r>
              <w:rPr>
                <w:rFonts w:hint="eastAsia" w:ascii="Times New Roman" w:hAnsi="Times New Roman" w:eastAsia="宋体" w:cs="Times New Roman"/>
                <w:color w:val="000000" w:themeColor="text1"/>
                <w:lang w:val="en-US" w:eastAsia="zh-CN"/>
              </w:rPr>
              <w:t>t/a</w:t>
            </w:r>
          </w:p>
        </w:tc>
      </w:tr>
      <w:tr w14:paraId="4D16BA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restart"/>
            <w:vAlign w:val="center"/>
          </w:tcPr>
          <w:p w14:paraId="2B845E7A">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rPr>
              <w:t>危险废物</w:t>
            </w:r>
          </w:p>
        </w:tc>
        <w:tc>
          <w:tcPr>
            <w:tcW w:w="1668" w:type="dxa"/>
            <w:vAlign w:val="center"/>
          </w:tcPr>
          <w:p w14:paraId="1B88D397">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废润滑油</w:t>
            </w:r>
          </w:p>
        </w:tc>
        <w:tc>
          <w:tcPr>
            <w:tcW w:w="1701" w:type="dxa"/>
            <w:vAlign w:val="center"/>
          </w:tcPr>
          <w:p w14:paraId="6B213217">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c>
          <w:tcPr>
            <w:tcW w:w="1276" w:type="dxa"/>
            <w:vAlign w:val="center"/>
          </w:tcPr>
          <w:p w14:paraId="2F64E980">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56124F3A">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658180B9">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2</w:t>
            </w:r>
            <w:r>
              <w:rPr>
                <w:rFonts w:hint="eastAsia" w:ascii="Times New Roman" w:hAnsi="Times New Roman" w:eastAsia="宋体" w:cs="Times New Roman"/>
                <w:color w:val="000000" w:themeColor="text1"/>
                <w:lang w:val="en-US" w:eastAsia="zh-CN"/>
              </w:rPr>
              <w:t>t/a</w:t>
            </w:r>
          </w:p>
        </w:tc>
        <w:tc>
          <w:tcPr>
            <w:tcW w:w="1275" w:type="dxa"/>
            <w:vAlign w:val="center"/>
          </w:tcPr>
          <w:p w14:paraId="5C814C06">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4B1023CE">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0.4</w:t>
            </w:r>
            <w:r>
              <w:rPr>
                <w:rFonts w:hint="eastAsia" w:ascii="Times New Roman" w:hAnsi="Times New Roman" w:eastAsia="宋体" w:cs="Times New Roman"/>
                <w:color w:val="000000" w:themeColor="text1"/>
                <w:lang w:val="en-US" w:eastAsia="zh-CN"/>
              </w:rPr>
              <w:t>t/a</w:t>
            </w:r>
          </w:p>
        </w:tc>
        <w:tc>
          <w:tcPr>
            <w:tcW w:w="1563" w:type="dxa"/>
            <w:vAlign w:val="center"/>
          </w:tcPr>
          <w:p w14:paraId="39EB77C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r>
      <w:tr w14:paraId="521F3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1D0E99C0">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538813DD">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rPr>
            </w:pPr>
            <w:r>
              <w:rPr>
                <w:rFonts w:hint="eastAsia" w:ascii="Times New Roman" w:hAnsi="Times New Roman" w:eastAsia="宋体" w:cs="Times New Roman"/>
                <w:color w:val="000000" w:themeColor="text1"/>
                <w:lang w:val="en-US" w:eastAsia="zh-CN"/>
              </w:rPr>
              <w:t>废润滑油</w:t>
            </w:r>
            <w:r>
              <w:rPr>
                <w:rFonts w:hint="eastAsia" w:cs="Times New Roman"/>
                <w:color w:val="000000" w:themeColor="text1"/>
                <w:lang w:val="en-US" w:eastAsia="zh-CN"/>
              </w:rPr>
              <w:t>桶</w:t>
            </w:r>
          </w:p>
        </w:tc>
        <w:tc>
          <w:tcPr>
            <w:tcW w:w="1701" w:type="dxa"/>
            <w:vAlign w:val="center"/>
          </w:tcPr>
          <w:p w14:paraId="4ECF3A21">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0.1</w:t>
            </w:r>
            <w:r>
              <w:rPr>
                <w:rFonts w:hint="eastAsia" w:ascii="Times New Roman" w:hAnsi="Times New Roman" w:eastAsia="宋体" w:cs="Times New Roman"/>
                <w:color w:val="000000" w:themeColor="text1"/>
                <w:lang w:val="en-US" w:eastAsia="zh-CN"/>
              </w:rPr>
              <w:t>t/a</w:t>
            </w:r>
          </w:p>
        </w:tc>
        <w:tc>
          <w:tcPr>
            <w:tcW w:w="1276" w:type="dxa"/>
            <w:vAlign w:val="center"/>
          </w:tcPr>
          <w:p w14:paraId="48AD0809">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119D3858">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2F30E783">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spacing w:val="4"/>
                <w:sz w:val="21"/>
                <w:szCs w:val="21"/>
              </w:rPr>
              <w:t>0.</w:t>
            </w:r>
            <w:r>
              <w:rPr>
                <w:rFonts w:hint="eastAsia" w:ascii="Times New Roman" w:hAnsi="Times New Roman" w:cs="Times New Roman"/>
                <w:color w:val="000000" w:themeColor="text1"/>
                <w:spacing w:val="4"/>
                <w:sz w:val="21"/>
                <w:szCs w:val="21"/>
                <w:lang w:val="en-US" w:eastAsia="zh-CN"/>
              </w:rPr>
              <w:t>1</w:t>
            </w:r>
            <w:r>
              <w:rPr>
                <w:rFonts w:hint="eastAsia" w:ascii="Times New Roman" w:hAnsi="Times New Roman" w:eastAsia="宋体" w:cs="Times New Roman"/>
                <w:color w:val="000000" w:themeColor="text1"/>
                <w:lang w:val="en-US" w:eastAsia="zh-CN"/>
              </w:rPr>
              <w:t>t/a</w:t>
            </w:r>
          </w:p>
        </w:tc>
        <w:tc>
          <w:tcPr>
            <w:tcW w:w="1275" w:type="dxa"/>
            <w:vAlign w:val="center"/>
          </w:tcPr>
          <w:p w14:paraId="617800FC">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lang w:val="en-US" w:eastAsia="zh-CN"/>
              </w:rPr>
              <w:t>0</w:t>
            </w:r>
          </w:p>
        </w:tc>
        <w:tc>
          <w:tcPr>
            <w:tcW w:w="1843" w:type="dxa"/>
            <w:vAlign w:val="center"/>
          </w:tcPr>
          <w:p w14:paraId="32FBD569">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0.2</w:t>
            </w:r>
            <w:r>
              <w:rPr>
                <w:rFonts w:hint="eastAsia" w:ascii="Times New Roman" w:hAnsi="Times New Roman" w:eastAsia="宋体" w:cs="Times New Roman"/>
                <w:color w:val="000000" w:themeColor="text1"/>
                <w:lang w:val="en-US" w:eastAsia="zh-CN"/>
              </w:rPr>
              <w:t>t/a</w:t>
            </w:r>
          </w:p>
        </w:tc>
        <w:tc>
          <w:tcPr>
            <w:tcW w:w="1563" w:type="dxa"/>
            <w:vAlign w:val="center"/>
          </w:tcPr>
          <w:p w14:paraId="05323FAF">
            <w:pPr>
              <w:pStyle w:val="55"/>
              <w:ind w:left="0" w:leftChars="0" w:firstLine="0" w:firstLineChars="0"/>
              <w:rPr>
                <w:rFonts w:hint="default" w:ascii="Times New Roman" w:hAnsi="Times New Roman" w:eastAsia="宋体" w:cs="Times New Roman"/>
                <w:color w:val="000000" w:themeColor="text1"/>
                <w:lang w:val="en-US" w:eastAsia="zh-CN"/>
              </w:rPr>
            </w:pPr>
            <w:r>
              <w:rPr>
                <w:rFonts w:hint="eastAsia" w:cs="Times New Roman"/>
                <w:color w:val="000000" w:themeColor="text1"/>
                <w:sz w:val="21"/>
                <w:szCs w:val="21"/>
                <w:lang w:val="en-US" w:eastAsia="zh-CN"/>
              </w:rPr>
              <w:t>+0.1</w:t>
            </w:r>
            <w:r>
              <w:rPr>
                <w:rFonts w:hint="eastAsia" w:ascii="Times New Roman" w:hAnsi="Times New Roman" w:eastAsia="宋体" w:cs="Times New Roman"/>
                <w:color w:val="000000" w:themeColor="text1"/>
                <w:lang w:val="en-US" w:eastAsia="zh-CN"/>
              </w:rPr>
              <w:t>t/a</w:t>
            </w:r>
          </w:p>
        </w:tc>
      </w:tr>
      <w:tr w14:paraId="60DE37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0BD87966">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648859FE">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default" w:ascii="Times New Roman" w:hAnsi="Times New Roman" w:eastAsia="宋体" w:cs="Times New Roman"/>
                <w:color w:val="000000" w:themeColor="text1"/>
                <w:lang w:val="en-US" w:eastAsia="zh-CN"/>
              </w:rPr>
            </w:pPr>
            <w:r>
              <w:rPr>
                <w:rFonts w:hint="eastAsia" w:cs="Times New Roman"/>
                <w:color w:val="000000" w:themeColor="text1"/>
                <w:lang w:val="en-US" w:eastAsia="zh-CN"/>
              </w:rPr>
              <w:t>废冷凝液</w:t>
            </w:r>
          </w:p>
        </w:tc>
        <w:tc>
          <w:tcPr>
            <w:tcW w:w="1701" w:type="dxa"/>
            <w:vAlign w:val="center"/>
          </w:tcPr>
          <w:p w14:paraId="06346D10">
            <w:pPr>
              <w:pStyle w:val="55"/>
              <w:ind w:left="0" w:leftChars="0" w:firstLine="0" w:firstLineChars="0"/>
              <w:rPr>
                <w:rFonts w:hint="default" w:ascii="Times New Roman" w:hAnsi="Times New Roman" w:eastAsia="宋体" w:cs="Times New Roman"/>
                <w:color w:val="000000" w:themeColor="text1"/>
              </w:rPr>
            </w:pPr>
            <w:r>
              <w:rPr>
                <w:rFonts w:hint="eastAsia" w:cs="Times New Roman"/>
                <w:color w:val="000000" w:themeColor="text1"/>
                <w:sz w:val="21"/>
                <w:szCs w:val="21"/>
                <w:lang w:val="en-US" w:eastAsia="zh-CN"/>
              </w:rPr>
              <w:t>0</w:t>
            </w:r>
          </w:p>
        </w:tc>
        <w:tc>
          <w:tcPr>
            <w:tcW w:w="1276" w:type="dxa"/>
            <w:vAlign w:val="center"/>
          </w:tcPr>
          <w:p w14:paraId="56DCD75B">
            <w:pPr>
              <w:keepNext w:val="0"/>
              <w:keepLines w:val="0"/>
              <w:pageBreakBefore w:val="0"/>
              <w:widowControl w:val="0"/>
              <w:kinsoku/>
              <w:wordWrap/>
              <w:overflowPunct/>
              <w:topLinePunct w:val="0"/>
              <w:autoSpaceDE/>
              <w:autoSpaceDN/>
              <w:bidi w:val="0"/>
              <w:spacing w:line="240" w:lineRule="auto"/>
              <w:ind w:left="0" w:firstLine="480" w:firstLineChars="200"/>
              <w:textAlignment w:val="auto"/>
              <w:rPr>
                <w:rFonts w:hint="eastAsia"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0FBB6800">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4870A97F">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2.187</w:t>
            </w:r>
            <w:r>
              <w:rPr>
                <w:rFonts w:hint="eastAsia" w:ascii="Times New Roman" w:hAnsi="Times New Roman" w:eastAsia="宋体" w:cs="Times New Roman"/>
                <w:color w:val="000000" w:themeColor="text1"/>
                <w:lang w:val="en-US" w:eastAsia="zh-CN"/>
              </w:rPr>
              <w:t>t/a</w:t>
            </w:r>
          </w:p>
        </w:tc>
        <w:tc>
          <w:tcPr>
            <w:tcW w:w="1275" w:type="dxa"/>
            <w:vAlign w:val="center"/>
          </w:tcPr>
          <w:p w14:paraId="57EA1905">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en-US" w:eastAsia="zh-CN"/>
              </w:rPr>
              <w:t>0</w:t>
            </w:r>
          </w:p>
        </w:tc>
        <w:tc>
          <w:tcPr>
            <w:tcW w:w="1843" w:type="dxa"/>
            <w:vAlign w:val="center"/>
          </w:tcPr>
          <w:p w14:paraId="2F575822">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2.187</w:t>
            </w:r>
            <w:r>
              <w:rPr>
                <w:rFonts w:hint="eastAsia" w:ascii="Times New Roman" w:hAnsi="Times New Roman" w:eastAsia="宋体" w:cs="Times New Roman"/>
                <w:color w:val="000000" w:themeColor="text1"/>
                <w:lang w:val="en-US" w:eastAsia="zh-CN"/>
              </w:rPr>
              <w:t>t/a</w:t>
            </w:r>
          </w:p>
        </w:tc>
        <w:tc>
          <w:tcPr>
            <w:tcW w:w="1563" w:type="dxa"/>
            <w:vAlign w:val="center"/>
          </w:tcPr>
          <w:p w14:paraId="55378DBE">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cs="Times New Roman"/>
                <w:color w:val="000000" w:themeColor="text1"/>
                <w:spacing w:val="4"/>
                <w:sz w:val="21"/>
                <w:szCs w:val="21"/>
                <w:lang w:val="en-US" w:eastAsia="zh-CN"/>
              </w:rPr>
              <w:t>+</w:t>
            </w:r>
            <w:r>
              <w:rPr>
                <w:rFonts w:hint="eastAsia" w:ascii="Times New Roman" w:hAnsi="Times New Roman" w:eastAsia="宋体" w:cs="Times New Roman"/>
                <w:color w:val="000000" w:themeColor="text1"/>
                <w:spacing w:val="4"/>
                <w:sz w:val="21"/>
                <w:szCs w:val="21"/>
                <w:lang w:val="en-US" w:eastAsia="zh-CN"/>
              </w:rPr>
              <w:t>2.187</w:t>
            </w:r>
            <w:r>
              <w:rPr>
                <w:rFonts w:hint="eastAsia" w:ascii="Times New Roman" w:hAnsi="Times New Roman" w:eastAsia="宋体" w:cs="Times New Roman"/>
                <w:color w:val="000000" w:themeColor="text1"/>
                <w:lang w:val="en-US" w:eastAsia="zh-CN"/>
              </w:rPr>
              <w:t>t/a</w:t>
            </w:r>
          </w:p>
        </w:tc>
      </w:tr>
      <w:tr w14:paraId="7A9CB2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37" w:type="dxa"/>
            <w:vMerge w:val="continue"/>
            <w:vAlign w:val="center"/>
          </w:tcPr>
          <w:p w14:paraId="2A3E4939">
            <w:pPr>
              <w:pStyle w:val="55"/>
              <w:keepNext w:val="0"/>
              <w:keepLines w:val="0"/>
              <w:pageBreakBefore w:val="0"/>
              <w:widowControl w:val="0"/>
              <w:kinsoku/>
              <w:wordWrap/>
              <w:overflowPunct/>
              <w:topLinePunct w:val="0"/>
              <w:autoSpaceDE/>
              <w:autoSpaceDN/>
              <w:bidi w:val="0"/>
              <w:spacing w:line="240" w:lineRule="auto"/>
              <w:ind w:left="0" w:firstLine="0" w:firstLineChars="0"/>
              <w:textAlignment w:val="auto"/>
              <w:rPr>
                <w:rFonts w:hint="default" w:ascii="Times New Roman" w:hAnsi="Times New Roman" w:eastAsia="宋体" w:cs="Times New Roman"/>
                <w:color w:val="000000" w:themeColor="text1"/>
              </w:rPr>
            </w:pPr>
          </w:p>
        </w:tc>
        <w:tc>
          <w:tcPr>
            <w:tcW w:w="1668" w:type="dxa"/>
            <w:vAlign w:val="center"/>
          </w:tcPr>
          <w:p w14:paraId="523E9C05">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cs="Times New Roman"/>
                <w:color w:val="000000" w:themeColor="text1"/>
                <w:lang w:val="en-US" w:eastAsia="zh-CN"/>
              </w:rPr>
              <w:t>废活性炭</w:t>
            </w:r>
          </w:p>
        </w:tc>
        <w:tc>
          <w:tcPr>
            <w:tcW w:w="1701" w:type="dxa"/>
            <w:vAlign w:val="center"/>
          </w:tcPr>
          <w:p w14:paraId="02D421AB">
            <w:pPr>
              <w:pStyle w:val="55"/>
              <w:ind w:left="0" w:leftChars="0" w:firstLine="0" w:firstLineChars="0"/>
              <w:rPr>
                <w:rFonts w:hint="default" w:ascii="Times New Roman" w:hAnsi="Times New Roman" w:eastAsia="宋体" w:cs="Times New Roman"/>
                <w:color w:val="000000" w:themeColor="text1"/>
              </w:rPr>
            </w:pPr>
            <w:r>
              <w:rPr>
                <w:rFonts w:hint="eastAsia" w:cs="Times New Roman"/>
                <w:color w:val="000000" w:themeColor="text1"/>
                <w:sz w:val="21"/>
                <w:szCs w:val="21"/>
                <w:lang w:val="en-US" w:eastAsia="zh-CN"/>
              </w:rPr>
              <w:t>0</w:t>
            </w:r>
          </w:p>
        </w:tc>
        <w:tc>
          <w:tcPr>
            <w:tcW w:w="1276" w:type="dxa"/>
            <w:vAlign w:val="center"/>
          </w:tcPr>
          <w:p w14:paraId="1711207E">
            <w:pPr>
              <w:keepNext w:val="0"/>
              <w:keepLines w:val="0"/>
              <w:pageBreakBefore w:val="0"/>
              <w:widowControl w:val="0"/>
              <w:kinsoku/>
              <w:wordWrap/>
              <w:overflowPunct/>
              <w:topLinePunct w:val="0"/>
              <w:autoSpaceDE/>
              <w:autoSpaceDN/>
              <w:bidi w:val="0"/>
              <w:spacing w:line="240" w:lineRule="auto"/>
              <w:ind w:left="0" w:firstLine="480" w:firstLineChars="200"/>
              <w:textAlignment w:val="auto"/>
              <w:rPr>
                <w:rFonts w:hint="eastAsia" w:cs="Times New Roman"/>
                <w:color w:val="000000" w:themeColor="text1"/>
                <w:lang w:val="en-US" w:eastAsia="zh-CN"/>
              </w:rPr>
            </w:pPr>
            <w:r>
              <w:rPr>
                <w:rFonts w:hint="eastAsia" w:cs="Times New Roman"/>
                <w:color w:val="000000" w:themeColor="text1"/>
                <w:lang w:val="en-US" w:eastAsia="zh-CN"/>
              </w:rPr>
              <w:t>/</w:t>
            </w:r>
          </w:p>
        </w:tc>
        <w:tc>
          <w:tcPr>
            <w:tcW w:w="1424" w:type="dxa"/>
            <w:vAlign w:val="center"/>
          </w:tcPr>
          <w:p w14:paraId="43BD9467">
            <w:pPr>
              <w:pStyle w:val="55"/>
              <w:keepNext w:val="0"/>
              <w:keepLines w:val="0"/>
              <w:pageBreakBefore w:val="0"/>
              <w:widowControl w:val="0"/>
              <w:kinsoku/>
              <w:wordWrap/>
              <w:overflowPunct/>
              <w:topLinePunct w:val="0"/>
              <w:autoSpaceDE/>
              <w:autoSpaceDN/>
              <w:bidi w:val="0"/>
              <w:spacing w:line="240" w:lineRule="auto"/>
              <w:ind w:left="0" w:leftChars="0" w:firstLine="0" w:firstLineChars="0"/>
              <w:textAlignment w:val="auto"/>
              <w:rPr>
                <w:rFonts w:hint="eastAsia" w:ascii="Times New Roman" w:hAnsi="Times New Roman" w:eastAsia="宋体" w:cs="Times New Roman"/>
                <w:color w:val="000000" w:themeColor="text1"/>
                <w:lang w:val="en-US" w:eastAsia="zh-CN"/>
              </w:rPr>
            </w:pPr>
            <w:r>
              <w:rPr>
                <w:rFonts w:hint="eastAsia" w:ascii="Times New Roman" w:hAnsi="Times New Roman" w:eastAsia="宋体" w:cs="Times New Roman"/>
                <w:color w:val="000000" w:themeColor="text1"/>
                <w:lang w:val="en-US" w:eastAsia="zh-CN"/>
              </w:rPr>
              <w:t>/</w:t>
            </w:r>
          </w:p>
        </w:tc>
        <w:tc>
          <w:tcPr>
            <w:tcW w:w="1701" w:type="dxa"/>
            <w:vAlign w:val="center"/>
          </w:tcPr>
          <w:p w14:paraId="1C44C5B6">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3.105</w:t>
            </w:r>
            <w:r>
              <w:rPr>
                <w:rFonts w:hint="eastAsia" w:ascii="Times New Roman" w:hAnsi="Times New Roman" w:eastAsia="宋体" w:cs="Times New Roman"/>
                <w:color w:val="000000" w:themeColor="text1"/>
                <w:lang w:val="en-US" w:eastAsia="zh-CN"/>
              </w:rPr>
              <w:t>t/a</w:t>
            </w:r>
          </w:p>
        </w:tc>
        <w:tc>
          <w:tcPr>
            <w:tcW w:w="1275" w:type="dxa"/>
            <w:vAlign w:val="center"/>
          </w:tcPr>
          <w:p w14:paraId="698B5765">
            <w:pPr>
              <w:keepNext w:val="0"/>
              <w:keepLines w:val="0"/>
              <w:pageBreakBefore w:val="0"/>
              <w:widowControl w:val="0"/>
              <w:kinsoku/>
              <w:wordWrap/>
              <w:overflowPunct/>
              <w:topLinePunct w:val="0"/>
              <w:autoSpaceDE/>
              <w:autoSpaceDN/>
              <w:bidi w:val="0"/>
              <w:spacing w:line="240" w:lineRule="auto"/>
              <w:ind w:left="0" w:leftChars="0" w:firstLine="480" w:firstLineChars="200"/>
              <w:textAlignment w:val="auto"/>
              <w:rPr>
                <w:rFonts w:hint="default" w:ascii="Times New Roman" w:hAnsi="Times New Roman" w:eastAsia="宋体" w:cs="Times New Roman"/>
                <w:color w:val="000000" w:themeColor="text1"/>
              </w:rPr>
            </w:pPr>
            <w:r>
              <w:rPr>
                <w:rFonts w:hint="default" w:ascii="Times New Roman" w:hAnsi="Times New Roman" w:eastAsia="宋体" w:cs="Times New Roman"/>
                <w:color w:val="000000" w:themeColor="text1"/>
                <w:lang w:val="en-US" w:eastAsia="zh-CN"/>
              </w:rPr>
              <w:t>0</w:t>
            </w:r>
          </w:p>
        </w:tc>
        <w:tc>
          <w:tcPr>
            <w:tcW w:w="1843" w:type="dxa"/>
            <w:vAlign w:val="center"/>
          </w:tcPr>
          <w:p w14:paraId="6468D38A">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eastAsia="宋体" w:cs="Times New Roman"/>
                <w:color w:val="000000" w:themeColor="text1"/>
                <w:spacing w:val="4"/>
                <w:sz w:val="21"/>
                <w:szCs w:val="21"/>
                <w:lang w:val="en-US" w:eastAsia="zh-CN"/>
              </w:rPr>
              <w:t>3.105</w:t>
            </w:r>
            <w:r>
              <w:rPr>
                <w:rFonts w:hint="eastAsia" w:ascii="Times New Roman" w:hAnsi="Times New Roman" w:eastAsia="宋体" w:cs="Times New Roman"/>
                <w:color w:val="000000" w:themeColor="text1"/>
                <w:lang w:val="en-US" w:eastAsia="zh-CN"/>
              </w:rPr>
              <w:t>t/a</w:t>
            </w:r>
          </w:p>
        </w:tc>
        <w:tc>
          <w:tcPr>
            <w:tcW w:w="1563" w:type="dxa"/>
            <w:vAlign w:val="center"/>
          </w:tcPr>
          <w:p w14:paraId="27C132B8">
            <w:pPr>
              <w:pStyle w:val="170"/>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cs="Times New Roman"/>
                <w:color w:val="000000" w:themeColor="text1"/>
                <w:lang w:val="en-US" w:eastAsia="zh-CN"/>
              </w:rPr>
            </w:pPr>
            <w:r>
              <w:rPr>
                <w:rFonts w:hint="eastAsia" w:ascii="Times New Roman" w:hAnsi="Times New Roman" w:cs="Times New Roman"/>
                <w:color w:val="000000" w:themeColor="text1"/>
                <w:spacing w:val="4"/>
                <w:sz w:val="21"/>
                <w:szCs w:val="21"/>
                <w:lang w:val="en-US" w:eastAsia="zh-CN"/>
              </w:rPr>
              <w:t>+</w:t>
            </w:r>
            <w:r>
              <w:rPr>
                <w:rFonts w:hint="eastAsia" w:ascii="Times New Roman" w:hAnsi="Times New Roman" w:eastAsia="宋体" w:cs="Times New Roman"/>
                <w:color w:val="000000" w:themeColor="text1"/>
                <w:spacing w:val="4"/>
                <w:sz w:val="21"/>
                <w:szCs w:val="21"/>
                <w:lang w:val="en-US" w:eastAsia="zh-CN"/>
              </w:rPr>
              <w:t>3.105</w:t>
            </w:r>
            <w:r>
              <w:rPr>
                <w:rFonts w:hint="eastAsia" w:ascii="Times New Roman" w:hAnsi="Times New Roman" w:eastAsia="宋体" w:cs="Times New Roman"/>
                <w:color w:val="000000" w:themeColor="text1"/>
                <w:lang w:val="en-US" w:eastAsia="zh-CN"/>
              </w:rPr>
              <w:t>t/a</w:t>
            </w:r>
          </w:p>
        </w:tc>
      </w:tr>
    </w:tbl>
    <w:p w14:paraId="08562FDD">
      <w:pPr>
        <w:pageBreakBefore w:val="0"/>
        <w:widowControl w:val="0"/>
        <w:kinsoku/>
        <w:wordWrap/>
        <w:overflowPunct/>
        <w:topLinePunct w:val="0"/>
        <w:autoSpaceDE/>
        <w:autoSpaceDN/>
        <w:bidi w:val="0"/>
        <w:spacing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rPr>
      </w:pPr>
      <w:r>
        <w:rPr>
          <w:rFonts w:hint="default" w:ascii="Times New Roman" w:hAnsi="Times New Roman" w:eastAsia="宋体" w:cs="Times New Roman"/>
          <w:snapToGrid w:val="0"/>
          <w:color w:val="000000" w:themeColor="text1"/>
          <w:kern w:val="21"/>
        </w:rPr>
        <w:t>注：</w:t>
      </w:r>
      <w:r>
        <w:rPr>
          <w:rFonts w:hint="default" w:ascii="Times New Roman" w:hAnsi="Times New Roman" w:eastAsia="宋体" w:cs="Times New Roman"/>
          <w:snapToGrid w:val="0"/>
          <w:color w:val="000000" w:themeColor="text1"/>
          <w:spacing w:val="-16"/>
          <w:kern w:val="21"/>
        </w:rPr>
        <w:fldChar w:fldCharType="begin"/>
      </w:r>
      <w:r>
        <w:rPr>
          <w:rFonts w:hint="default" w:ascii="Times New Roman" w:hAnsi="Times New Roman" w:eastAsia="宋体" w:cs="Times New Roman"/>
          <w:snapToGrid w:val="0"/>
          <w:color w:val="000000" w:themeColor="text1"/>
          <w:spacing w:val="-16"/>
          <w:kern w:val="21"/>
        </w:rPr>
        <w:instrText xml:space="preserve"> = 6 \* GB3 \* MERGEFORMAT </w:instrText>
      </w:r>
      <w:r>
        <w:rPr>
          <w:rFonts w:hint="default" w:ascii="Times New Roman" w:hAnsi="Times New Roman" w:eastAsia="宋体" w:cs="Times New Roman"/>
          <w:snapToGrid w:val="0"/>
          <w:color w:val="000000" w:themeColor="text1"/>
          <w:spacing w:val="-16"/>
          <w:kern w:val="21"/>
        </w:rPr>
        <w:fldChar w:fldCharType="separate"/>
      </w:r>
      <w:r>
        <w:rPr>
          <w:rFonts w:hint="default" w:ascii="Times New Roman" w:hAnsi="Times New Roman" w:eastAsia="宋体" w:cs="Times New Roman"/>
          <w:color w:val="000000" w:themeColor="text1"/>
        </w:rPr>
        <w:t>⑥</w:t>
      </w:r>
      <w:r>
        <w:rPr>
          <w:rFonts w:hint="default" w:ascii="Times New Roman" w:hAnsi="Times New Roman" w:eastAsia="宋体" w:cs="Times New Roman"/>
          <w:snapToGrid w:val="0"/>
          <w:color w:val="000000" w:themeColor="text1"/>
          <w:spacing w:val="-16"/>
          <w:kern w:val="21"/>
        </w:rPr>
        <w:fldChar w:fldCharType="end"/>
      </w:r>
      <w:r>
        <w:rPr>
          <w:rFonts w:hint="default" w:ascii="Times New Roman" w:hAnsi="Times New Roman" w:eastAsia="宋体" w:cs="Times New Roman"/>
          <w:snapToGrid w:val="0"/>
          <w:color w:val="000000" w:themeColor="text1"/>
          <w:spacing w:val="-16"/>
          <w:kern w:val="21"/>
        </w:rPr>
        <w:t>=</w:t>
      </w:r>
      <w:r>
        <w:rPr>
          <w:rFonts w:hint="default" w:ascii="Times New Roman" w:hAnsi="Times New Roman" w:eastAsia="宋体" w:cs="Times New Roman"/>
          <w:snapToGrid w:val="0"/>
          <w:color w:val="000000" w:themeColor="text1"/>
          <w:spacing w:val="-6"/>
          <w:kern w:val="21"/>
        </w:rPr>
        <w:fldChar w:fldCharType="begin"/>
      </w:r>
      <w:r>
        <w:rPr>
          <w:rFonts w:hint="default" w:ascii="Times New Roman" w:hAnsi="Times New Roman" w:eastAsia="宋体" w:cs="Times New Roman"/>
          <w:snapToGrid w:val="0"/>
          <w:color w:val="000000" w:themeColor="text1"/>
          <w:spacing w:val="-6"/>
          <w:kern w:val="21"/>
        </w:rPr>
        <w:instrText xml:space="preserve"> = 1 \* GB3 \* MERGEFORMAT </w:instrText>
      </w:r>
      <w:r>
        <w:rPr>
          <w:rFonts w:hint="default" w:ascii="Times New Roman" w:hAnsi="Times New Roman" w:eastAsia="宋体" w:cs="Times New Roman"/>
          <w:snapToGrid w:val="0"/>
          <w:color w:val="000000" w:themeColor="text1"/>
          <w:spacing w:val="-6"/>
          <w:kern w:val="21"/>
        </w:rPr>
        <w:fldChar w:fldCharType="separate"/>
      </w:r>
      <w:r>
        <w:rPr>
          <w:rFonts w:hint="default" w:ascii="Times New Roman" w:hAnsi="Times New Roman" w:eastAsia="宋体" w:cs="Times New Roman"/>
          <w:color w:val="000000" w:themeColor="text1"/>
        </w:rPr>
        <w:t>①</w:t>
      </w:r>
      <w:r>
        <w:rPr>
          <w:rFonts w:hint="default" w:ascii="Times New Roman" w:hAnsi="Times New Roman" w:eastAsia="宋体" w:cs="Times New Roman"/>
          <w:snapToGrid w:val="0"/>
          <w:color w:val="000000" w:themeColor="text1"/>
          <w:spacing w:val="-6"/>
          <w:kern w:val="21"/>
        </w:rPr>
        <w:fldChar w:fldCharType="end"/>
      </w:r>
      <w:r>
        <w:rPr>
          <w:rFonts w:hint="default" w:ascii="Times New Roman" w:hAnsi="Times New Roman" w:eastAsia="宋体" w:cs="Times New Roman"/>
          <w:snapToGrid w:val="0"/>
          <w:color w:val="000000" w:themeColor="text1"/>
          <w:spacing w:val="-6"/>
          <w:kern w:val="21"/>
        </w:rPr>
        <w:t>+</w:t>
      </w:r>
      <w:r>
        <w:rPr>
          <w:rFonts w:hint="default" w:ascii="Times New Roman" w:hAnsi="Times New Roman" w:eastAsia="宋体" w:cs="Times New Roman"/>
          <w:snapToGrid w:val="0"/>
          <w:color w:val="000000" w:themeColor="text1"/>
          <w:spacing w:val="-6"/>
          <w:kern w:val="21"/>
        </w:rPr>
        <w:fldChar w:fldCharType="begin"/>
      </w:r>
      <w:r>
        <w:rPr>
          <w:rFonts w:hint="default" w:ascii="Times New Roman" w:hAnsi="Times New Roman" w:eastAsia="宋体" w:cs="Times New Roman"/>
          <w:snapToGrid w:val="0"/>
          <w:color w:val="000000" w:themeColor="text1"/>
          <w:spacing w:val="-6"/>
          <w:kern w:val="21"/>
        </w:rPr>
        <w:instrText xml:space="preserve"> = 3 \* GB3 \* MERGEFORMAT </w:instrText>
      </w:r>
      <w:r>
        <w:rPr>
          <w:rFonts w:hint="default" w:ascii="Times New Roman" w:hAnsi="Times New Roman" w:eastAsia="宋体" w:cs="Times New Roman"/>
          <w:snapToGrid w:val="0"/>
          <w:color w:val="000000" w:themeColor="text1"/>
          <w:spacing w:val="-6"/>
          <w:kern w:val="21"/>
        </w:rPr>
        <w:fldChar w:fldCharType="separate"/>
      </w:r>
      <w:r>
        <w:rPr>
          <w:rFonts w:hint="default" w:ascii="Times New Roman" w:hAnsi="Times New Roman" w:eastAsia="宋体" w:cs="Times New Roman"/>
          <w:color w:val="000000" w:themeColor="text1"/>
        </w:rPr>
        <w:t>③</w:t>
      </w:r>
      <w:r>
        <w:rPr>
          <w:rFonts w:hint="default" w:ascii="Times New Roman" w:hAnsi="Times New Roman" w:eastAsia="宋体" w:cs="Times New Roman"/>
          <w:snapToGrid w:val="0"/>
          <w:color w:val="000000" w:themeColor="text1"/>
          <w:spacing w:val="-6"/>
          <w:kern w:val="21"/>
        </w:rPr>
        <w:fldChar w:fldCharType="end"/>
      </w:r>
      <w:r>
        <w:rPr>
          <w:rFonts w:hint="default" w:ascii="Times New Roman" w:hAnsi="Times New Roman" w:eastAsia="宋体" w:cs="Times New Roman"/>
          <w:snapToGrid w:val="0"/>
          <w:color w:val="000000" w:themeColor="text1"/>
          <w:spacing w:val="-6"/>
          <w:kern w:val="21"/>
        </w:rPr>
        <w:t>+</w:t>
      </w:r>
      <w:r>
        <w:rPr>
          <w:rFonts w:hint="default" w:ascii="Times New Roman" w:hAnsi="Times New Roman" w:eastAsia="宋体" w:cs="Times New Roman"/>
          <w:snapToGrid w:val="0"/>
          <w:color w:val="000000" w:themeColor="text1"/>
          <w:spacing w:val="-6"/>
          <w:kern w:val="21"/>
        </w:rPr>
        <w:fldChar w:fldCharType="begin"/>
      </w:r>
      <w:r>
        <w:rPr>
          <w:rFonts w:hint="default" w:ascii="Times New Roman" w:hAnsi="Times New Roman" w:eastAsia="宋体" w:cs="Times New Roman"/>
          <w:snapToGrid w:val="0"/>
          <w:color w:val="000000" w:themeColor="text1"/>
          <w:spacing w:val="-6"/>
          <w:kern w:val="21"/>
        </w:rPr>
        <w:instrText xml:space="preserve"> = 4 \* GB3 \* MERGEFORMAT </w:instrText>
      </w:r>
      <w:r>
        <w:rPr>
          <w:rFonts w:hint="default" w:ascii="Times New Roman" w:hAnsi="Times New Roman" w:eastAsia="宋体" w:cs="Times New Roman"/>
          <w:snapToGrid w:val="0"/>
          <w:color w:val="000000" w:themeColor="text1"/>
          <w:spacing w:val="-6"/>
          <w:kern w:val="21"/>
        </w:rPr>
        <w:fldChar w:fldCharType="separate"/>
      </w:r>
      <w:r>
        <w:rPr>
          <w:rFonts w:hint="default" w:ascii="Times New Roman" w:hAnsi="Times New Roman" w:eastAsia="宋体" w:cs="Times New Roman"/>
          <w:color w:val="000000" w:themeColor="text1"/>
        </w:rPr>
        <w:t>④</w:t>
      </w:r>
      <w:r>
        <w:rPr>
          <w:rFonts w:hint="default" w:ascii="Times New Roman" w:hAnsi="Times New Roman" w:eastAsia="宋体" w:cs="Times New Roman"/>
          <w:snapToGrid w:val="0"/>
          <w:color w:val="000000" w:themeColor="text1"/>
          <w:spacing w:val="-6"/>
          <w:kern w:val="21"/>
        </w:rPr>
        <w:fldChar w:fldCharType="end"/>
      </w:r>
      <w:r>
        <w:rPr>
          <w:rFonts w:hint="default" w:ascii="Times New Roman" w:hAnsi="Times New Roman" w:eastAsia="宋体" w:cs="Times New Roman"/>
          <w:snapToGrid w:val="0"/>
          <w:color w:val="000000" w:themeColor="text1"/>
          <w:spacing w:val="-6"/>
          <w:kern w:val="21"/>
        </w:rPr>
        <w:t>-</w:t>
      </w:r>
      <w:r>
        <w:rPr>
          <w:rFonts w:hint="default" w:ascii="Times New Roman" w:hAnsi="Times New Roman" w:eastAsia="宋体" w:cs="Times New Roman"/>
          <w:snapToGrid w:val="0"/>
          <w:color w:val="000000" w:themeColor="text1"/>
          <w:spacing w:val="-16"/>
          <w:kern w:val="21"/>
        </w:rPr>
        <w:fldChar w:fldCharType="begin"/>
      </w:r>
      <w:r>
        <w:rPr>
          <w:rFonts w:hint="default" w:ascii="Times New Roman" w:hAnsi="Times New Roman" w:eastAsia="宋体" w:cs="Times New Roman"/>
          <w:snapToGrid w:val="0"/>
          <w:color w:val="000000" w:themeColor="text1"/>
          <w:spacing w:val="-16"/>
          <w:kern w:val="21"/>
        </w:rPr>
        <w:instrText xml:space="preserve"> = 5 \* GB3 \* MERGEFORMAT </w:instrText>
      </w:r>
      <w:r>
        <w:rPr>
          <w:rFonts w:hint="default" w:ascii="Times New Roman" w:hAnsi="Times New Roman" w:eastAsia="宋体" w:cs="Times New Roman"/>
          <w:snapToGrid w:val="0"/>
          <w:color w:val="000000" w:themeColor="text1"/>
          <w:spacing w:val="-16"/>
          <w:kern w:val="21"/>
        </w:rPr>
        <w:fldChar w:fldCharType="separate"/>
      </w:r>
      <w:r>
        <w:rPr>
          <w:rFonts w:hint="default" w:ascii="Times New Roman" w:hAnsi="Times New Roman" w:eastAsia="宋体" w:cs="Times New Roman"/>
          <w:color w:val="000000" w:themeColor="text1"/>
        </w:rPr>
        <w:t>⑤</w:t>
      </w:r>
      <w:r>
        <w:rPr>
          <w:rFonts w:hint="default" w:ascii="Times New Roman" w:hAnsi="Times New Roman" w:eastAsia="宋体" w:cs="Times New Roman"/>
          <w:snapToGrid w:val="0"/>
          <w:color w:val="000000" w:themeColor="text1"/>
          <w:spacing w:val="-16"/>
          <w:kern w:val="21"/>
        </w:rPr>
        <w:fldChar w:fldCharType="end"/>
      </w:r>
      <w:r>
        <w:rPr>
          <w:rFonts w:hint="default" w:ascii="Times New Roman" w:hAnsi="Times New Roman" w:eastAsia="宋体" w:cs="Times New Roman"/>
          <w:snapToGrid w:val="0"/>
          <w:color w:val="000000" w:themeColor="text1"/>
          <w:spacing w:val="-16"/>
          <w:kern w:val="21"/>
        </w:rPr>
        <w:t>；</w:t>
      </w:r>
      <w:r>
        <w:rPr>
          <w:rFonts w:hint="default" w:ascii="Times New Roman" w:hAnsi="Times New Roman" w:eastAsia="宋体" w:cs="Times New Roman"/>
          <w:snapToGrid w:val="0"/>
          <w:color w:val="000000" w:themeColor="text1"/>
          <w:spacing w:val="-6"/>
          <w:kern w:val="21"/>
        </w:rPr>
        <w:fldChar w:fldCharType="begin"/>
      </w:r>
      <w:r>
        <w:rPr>
          <w:rFonts w:hint="default" w:ascii="Times New Roman" w:hAnsi="Times New Roman" w:eastAsia="宋体" w:cs="Times New Roman"/>
          <w:snapToGrid w:val="0"/>
          <w:color w:val="000000" w:themeColor="text1"/>
          <w:spacing w:val="-6"/>
          <w:kern w:val="21"/>
        </w:rPr>
        <w:instrText xml:space="preserve"> = 7 \* GB3 \* MERGEFORMAT </w:instrText>
      </w:r>
      <w:r>
        <w:rPr>
          <w:rFonts w:hint="default" w:ascii="Times New Roman" w:hAnsi="Times New Roman" w:eastAsia="宋体" w:cs="Times New Roman"/>
          <w:snapToGrid w:val="0"/>
          <w:color w:val="000000" w:themeColor="text1"/>
          <w:spacing w:val="-6"/>
          <w:kern w:val="21"/>
        </w:rPr>
        <w:fldChar w:fldCharType="separate"/>
      </w:r>
      <w:r>
        <w:rPr>
          <w:rFonts w:hint="default" w:ascii="Times New Roman" w:hAnsi="Times New Roman" w:eastAsia="宋体" w:cs="Times New Roman"/>
          <w:color w:val="000000" w:themeColor="text1"/>
        </w:rPr>
        <w:t>⑦</w:t>
      </w:r>
      <w:r>
        <w:rPr>
          <w:rFonts w:hint="default" w:ascii="Times New Roman" w:hAnsi="Times New Roman" w:eastAsia="宋体" w:cs="Times New Roman"/>
          <w:snapToGrid w:val="0"/>
          <w:color w:val="000000" w:themeColor="text1"/>
          <w:spacing w:val="-6"/>
          <w:kern w:val="21"/>
        </w:rPr>
        <w:fldChar w:fldCharType="end"/>
      </w:r>
      <w:r>
        <w:rPr>
          <w:rFonts w:hint="default" w:ascii="Times New Roman" w:hAnsi="Times New Roman" w:eastAsia="宋体" w:cs="Times New Roman"/>
          <w:snapToGrid w:val="0"/>
          <w:color w:val="000000" w:themeColor="text1"/>
          <w:spacing w:val="-6"/>
          <w:kern w:val="21"/>
        </w:rPr>
        <w:t>=</w:t>
      </w:r>
      <w:r>
        <w:rPr>
          <w:rFonts w:hint="default" w:ascii="Times New Roman" w:hAnsi="Times New Roman" w:eastAsia="宋体" w:cs="Times New Roman"/>
          <w:snapToGrid w:val="0"/>
          <w:color w:val="000000" w:themeColor="text1"/>
          <w:spacing w:val="-16"/>
          <w:kern w:val="21"/>
        </w:rPr>
        <w:fldChar w:fldCharType="begin"/>
      </w:r>
      <w:r>
        <w:rPr>
          <w:rFonts w:hint="default" w:ascii="Times New Roman" w:hAnsi="Times New Roman" w:eastAsia="宋体" w:cs="Times New Roman"/>
          <w:snapToGrid w:val="0"/>
          <w:color w:val="000000" w:themeColor="text1"/>
          <w:spacing w:val="-16"/>
          <w:kern w:val="21"/>
        </w:rPr>
        <w:instrText xml:space="preserve"> = 6 \* GB3 \* MERGEFORMAT </w:instrText>
      </w:r>
      <w:r>
        <w:rPr>
          <w:rFonts w:hint="default" w:ascii="Times New Roman" w:hAnsi="Times New Roman" w:eastAsia="宋体" w:cs="Times New Roman"/>
          <w:snapToGrid w:val="0"/>
          <w:color w:val="000000" w:themeColor="text1"/>
          <w:spacing w:val="-16"/>
          <w:kern w:val="21"/>
        </w:rPr>
        <w:fldChar w:fldCharType="separate"/>
      </w:r>
      <w:r>
        <w:rPr>
          <w:rFonts w:hint="default" w:ascii="Times New Roman" w:hAnsi="Times New Roman" w:eastAsia="宋体" w:cs="Times New Roman"/>
          <w:color w:val="000000" w:themeColor="text1"/>
        </w:rPr>
        <w:t>⑥</w:t>
      </w:r>
      <w:r>
        <w:rPr>
          <w:rFonts w:hint="default" w:ascii="Times New Roman" w:hAnsi="Times New Roman" w:eastAsia="宋体" w:cs="Times New Roman"/>
          <w:snapToGrid w:val="0"/>
          <w:color w:val="000000" w:themeColor="text1"/>
          <w:spacing w:val="-16"/>
          <w:kern w:val="21"/>
        </w:rPr>
        <w:fldChar w:fldCharType="end"/>
      </w:r>
      <w:r>
        <w:rPr>
          <w:rFonts w:hint="default" w:ascii="Times New Roman" w:hAnsi="Times New Roman" w:eastAsia="宋体" w:cs="Times New Roman"/>
          <w:snapToGrid w:val="0"/>
          <w:color w:val="000000" w:themeColor="text1"/>
          <w:spacing w:val="-16"/>
          <w:kern w:val="21"/>
        </w:rPr>
        <w:t>-</w:t>
      </w:r>
      <w:r>
        <w:rPr>
          <w:rFonts w:hint="default" w:ascii="Times New Roman" w:hAnsi="Times New Roman" w:eastAsia="宋体" w:cs="Times New Roman"/>
          <w:snapToGrid w:val="0"/>
          <w:color w:val="000000" w:themeColor="text1"/>
          <w:spacing w:val="-6"/>
          <w:kern w:val="21"/>
        </w:rPr>
        <w:fldChar w:fldCharType="begin"/>
      </w:r>
      <w:r>
        <w:rPr>
          <w:rFonts w:hint="default" w:ascii="Times New Roman" w:hAnsi="Times New Roman" w:eastAsia="宋体" w:cs="Times New Roman"/>
          <w:snapToGrid w:val="0"/>
          <w:color w:val="000000" w:themeColor="text1"/>
          <w:spacing w:val="-6"/>
          <w:kern w:val="21"/>
        </w:rPr>
        <w:instrText xml:space="preserve"> = 1 \* GB3 \* MERGEFORMAT </w:instrText>
      </w:r>
      <w:r>
        <w:rPr>
          <w:rFonts w:hint="default" w:ascii="Times New Roman" w:hAnsi="Times New Roman" w:eastAsia="宋体" w:cs="Times New Roman"/>
          <w:snapToGrid w:val="0"/>
          <w:color w:val="000000" w:themeColor="text1"/>
          <w:spacing w:val="-6"/>
          <w:kern w:val="21"/>
        </w:rPr>
        <w:fldChar w:fldCharType="separate"/>
      </w:r>
      <w:r>
        <w:rPr>
          <w:rFonts w:hint="default" w:ascii="Times New Roman" w:hAnsi="Times New Roman" w:eastAsia="宋体" w:cs="Times New Roman"/>
          <w:color w:val="000000" w:themeColor="text1"/>
        </w:rPr>
        <w:t>①</w:t>
      </w:r>
      <w:r>
        <w:rPr>
          <w:rFonts w:hint="default" w:ascii="Times New Roman" w:hAnsi="Times New Roman" w:eastAsia="宋体" w:cs="Times New Roman"/>
          <w:snapToGrid w:val="0"/>
          <w:color w:val="000000" w:themeColor="text1"/>
          <w:spacing w:val="-6"/>
          <w:kern w:val="21"/>
        </w:rPr>
        <w:fldChar w:fldCharType="end"/>
      </w:r>
    </w:p>
    <w:sectPr>
      <w:footerReference r:id="rId13" w:type="default"/>
      <w:pgSz w:w="16838" w:h="11906" w:orient="landscape"/>
      <w:pgMar w:top="1701" w:right="1531" w:bottom="1701" w:left="1531" w:header="851" w:footer="107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s>
  <wne:acds>
    <wne:acd wne:argValue="AQAAAAAA" wne:acdName="acd0" wne:fciIndexBasedOn="0065"/>
    <wne:acd wne:argValue="AgBoiDxo" wne:acdName="acd1" wne:fciIndexBasedOn="0065"/>
    <wne:acd wne:argValue="AQAAAAE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7F7FB">
    <w:pPr>
      <w:pStyle w:val="19"/>
      <w:ind w:right="360" w:firstLine="360"/>
      <w:jc w:val="center"/>
    </w:pPr>
    <w:r>
      <w:rPr>
        <w:sz w:val="18"/>
      </w:rPr>
      <w:pict>
        <v:shape id="_x0000_s3073" o:spid="_x0000_s307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01138458">
                <w:pPr>
                  <w:pStyle w:val="19"/>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4B89">
    <w:pPr>
      <w:pStyle w:val="19"/>
      <w:framePr w:wrap="around" w:vAnchor="text" w:hAnchor="margin" w:xAlign="center" w:y="1"/>
      <w:ind w:firstLine="360"/>
      <w:rPr>
        <w:rStyle w:val="37"/>
      </w:rPr>
    </w:pPr>
    <w:r>
      <w:fldChar w:fldCharType="begin"/>
    </w:r>
    <w:r>
      <w:rPr>
        <w:rStyle w:val="37"/>
      </w:rPr>
      <w:instrText xml:space="preserve">PAGE  </w:instrText>
    </w:r>
    <w:r>
      <w:fldChar w:fldCharType="end"/>
    </w:r>
  </w:p>
  <w:p w14:paraId="173E6188">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41C50">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55635">
    <w:pPr>
      <w:pStyle w:val="19"/>
      <w:ind w:right="360" w:firstLine="360"/>
      <w:jc w:val="center"/>
    </w:pPr>
    <w:r>
      <w:pict>
        <v:shape id="_x0000_s3086" o:spid="_x0000_s3086" o:spt="202" type="#_x0000_t202" style="position:absolute;left:0pt;margin-top:0pt;height:15.5pt;width:27.05pt;mso-position-horizontal:center;mso-position-horizontal-relative:margin;mso-wrap-style:none;z-index:251669504;mso-width-relative:page;mso-height-relative:page;" filled="f" stroked="f" coordsize="21600,21600">
          <v:path/>
          <v:fill on="f" focussize="0,0"/>
          <v:stroke on="f" weight="0.5pt"/>
          <v:imagedata o:title=""/>
          <o:lock v:ext="edit" aspectratio="f"/>
          <v:textbox inset="0mm,0mm,0mm,0mm" style="mso-fit-shape-to-text:t;">
            <w:txbxContent>
              <w:p w14:paraId="17B199C2">
                <w:pPr>
                  <w:pStyle w:val="19"/>
                  <w:ind w:firstLine="360"/>
                </w:pPr>
                <w:r>
                  <w:fldChar w:fldCharType="begin"/>
                </w:r>
                <w:r>
                  <w:instrText xml:space="preserve"> PAGE  \* MERGEFORMAT </w:instrText>
                </w:r>
                <w:r>
                  <w:fldChar w:fldCharType="separate"/>
                </w:r>
                <w:r>
                  <w:t>3</w:t>
                </w:r>
                <w:r>
                  <w:fldChar w:fldCharType="end"/>
                </w:r>
              </w:p>
            </w:txbxContent>
          </v:textbox>
        </v:shape>
      </w:pict>
    </w:r>
    <w:r>
      <w:pict>
        <v:shape id="_x0000_s3087" o:spid="_x0000_s3087" o:spt="202" type="#_x0000_t202" style="position:absolute;left:0pt;margin-left:209.6pt;margin-top:-10.3pt;height:26.3pt;width:50.15pt;mso-position-horizontal-relative:margin;z-index:25166848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">
          <v:path/>
          <v:fill on="f" focussize="0,0"/>
          <v:stroke on="f" weight="0.5pt" joinstyle="miter"/>
          <v:imagedata o:title=""/>
          <o:lock v:ext="edit"/>
          <v:textbox inset="0mm,0mm,0mm,0mm">
            <w:txbxContent>
              <w:p w14:paraId="36B8F242">
                <w:pPr>
                  <w:pStyle w:val="19"/>
                  <w:ind w:firstLine="360"/>
                </w:pP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62C1E">
    <w:pPr>
      <w:pStyle w:val="19"/>
      <w:ind w:right="360" w:firstLine="360"/>
      <w:jc w:val="center"/>
    </w:pPr>
    <w:r>
      <w:pict>
        <v:shape id="文本框 8" o:spid="_x0000_s3076" o:spt="202" type="#_x0000_t202" style="position:absolute;left:0pt;margin-top:0pt;height:15.5pt;width:27.05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14:paraId="229FEEA9">
                <w:pPr>
                  <w:pStyle w:val="19"/>
                  <w:ind w:firstLine="360"/>
                </w:pPr>
                <w:r>
                  <w:fldChar w:fldCharType="begin"/>
                </w:r>
                <w:r>
                  <w:instrText xml:space="preserve"> PAGE  \* MERGEFORMAT </w:instrText>
                </w:r>
                <w:r>
                  <w:fldChar w:fldCharType="separate"/>
                </w:r>
                <w:r>
                  <w:t>67</w:t>
                </w:r>
                <w:r>
                  <w:fldChar w:fldCharType="end"/>
                </w:r>
              </w:p>
            </w:txbxContent>
          </v:textbox>
        </v:shape>
      </w:pict>
    </w:r>
    <w:r>
      <w:pict>
        <v:shape id="_x0000_s3077" o:spid="_x0000_s3077" o:spt="202" type="#_x0000_t202" style="position:absolute;left:0pt;margin-left:209.6pt;margin-top:-10.3pt;height:26.3pt;width:50.15pt;mso-position-horizontal-relative:margin;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">
          <v:path/>
          <v:fill on="f" focussize="0,0"/>
          <v:stroke on="f" weight="0.5pt" joinstyle="miter"/>
          <v:imagedata o:title=""/>
          <o:lock v:ext="edit"/>
          <v:textbox inset="0mm,0mm,0mm,0mm">
            <w:txbxContent>
              <w:p w14:paraId="132FE7C8">
                <w:pPr>
                  <w:pStyle w:val="19"/>
                  <w:ind w:firstLine="360"/>
                </w:pP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A2957">
    <w:pPr>
      <w:pStyle w:val="19"/>
      <w:ind w:left="0" w:leftChars="0" w:right="360" w:firstLine="0" w:firstLineChars="0"/>
      <w:jc w:val="both"/>
    </w:pPr>
    <w:r>
      <w:rPr>
        <w:sz w:val="18"/>
      </w:rPr>
      <w:pict>
        <v:shape id="_x0000_s3084" o:spid="_x0000_s3084"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14:paraId="318AF302">
                <w:pPr>
                  <w:pStyle w:val="19"/>
                </w:pPr>
                <w:r>
                  <w:fldChar w:fldCharType="begin"/>
                </w:r>
                <w:r>
                  <w:instrText xml:space="preserve"> PAGE  \* MERGEFORMAT </w:instrText>
                </w:r>
                <w:r>
                  <w:fldChar w:fldCharType="separate"/>
                </w:r>
                <w:r>
                  <w:t>1</w:t>
                </w:r>
                <w:r>
                  <w:fldChar w:fldCharType="end"/>
                </w:r>
              </w:p>
            </w:txbxContent>
          </v:textbox>
        </v:shape>
      </w:pict>
    </w:r>
    <w:r>
      <w:rPr>
        <w:sz w:val="18"/>
      </w:rPr>
      <w:pict>
        <v:shape id="_x0000_s3083" o:spid="_x0000_s3083" o:spt="202" type="#_x0000_t202" style="position:absolute;left:0pt;margin-left:336.65pt;margin-top:-3pt;height:144pt;width:144pt;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26278EAB">
                <w:pPr>
                  <w:rPr>
                    <w:rFonts w:hint="default"/>
                    <w:lang w:val="en-US" w:eastAsia="zh-CN"/>
                  </w:rPr>
                </w:pPr>
              </w:p>
            </w:txbxContent>
          </v:textbox>
        </v:shape>
      </w:pict>
    </w:r>
    <w:r>
      <w:rPr>
        <w:sz w:val="18"/>
      </w:rPr>
      <w:pict>
        <v:shape id="_x0000_s3081" o:spid="_x0000_s3081" o:spt="202" type="#_x0000_t202" style="position:absolute;left:0pt;margin-left:324.65pt;margin-top:-5.25pt;height:20.75pt;width:32.25pt;mso-position-horizontal-relative:margin;z-index:251663360;mso-width-relative:page;mso-height-relative:page;" filled="f" stroked="f" coordsize="21600,21600">
          <v:path/>
          <v:fill on="f" focussize="0,0"/>
          <v:stroke on="f"/>
          <v:imagedata o:title=""/>
          <o:lock v:ext="edit" aspectratio="f"/>
          <v:textbox inset="0mm,0mm,0mm,0mm">
            <w:txbxContent>
              <w:p w14:paraId="12597982">
                <w:pPr>
                  <w:ind w:left="0" w:leftChars="0" w:firstLine="0" w:firstLineChars="0"/>
                  <w:rPr>
                    <w:rFonts w:hint="default"/>
                    <w:lang w:val="en-US" w:eastAsia="zh-CN"/>
                  </w:rPr>
                </w:pPr>
              </w:p>
            </w:txbxContent>
          </v:textbox>
        </v:shape>
      </w:pict>
    </w:r>
    <w:r>
      <w:pict>
        <v:shape id="_x0000_s3085" o:spid="_x0000_s3085" o:spt="202" type="#_x0000_t202" style="position:absolute;left:0pt;margin-left:318.35pt;margin-top:-10.75pt;height:23.8pt;width:33pt;mso-position-horizontal-relative:margin;z-index:251662336;mso-width-relative:page;mso-height-relative:page;" filled="f" stroked="f" coordsize="21600,21600">
          <v:path/>
          <v:fill on="f" focussize="0,0"/>
          <v:stroke on="f" weight="0.5pt"/>
          <v:imagedata o:title=""/>
          <o:lock v:ext="edit" aspectratio="f"/>
          <v:textbox inset="0mm,0mm,0mm,0mm">
            <w:txbxContent>
              <w:p w14:paraId="55ADD804">
                <w:pPr>
                  <w:pStyle w:val="19"/>
                  <w:ind w:firstLine="360"/>
                  <w:rPr>
                    <w:rFonts w:hint="default" w:eastAsia="宋体"/>
                    <w:lang w:val="en-US" w:eastAsia="zh-CN"/>
                  </w:rPr>
                </w:pPr>
              </w:p>
            </w:txbxContent>
          </v:textbox>
        </v:shape>
      </w:pict>
    </w:r>
    <w:r>
      <w:pict>
        <v:shape id="文本框 7" o:spid="_x0000_s3078"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6TDmaZQIAABEFAAAOAAAAAAAAAAAAAAAAAC4CAABkcnMvZTJvRG9j&#10;LnhtbFBLAQItABQABgAIAAAAIQBxqtG51wAAAAUBAAAPAAAAAAAAAAAAAAAAAL8EAABkcnMvZG93&#10;bnJldi54bWxQSwUGAAAAAAQABADzAAAAwwUAAAAA&#10;">
          <v:path/>
          <v:fill on="f" focussize="0,0"/>
          <v:stroke on="f" weight="0.5pt" joinstyle="miter"/>
          <v:imagedata o:title=""/>
          <o:lock v:ext="edit"/>
          <v:textbox inset="0mm,0mm,0mm,0mm" style="mso-fit-shape-to-text:t;">
            <w:txbxContent>
              <w:p w14:paraId="3058BBCC"/>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476FA">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B9EFA">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46EAB">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02B48"/>
    <w:multiLevelType w:val="singleLevel"/>
    <w:tmpl w:val="A2102B48"/>
    <w:lvl w:ilvl="0" w:tentative="0">
      <w:start w:val="2"/>
      <w:numFmt w:val="decimal"/>
      <w:suff w:val="nothing"/>
      <w:lvlText w:val="%1、"/>
      <w:lvlJc w:val="left"/>
    </w:lvl>
  </w:abstractNum>
  <w:abstractNum w:abstractNumId="1">
    <w:nsid w:val="FDDB5C14"/>
    <w:multiLevelType w:val="singleLevel"/>
    <w:tmpl w:val="FDDB5C14"/>
    <w:lvl w:ilvl="0" w:tentative="0">
      <w:start w:val="1"/>
      <w:numFmt w:val="decimal"/>
      <w:suff w:val="nothing"/>
      <w:lvlText w:val="（%1）"/>
      <w:lvlJc w:val="left"/>
      <w:pPr>
        <w:ind w:left="238"/>
      </w:pPr>
    </w:lvl>
  </w:abstractNum>
  <w:abstractNum w:abstractNumId="2">
    <w:nsid w:val="0390E829"/>
    <w:multiLevelType w:val="singleLevel"/>
    <w:tmpl w:val="0390E829"/>
    <w:lvl w:ilvl="0" w:tentative="0">
      <w:start w:val="2"/>
      <w:numFmt w:val="decimal"/>
      <w:suff w:val="nothing"/>
      <w:lvlText w:val="%1、"/>
      <w:lvlJc w:val="left"/>
    </w:lvl>
  </w:abstractNum>
  <w:abstractNum w:abstractNumId="3">
    <w:nsid w:val="0920CE0E"/>
    <w:multiLevelType w:val="singleLevel"/>
    <w:tmpl w:val="0920CE0E"/>
    <w:lvl w:ilvl="0" w:tentative="0">
      <w:start w:val="1"/>
      <w:numFmt w:val="chineseCounting"/>
      <w:suff w:val="nothing"/>
      <w:lvlText w:val="%1、"/>
      <w:lvlJc w:val="left"/>
      <w:rPr>
        <w:rFonts w:hint="eastAsia"/>
      </w:rPr>
    </w:lvl>
  </w:abstractNum>
  <w:abstractNum w:abstractNumId="4">
    <w:nsid w:val="2C7F2AA6"/>
    <w:multiLevelType w:val="singleLevel"/>
    <w:tmpl w:val="2C7F2AA6"/>
    <w:lvl w:ilvl="0" w:tentative="0">
      <w:start w:val="1"/>
      <w:numFmt w:val="decimal"/>
      <w:suff w:val="nothing"/>
      <w:lvlText w:val="%1）"/>
      <w:lvlJc w:val="left"/>
    </w:lvl>
  </w:abstractNum>
  <w:abstractNum w:abstractNumId="5">
    <w:nsid w:val="4FB70CA0"/>
    <w:multiLevelType w:val="singleLevel"/>
    <w:tmpl w:val="4FB70CA0"/>
    <w:lvl w:ilvl="0" w:tentative="0">
      <w:start w:val="2"/>
      <w:numFmt w:val="decimal"/>
      <w:suff w:val="nothing"/>
      <w:lvlText w:val="（%1）"/>
      <w:lvlJc w:val="left"/>
    </w:lvl>
  </w:abstractNum>
  <w:abstractNum w:abstractNumId="6">
    <w:nsid w:val="5948782D"/>
    <w:multiLevelType w:val="singleLevel"/>
    <w:tmpl w:val="5948782D"/>
    <w:lvl w:ilvl="0" w:tentative="0">
      <w:start w:val="1"/>
      <w:numFmt w:val="decimal"/>
      <w:suff w:val="nothing"/>
      <w:lvlText w:val="%1、"/>
      <w:lvlJc w:val="left"/>
    </w:lvl>
  </w:abstractNum>
  <w:abstractNum w:abstractNumId="7">
    <w:nsid w:val="61A197A1"/>
    <w:multiLevelType w:val="singleLevel"/>
    <w:tmpl w:val="61A197A1"/>
    <w:lvl w:ilvl="0" w:tentative="0">
      <w:start w:val="1"/>
      <w:numFmt w:val="decimal"/>
      <w:suff w:val="nothing"/>
      <w:lvlText w:val="%1、"/>
      <w:lvlJc w:val="left"/>
    </w:lvl>
  </w:abstractNum>
  <w:abstractNum w:abstractNumId="8">
    <w:nsid w:val="644D3847"/>
    <w:multiLevelType w:val="multilevel"/>
    <w:tmpl w:val="644D3847"/>
    <w:lvl w:ilvl="0" w:tentative="0">
      <w:start w:val="1"/>
      <w:numFmt w:val="none"/>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pStyle w:val="178"/>
      <w:suff w:val="nothing"/>
      <w:lvlText w:val="%3、"/>
      <w:lvlJc w:val="left"/>
      <w:pPr>
        <w:ind w:left="420" w:firstLine="0"/>
      </w:pPr>
    </w:lvl>
    <w:lvl w:ilvl="3" w:tentative="0">
      <w:start w:val="1"/>
      <w:numFmt w:val="decimal"/>
      <w:suff w:val="space"/>
      <w:lvlText w:val="%3.%4"/>
      <w:lvlJc w:val="left"/>
      <w:pPr>
        <w:ind w:left="420" w:firstLine="0"/>
      </w:pPr>
      <w:rPr>
        <w:rFonts w:hint="eastAsia"/>
      </w:rPr>
    </w:lvl>
    <w:lvl w:ilvl="4" w:tentative="0">
      <w:start w:val="1"/>
      <w:numFmt w:val="decimal"/>
      <w:suff w:val="space"/>
      <w:lvlText w:val="%3.%4.%5"/>
      <w:lvlJc w:val="left"/>
      <w:pPr>
        <w:ind w:left="0" w:firstLine="0"/>
      </w:pPr>
      <w:rPr>
        <w:rFonts w:hint="eastAsia"/>
      </w:rPr>
    </w:lvl>
    <w:lvl w:ilvl="5" w:tentative="0">
      <w:start w:val="1"/>
      <w:numFmt w:val="decimal"/>
      <w:lvlRestart w:val="0"/>
      <w:suff w:val="space"/>
      <w:lvlText w:val="表%6"/>
      <w:lvlJc w:val="center"/>
      <w:pPr>
        <w:ind w:left="0" w:firstLine="0"/>
      </w:pPr>
    </w:lvl>
    <w:lvl w:ilvl="6" w:tentative="0">
      <w:start w:val="1"/>
      <w:numFmt w:val="decimal"/>
      <w:lvlRestart w:val="0"/>
      <w:suff w:val="space"/>
      <w:lvlText w:val="图%7"/>
      <w:lvlJc w:val="center"/>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8"/>
  </w:num>
  <w:num w:numId="2">
    <w:abstractNumId w:val="3"/>
  </w:num>
  <w:num w:numId="3">
    <w:abstractNumId w:val="2"/>
  </w:num>
  <w:num w:numId="4">
    <w:abstractNumId w:val="7"/>
  </w:num>
  <w:num w:numId="5">
    <w:abstractNumId w:val="4"/>
  </w:num>
  <w:num w:numId="6">
    <w:abstractNumId w:val="0"/>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jg5MTA1ZTdiYzhiMjg4N2VjNGNjYjBhYjE5OTU1NzUifQ=="/>
  </w:docVars>
  <w:rsids>
    <w:rsidRoot w:val="00172A27"/>
    <w:rsid w:val="000011D9"/>
    <w:rsid w:val="00001BA4"/>
    <w:rsid w:val="00003A32"/>
    <w:rsid w:val="00003AFA"/>
    <w:rsid w:val="00003B13"/>
    <w:rsid w:val="00004095"/>
    <w:rsid w:val="000046F3"/>
    <w:rsid w:val="000060B3"/>
    <w:rsid w:val="00006DD3"/>
    <w:rsid w:val="000078E0"/>
    <w:rsid w:val="00010F2A"/>
    <w:rsid w:val="0001194C"/>
    <w:rsid w:val="00013E56"/>
    <w:rsid w:val="000149FF"/>
    <w:rsid w:val="000167BC"/>
    <w:rsid w:val="00016F3F"/>
    <w:rsid w:val="00017C45"/>
    <w:rsid w:val="00021667"/>
    <w:rsid w:val="00025079"/>
    <w:rsid w:val="00026363"/>
    <w:rsid w:val="00027915"/>
    <w:rsid w:val="00027D43"/>
    <w:rsid w:val="00030A55"/>
    <w:rsid w:val="000324FD"/>
    <w:rsid w:val="00033AE4"/>
    <w:rsid w:val="00034DA3"/>
    <w:rsid w:val="00035864"/>
    <w:rsid w:val="00036D0C"/>
    <w:rsid w:val="00040EA1"/>
    <w:rsid w:val="00042286"/>
    <w:rsid w:val="00042775"/>
    <w:rsid w:val="0004277F"/>
    <w:rsid w:val="00042FA6"/>
    <w:rsid w:val="0004364B"/>
    <w:rsid w:val="00043972"/>
    <w:rsid w:val="0004642A"/>
    <w:rsid w:val="00046A9B"/>
    <w:rsid w:val="0005196D"/>
    <w:rsid w:val="000608CD"/>
    <w:rsid w:val="00061B1F"/>
    <w:rsid w:val="00062268"/>
    <w:rsid w:val="0006624E"/>
    <w:rsid w:val="00067D3D"/>
    <w:rsid w:val="00070EC9"/>
    <w:rsid w:val="00072FF2"/>
    <w:rsid w:val="000733C4"/>
    <w:rsid w:val="00074783"/>
    <w:rsid w:val="0007613A"/>
    <w:rsid w:val="0007685D"/>
    <w:rsid w:val="000776B3"/>
    <w:rsid w:val="00080063"/>
    <w:rsid w:val="000806A4"/>
    <w:rsid w:val="0008070B"/>
    <w:rsid w:val="000807D4"/>
    <w:rsid w:val="000810AC"/>
    <w:rsid w:val="00081A02"/>
    <w:rsid w:val="00082231"/>
    <w:rsid w:val="00082DA7"/>
    <w:rsid w:val="00083DF2"/>
    <w:rsid w:val="00090F47"/>
    <w:rsid w:val="000925E1"/>
    <w:rsid w:val="00092D38"/>
    <w:rsid w:val="0009330C"/>
    <w:rsid w:val="0009377B"/>
    <w:rsid w:val="00095375"/>
    <w:rsid w:val="000963CD"/>
    <w:rsid w:val="000A059D"/>
    <w:rsid w:val="000A0C92"/>
    <w:rsid w:val="000A15A8"/>
    <w:rsid w:val="000A20C9"/>
    <w:rsid w:val="000A2A01"/>
    <w:rsid w:val="000A3426"/>
    <w:rsid w:val="000A529D"/>
    <w:rsid w:val="000A6EE6"/>
    <w:rsid w:val="000B058F"/>
    <w:rsid w:val="000B210E"/>
    <w:rsid w:val="000B279F"/>
    <w:rsid w:val="000B3A31"/>
    <w:rsid w:val="000B3F71"/>
    <w:rsid w:val="000B4467"/>
    <w:rsid w:val="000B4DB9"/>
    <w:rsid w:val="000B5C5E"/>
    <w:rsid w:val="000C0086"/>
    <w:rsid w:val="000C09AC"/>
    <w:rsid w:val="000C31ED"/>
    <w:rsid w:val="000C3AA7"/>
    <w:rsid w:val="000C3E13"/>
    <w:rsid w:val="000C629A"/>
    <w:rsid w:val="000C767F"/>
    <w:rsid w:val="000D09F8"/>
    <w:rsid w:val="000D0CB2"/>
    <w:rsid w:val="000D55BD"/>
    <w:rsid w:val="000D5A44"/>
    <w:rsid w:val="000D625F"/>
    <w:rsid w:val="000D7E62"/>
    <w:rsid w:val="000E3B7B"/>
    <w:rsid w:val="000E3ED2"/>
    <w:rsid w:val="000E4589"/>
    <w:rsid w:val="000E5B1C"/>
    <w:rsid w:val="000F222B"/>
    <w:rsid w:val="000F258D"/>
    <w:rsid w:val="000F5ED7"/>
    <w:rsid w:val="000F69E3"/>
    <w:rsid w:val="000F7B01"/>
    <w:rsid w:val="000F7C8D"/>
    <w:rsid w:val="00101881"/>
    <w:rsid w:val="00101C7A"/>
    <w:rsid w:val="001034DC"/>
    <w:rsid w:val="001038C9"/>
    <w:rsid w:val="00105FEF"/>
    <w:rsid w:val="00107888"/>
    <w:rsid w:val="001173D4"/>
    <w:rsid w:val="001210E6"/>
    <w:rsid w:val="00121664"/>
    <w:rsid w:val="00121D94"/>
    <w:rsid w:val="00121FB7"/>
    <w:rsid w:val="00122C80"/>
    <w:rsid w:val="00123D8B"/>
    <w:rsid w:val="00125F5B"/>
    <w:rsid w:val="00131F42"/>
    <w:rsid w:val="0013208C"/>
    <w:rsid w:val="001323A3"/>
    <w:rsid w:val="0013317B"/>
    <w:rsid w:val="001344D6"/>
    <w:rsid w:val="001357F1"/>
    <w:rsid w:val="00135BE4"/>
    <w:rsid w:val="00140FA8"/>
    <w:rsid w:val="00142FEB"/>
    <w:rsid w:val="00143A2D"/>
    <w:rsid w:val="00144527"/>
    <w:rsid w:val="00145A41"/>
    <w:rsid w:val="0015050E"/>
    <w:rsid w:val="00151675"/>
    <w:rsid w:val="00152302"/>
    <w:rsid w:val="00153140"/>
    <w:rsid w:val="00153F06"/>
    <w:rsid w:val="00153F16"/>
    <w:rsid w:val="0015441B"/>
    <w:rsid w:val="00155234"/>
    <w:rsid w:val="00156690"/>
    <w:rsid w:val="00157435"/>
    <w:rsid w:val="00161545"/>
    <w:rsid w:val="00161AD1"/>
    <w:rsid w:val="001644FB"/>
    <w:rsid w:val="00164E1D"/>
    <w:rsid w:val="00165228"/>
    <w:rsid w:val="00171555"/>
    <w:rsid w:val="00172259"/>
    <w:rsid w:val="00172A27"/>
    <w:rsid w:val="00172B7E"/>
    <w:rsid w:val="0017504D"/>
    <w:rsid w:val="0017671A"/>
    <w:rsid w:val="00177422"/>
    <w:rsid w:val="00181574"/>
    <w:rsid w:val="00182BE9"/>
    <w:rsid w:val="00183F3F"/>
    <w:rsid w:val="00184590"/>
    <w:rsid w:val="0018499B"/>
    <w:rsid w:val="00184E72"/>
    <w:rsid w:val="001870D1"/>
    <w:rsid w:val="00187192"/>
    <w:rsid w:val="0018781E"/>
    <w:rsid w:val="00192108"/>
    <w:rsid w:val="0019262D"/>
    <w:rsid w:val="00196AED"/>
    <w:rsid w:val="00196C03"/>
    <w:rsid w:val="00197392"/>
    <w:rsid w:val="0019787E"/>
    <w:rsid w:val="001A1B35"/>
    <w:rsid w:val="001A296E"/>
    <w:rsid w:val="001A48A2"/>
    <w:rsid w:val="001A5E0F"/>
    <w:rsid w:val="001A6F61"/>
    <w:rsid w:val="001B2B69"/>
    <w:rsid w:val="001B393C"/>
    <w:rsid w:val="001B3DC4"/>
    <w:rsid w:val="001B41A3"/>
    <w:rsid w:val="001B4FA1"/>
    <w:rsid w:val="001B72B8"/>
    <w:rsid w:val="001C4A40"/>
    <w:rsid w:val="001C5131"/>
    <w:rsid w:val="001C69B3"/>
    <w:rsid w:val="001C6FBB"/>
    <w:rsid w:val="001D314D"/>
    <w:rsid w:val="001D4705"/>
    <w:rsid w:val="001D5595"/>
    <w:rsid w:val="001D7874"/>
    <w:rsid w:val="001D7F22"/>
    <w:rsid w:val="001E1E3E"/>
    <w:rsid w:val="001E301A"/>
    <w:rsid w:val="001E6FDA"/>
    <w:rsid w:val="001F0F17"/>
    <w:rsid w:val="001F1D58"/>
    <w:rsid w:val="001F3347"/>
    <w:rsid w:val="001F414C"/>
    <w:rsid w:val="001F4BE0"/>
    <w:rsid w:val="001F69E4"/>
    <w:rsid w:val="00201895"/>
    <w:rsid w:val="002019E7"/>
    <w:rsid w:val="00202B50"/>
    <w:rsid w:val="00202D3C"/>
    <w:rsid w:val="00204BB1"/>
    <w:rsid w:val="002059EB"/>
    <w:rsid w:val="00210E9F"/>
    <w:rsid w:val="00210F0E"/>
    <w:rsid w:val="00211125"/>
    <w:rsid w:val="002125B4"/>
    <w:rsid w:val="00214133"/>
    <w:rsid w:val="002155B8"/>
    <w:rsid w:val="00224839"/>
    <w:rsid w:val="002249B2"/>
    <w:rsid w:val="0022507D"/>
    <w:rsid w:val="00225805"/>
    <w:rsid w:val="00226574"/>
    <w:rsid w:val="00226845"/>
    <w:rsid w:val="0022690C"/>
    <w:rsid w:val="0022705D"/>
    <w:rsid w:val="002272B6"/>
    <w:rsid w:val="002278EC"/>
    <w:rsid w:val="002307EE"/>
    <w:rsid w:val="00231182"/>
    <w:rsid w:val="0023188E"/>
    <w:rsid w:val="00231936"/>
    <w:rsid w:val="00231AF5"/>
    <w:rsid w:val="0023280E"/>
    <w:rsid w:val="00235DBB"/>
    <w:rsid w:val="002377D1"/>
    <w:rsid w:val="00240082"/>
    <w:rsid w:val="00240480"/>
    <w:rsid w:val="00245014"/>
    <w:rsid w:val="00246CFE"/>
    <w:rsid w:val="00246EE2"/>
    <w:rsid w:val="002506BC"/>
    <w:rsid w:val="002506E4"/>
    <w:rsid w:val="002523B0"/>
    <w:rsid w:val="002530F8"/>
    <w:rsid w:val="00253A7D"/>
    <w:rsid w:val="00254183"/>
    <w:rsid w:val="00254345"/>
    <w:rsid w:val="00260728"/>
    <w:rsid w:val="00262ED9"/>
    <w:rsid w:val="00264557"/>
    <w:rsid w:val="002664F7"/>
    <w:rsid w:val="0027146C"/>
    <w:rsid w:val="00272A9A"/>
    <w:rsid w:val="002805AB"/>
    <w:rsid w:val="00284204"/>
    <w:rsid w:val="00285599"/>
    <w:rsid w:val="00285C49"/>
    <w:rsid w:val="00291773"/>
    <w:rsid w:val="0029306C"/>
    <w:rsid w:val="0029747C"/>
    <w:rsid w:val="002A011F"/>
    <w:rsid w:val="002A076E"/>
    <w:rsid w:val="002A168C"/>
    <w:rsid w:val="002A22DE"/>
    <w:rsid w:val="002A3DC7"/>
    <w:rsid w:val="002A5B0A"/>
    <w:rsid w:val="002B49E2"/>
    <w:rsid w:val="002B53B6"/>
    <w:rsid w:val="002B7B00"/>
    <w:rsid w:val="002B7C44"/>
    <w:rsid w:val="002C09F2"/>
    <w:rsid w:val="002C2B17"/>
    <w:rsid w:val="002C373F"/>
    <w:rsid w:val="002C5B7C"/>
    <w:rsid w:val="002C61C5"/>
    <w:rsid w:val="002D0DC2"/>
    <w:rsid w:val="002D15A7"/>
    <w:rsid w:val="002D3DD0"/>
    <w:rsid w:val="002E12FC"/>
    <w:rsid w:val="002E1F3A"/>
    <w:rsid w:val="002E298A"/>
    <w:rsid w:val="002E3311"/>
    <w:rsid w:val="002E6E70"/>
    <w:rsid w:val="003003A7"/>
    <w:rsid w:val="00301978"/>
    <w:rsid w:val="0030332C"/>
    <w:rsid w:val="003051C2"/>
    <w:rsid w:val="00305597"/>
    <w:rsid w:val="003056AE"/>
    <w:rsid w:val="00311290"/>
    <w:rsid w:val="00311861"/>
    <w:rsid w:val="00312296"/>
    <w:rsid w:val="00312569"/>
    <w:rsid w:val="00314799"/>
    <w:rsid w:val="00314F0E"/>
    <w:rsid w:val="00315A09"/>
    <w:rsid w:val="00315ABC"/>
    <w:rsid w:val="0031712A"/>
    <w:rsid w:val="003201EC"/>
    <w:rsid w:val="0032196E"/>
    <w:rsid w:val="00321D8E"/>
    <w:rsid w:val="00323232"/>
    <w:rsid w:val="00324CF4"/>
    <w:rsid w:val="00325928"/>
    <w:rsid w:val="003260DA"/>
    <w:rsid w:val="00326417"/>
    <w:rsid w:val="00332863"/>
    <w:rsid w:val="00335639"/>
    <w:rsid w:val="0033684D"/>
    <w:rsid w:val="00337B42"/>
    <w:rsid w:val="00341756"/>
    <w:rsid w:val="00341800"/>
    <w:rsid w:val="00341B42"/>
    <w:rsid w:val="0034348F"/>
    <w:rsid w:val="00343504"/>
    <w:rsid w:val="003449ED"/>
    <w:rsid w:val="00345E53"/>
    <w:rsid w:val="003470ED"/>
    <w:rsid w:val="003545B4"/>
    <w:rsid w:val="00355B24"/>
    <w:rsid w:val="00356653"/>
    <w:rsid w:val="0035743F"/>
    <w:rsid w:val="003574CE"/>
    <w:rsid w:val="00357BE2"/>
    <w:rsid w:val="003602DE"/>
    <w:rsid w:val="0036089A"/>
    <w:rsid w:val="0036170C"/>
    <w:rsid w:val="003654FB"/>
    <w:rsid w:val="00366E0F"/>
    <w:rsid w:val="003677B8"/>
    <w:rsid w:val="00370CC0"/>
    <w:rsid w:val="00374FEE"/>
    <w:rsid w:val="003759E8"/>
    <w:rsid w:val="00381A72"/>
    <w:rsid w:val="00384676"/>
    <w:rsid w:val="00384BA0"/>
    <w:rsid w:val="00385226"/>
    <w:rsid w:val="00385CF8"/>
    <w:rsid w:val="00385F57"/>
    <w:rsid w:val="00385FEA"/>
    <w:rsid w:val="00390857"/>
    <w:rsid w:val="003930FB"/>
    <w:rsid w:val="00397393"/>
    <w:rsid w:val="003A03D5"/>
    <w:rsid w:val="003A4BF3"/>
    <w:rsid w:val="003A4EFE"/>
    <w:rsid w:val="003A76DC"/>
    <w:rsid w:val="003B086A"/>
    <w:rsid w:val="003B420D"/>
    <w:rsid w:val="003B6344"/>
    <w:rsid w:val="003B6D97"/>
    <w:rsid w:val="003B6E72"/>
    <w:rsid w:val="003B7DD4"/>
    <w:rsid w:val="003C020C"/>
    <w:rsid w:val="003C3A9C"/>
    <w:rsid w:val="003C5F21"/>
    <w:rsid w:val="003C6270"/>
    <w:rsid w:val="003C6367"/>
    <w:rsid w:val="003C6C16"/>
    <w:rsid w:val="003D0380"/>
    <w:rsid w:val="003D3161"/>
    <w:rsid w:val="003D384C"/>
    <w:rsid w:val="003D794D"/>
    <w:rsid w:val="003E3058"/>
    <w:rsid w:val="003E4051"/>
    <w:rsid w:val="003E76A9"/>
    <w:rsid w:val="003E7869"/>
    <w:rsid w:val="003F0098"/>
    <w:rsid w:val="003F0809"/>
    <w:rsid w:val="003F3791"/>
    <w:rsid w:val="003F65DA"/>
    <w:rsid w:val="003F69AE"/>
    <w:rsid w:val="003F6A8C"/>
    <w:rsid w:val="003F6B7A"/>
    <w:rsid w:val="003F7263"/>
    <w:rsid w:val="003F755C"/>
    <w:rsid w:val="00403C93"/>
    <w:rsid w:val="004068E6"/>
    <w:rsid w:val="00406F01"/>
    <w:rsid w:val="00407AEA"/>
    <w:rsid w:val="004106A0"/>
    <w:rsid w:val="004112F4"/>
    <w:rsid w:val="0041272E"/>
    <w:rsid w:val="00415596"/>
    <w:rsid w:val="00416D50"/>
    <w:rsid w:val="00416FD5"/>
    <w:rsid w:val="00417772"/>
    <w:rsid w:val="00420E6A"/>
    <w:rsid w:val="0042259D"/>
    <w:rsid w:val="00422BC1"/>
    <w:rsid w:val="00422CBB"/>
    <w:rsid w:val="00422DF1"/>
    <w:rsid w:val="00424256"/>
    <w:rsid w:val="00425A9E"/>
    <w:rsid w:val="00426D6B"/>
    <w:rsid w:val="00426DD9"/>
    <w:rsid w:val="00430C1D"/>
    <w:rsid w:val="00431E6C"/>
    <w:rsid w:val="00433CE7"/>
    <w:rsid w:val="004431AC"/>
    <w:rsid w:val="00450AAA"/>
    <w:rsid w:val="00452738"/>
    <w:rsid w:val="00453A83"/>
    <w:rsid w:val="0045405A"/>
    <w:rsid w:val="00456091"/>
    <w:rsid w:val="004566B5"/>
    <w:rsid w:val="00456E98"/>
    <w:rsid w:val="00457023"/>
    <w:rsid w:val="0046212A"/>
    <w:rsid w:val="00462177"/>
    <w:rsid w:val="00463855"/>
    <w:rsid w:val="00466321"/>
    <w:rsid w:val="00466CA0"/>
    <w:rsid w:val="004719BC"/>
    <w:rsid w:val="00476E03"/>
    <w:rsid w:val="004819C5"/>
    <w:rsid w:val="00484B9B"/>
    <w:rsid w:val="004855F6"/>
    <w:rsid w:val="00485900"/>
    <w:rsid w:val="00485B01"/>
    <w:rsid w:val="0048661E"/>
    <w:rsid w:val="004900BA"/>
    <w:rsid w:val="00494670"/>
    <w:rsid w:val="004A0B81"/>
    <w:rsid w:val="004A16CE"/>
    <w:rsid w:val="004A3823"/>
    <w:rsid w:val="004B3F19"/>
    <w:rsid w:val="004C14CE"/>
    <w:rsid w:val="004D000D"/>
    <w:rsid w:val="004D3B86"/>
    <w:rsid w:val="004D4382"/>
    <w:rsid w:val="004D587B"/>
    <w:rsid w:val="004D58EC"/>
    <w:rsid w:val="004D7036"/>
    <w:rsid w:val="004D7139"/>
    <w:rsid w:val="004D73B1"/>
    <w:rsid w:val="004E3632"/>
    <w:rsid w:val="004E411F"/>
    <w:rsid w:val="004E6946"/>
    <w:rsid w:val="004E7DBF"/>
    <w:rsid w:val="004F1AD8"/>
    <w:rsid w:val="004F54C1"/>
    <w:rsid w:val="004F7172"/>
    <w:rsid w:val="00500110"/>
    <w:rsid w:val="00501FFE"/>
    <w:rsid w:val="00503978"/>
    <w:rsid w:val="005039CB"/>
    <w:rsid w:val="0050558F"/>
    <w:rsid w:val="00506286"/>
    <w:rsid w:val="00510813"/>
    <w:rsid w:val="00511990"/>
    <w:rsid w:val="00511DE0"/>
    <w:rsid w:val="0051439D"/>
    <w:rsid w:val="00514870"/>
    <w:rsid w:val="00514B9B"/>
    <w:rsid w:val="005154FA"/>
    <w:rsid w:val="00516227"/>
    <w:rsid w:val="00517F02"/>
    <w:rsid w:val="0052207D"/>
    <w:rsid w:val="00524303"/>
    <w:rsid w:val="0052506C"/>
    <w:rsid w:val="005258A2"/>
    <w:rsid w:val="00527D89"/>
    <w:rsid w:val="005334F9"/>
    <w:rsid w:val="00535501"/>
    <w:rsid w:val="00536B1A"/>
    <w:rsid w:val="005401AE"/>
    <w:rsid w:val="0054226F"/>
    <w:rsid w:val="00542E07"/>
    <w:rsid w:val="00542E65"/>
    <w:rsid w:val="00545424"/>
    <w:rsid w:val="00554130"/>
    <w:rsid w:val="00554A7B"/>
    <w:rsid w:val="0055572C"/>
    <w:rsid w:val="005562AE"/>
    <w:rsid w:val="00557A3C"/>
    <w:rsid w:val="0056106A"/>
    <w:rsid w:val="00561969"/>
    <w:rsid w:val="00561EFD"/>
    <w:rsid w:val="00561F0E"/>
    <w:rsid w:val="00571DA4"/>
    <w:rsid w:val="005720AE"/>
    <w:rsid w:val="00572963"/>
    <w:rsid w:val="005729CD"/>
    <w:rsid w:val="00577F34"/>
    <w:rsid w:val="00580011"/>
    <w:rsid w:val="00580F31"/>
    <w:rsid w:val="00583188"/>
    <w:rsid w:val="00584461"/>
    <w:rsid w:val="00586B5F"/>
    <w:rsid w:val="00590C3D"/>
    <w:rsid w:val="00594098"/>
    <w:rsid w:val="00594D77"/>
    <w:rsid w:val="005969E4"/>
    <w:rsid w:val="00596E6B"/>
    <w:rsid w:val="005A06B7"/>
    <w:rsid w:val="005A1759"/>
    <w:rsid w:val="005A43BB"/>
    <w:rsid w:val="005A470A"/>
    <w:rsid w:val="005A53FB"/>
    <w:rsid w:val="005A688A"/>
    <w:rsid w:val="005A68A7"/>
    <w:rsid w:val="005B36C9"/>
    <w:rsid w:val="005B7915"/>
    <w:rsid w:val="005B7AAF"/>
    <w:rsid w:val="005B7C6E"/>
    <w:rsid w:val="005C0639"/>
    <w:rsid w:val="005C1CF6"/>
    <w:rsid w:val="005D0462"/>
    <w:rsid w:val="005D19C5"/>
    <w:rsid w:val="005D28CB"/>
    <w:rsid w:val="005D36AB"/>
    <w:rsid w:val="005D37D4"/>
    <w:rsid w:val="005D4657"/>
    <w:rsid w:val="005D7B1D"/>
    <w:rsid w:val="005E4E86"/>
    <w:rsid w:val="005E5937"/>
    <w:rsid w:val="005E747A"/>
    <w:rsid w:val="005E7D67"/>
    <w:rsid w:val="005F28EC"/>
    <w:rsid w:val="005F3418"/>
    <w:rsid w:val="005F411E"/>
    <w:rsid w:val="005F4C2C"/>
    <w:rsid w:val="005F57F5"/>
    <w:rsid w:val="005F638F"/>
    <w:rsid w:val="005F73AF"/>
    <w:rsid w:val="006002FA"/>
    <w:rsid w:val="00601319"/>
    <w:rsid w:val="00604905"/>
    <w:rsid w:val="0061109C"/>
    <w:rsid w:val="00611E5F"/>
    <w:rsid w:val="00616B38"/>
    <w:rsid w:val="006172BA"/>
    <w:rsid w:val="00617CC3"/>
    <w:rsid w:val="00626970"/>
    <w:rsid w:val="00632556"/>
    <w:rsid w:val="006329F7"/>
    <w:rsid w:val="00632A00"/>
    <w:rsid w:val="00634F9E"/>
    <w:rsid w:val="00635848"/>
    <w:rsid w:val="006377A6"/>
    <w:rsid w:val="00637A3D"/>
    <w:rsid w:val="00640254"/>
    <w:rsid w:val="006411EF"/>
    <w:rsid w:val="00646136"/>
    <w:rsid w:val="0064669A"/>
    <w:rsid w:val="00646CEB"/>
    <w:rsid w:val="00646D4B"/>
    <w:rsid w:val="00647306"/>
    <w:rsid w:val="006546DB"/>
    <w:rsid w:val="0065599B"/>
    <w:rsid w:val="00663793"/>
    <w:rsid w:val="00663CD8"/>
    <w:rsid w:val="006700A1"/>
    <w:rsid w:val="0067046F"/>
    <w:rsid w:val="0067395A"/>
    <w:rsid w:val="006748B8"/>
    <w:rsid w:val="006775C3"/>
    <w:rsid w:val="006805B5"/>
    <w:rsid w:val="0068336D"/>
    <w:rsid w:val="006842DE"/>
    <w:rsid w:val="006865D7"/>
    <w:rsid w:val="00687E94"/>
    <w:rsid w:val="00690077"/>
    <w:rsid w:val="006901BC"/>
    <w:rsid w:val="00690588"/>
    <w:rsid w:val="0069270E"/>
    <w:rsid w:val="0069290A"/>
    <w:rsid w:val="00693EC5"/>
    <w:rsid w:val="006950EF"/>
    <w:rsid w:val="0069520C"/>
    <w:rsid w:val="0069775A"/>
    <w:rsid w:val="00697813"/>
    <w:rsid w:val="006A3EE8"/>
    <w:rsid w:val="006A4C55"/>
    <w:rsid w:val="006A70E7"/>
    <w:rsid w:val="006A72BF"/>
    <w:rsid w:val="006B03F2"/>
    <w:rsid w:val="006B37DC"/>
    <w:rsid w:val="006B4F68"/>
    <w:rsid w:val="006B61A8"/>
    <w:rsid w:val="006C0592"/>
    <w:rsid w:val="006C19FC"/>
    <w:rsid w:val="006C2422"/>
    <w:rsid w:val="006C272E"/>
    <w:rsid w:val="006C29EC"/>
    <w:rsid w:val="006C2FE0"/>
    <w:rsid w:val="006C48CF"/>
    <w:rsid w:val="006C5479"/>
    <w:rsid w:val="006C67D3"/>
    <w:rsid w:val="006C716B"/>
    <w:rsid w:val="006C73F1"/>
    <w:rsid w:val="006D13B5"/>
    <w:rsid w:val="006D1CEC"/>
    <w:rsid w:val="006D1F5F"/>
    <w:rsid w:val="006D2735"/>
    <w:rsid w:val="006D2A8B"/>
    <w:rsid w:val="006D4A0D"/>
    <w:rsid w:val="006D5F82"/>
    <w:rsid w:val="006E12FF"/>
    <w:rsid w:val="006E5A4A"/>
    <w:rsid w:val="006E607E"/>
    <w:rsid w:val="006E625D"/>
    <w:rsid w:val="006E6477"/>
    <w:rsid w:val="006F0747"/>
    <w:rsid w:val="006F1114"/>
    <w:rsid w:val="006F186A"/>
    <w:rsid w:val="006F27A6"/>
    <w:rsid w:val="006F4B5E"/>
    <w:rsid w:val="006F6D31"/>
    <w:rsid w:val="00701FCB"/>
    <w:rsid w:val="0070243D"/>
    <w:rsid w:val="00703122"/>
    <w:rsid w:val="007043CA"/>
    <w:rsid w:val="007043F9"/>
    <w:rsid w:val="00705821"/>
    <w:rsid w:val="00706C5D"/>
    <w:rsid w:val="007111DC"/>
    <w:rsid w:val="00711DFC"/>
    <w:rsid w:val="00715D1A"/>
    <w:rsid w:val="0071638A"/>
    <w:rsid w:val="00716E2D"/>
    <w:rsid w:val="00716EED"/>
    <w:rsid w:val="00720886"/>
    <w:rsid w:val="007222A5"/>
    <w:rsid w:val="00725DE5"/>
    <w:rsid w:val="00731A07"/>
    <w:rsid w:val="00731E3E"/>
    <w:rsid w:val="00732922"/>
    <w:rsid w:val="0073396B"/>
    <w:rsid w:val="00737791"/>
    <w:rsid w:val="00742985"/>
    <w:rsid w:val="00742D6E"/>
    <w:rsid w:val="007435B1"/>
    <w:rsid w:val="00744218"/>
    <w:rsid w:val="007454E6"/>
    <w:rsid w:val="007462EA"/>
    <w:rsid w:val="0074673B"/>
    <w:rsid w:val="00747AB6"/>
    <w:rsid w:val="0075067D"/>
    <w:rsid w:val="0075162E"/>
    <w:rsid w:val="00751EB7"/>
    <w:rsid w:val="00754034"/>
    <w:rsid w:val="00754BA3"/>
    <w:rsid w:val="007556E2"/>
    <w:rsid w:val="00755DAD"/>
    <w:rsid w:val="00756556"/>
    <w:rsid w:val="007616A3"/>
    <w:rsid w:val="007618C4"/>
    <w:rsid w:val="00763C5C"/>
    <w:rsid w:val="00764793"/>
    <w:rsid w:val="00767980"/>
    <w:rsid w:val="00770B19"/>
    <w:rsid w:val="00771A52"/>
    <w:rsid w:val="007737DB"/>
    <w:rsid w:val="00774462"/>
    <w:rsid w:val="0077463F"/>
    <w:rsid w:val="00774A82"/>
    <w:rsid w:val="00780096"/>
    <w:rsid w:val="007836EA"/>
    <w:rsid w:val="00784CDA"/>
    <w:rsid w:val="00785E60"/>
    <w:rsid w:val="007906C4"/>
    <w:rsid w:val="007907EE"/>
    <w:rsid w:val="0079393F"/>
    <w:rsid w:val="007940EA"/>
    <w:rsid w:val="00795DCD"/>
    <w:rsid w:val="0079634F"/>
    <w:rsid w:val="007967E8"/>
    <w:rsid w:val="007A2170"/>
    <w:rsid w:val="007A22BF"/>
    <w:rsid w:val="007A3323"/>
    <w:rsid w:val="007A3C60"/>
    <w:rsid w:val="007A553D"/>
    <w:rsid w:val="007B02EB"/>
    <w:rsid w:val="007B041A"/>
    <w:rsid w:val="007B0616"/>
    <w:rsid w:val="007B4A94"/>
    <w:rsid w:val="007B5740"/>
    <w:rsid w:val="007B72B8"/>
    <w:rsid w:val="007B7A58"/>
    <w:rsid w:val="007C0459"/>
    <w:rsid w:val="007C09B0"/>
    <w:rsid w:val="007C21B5"/>
    <w:rsid w:val="007C3389"/>
    <w:rsid w:val="007C419B"/>
    <w:rsid w:val="007C5CFF"/>
    <w:rsid w:val="007C6F11"/>
    <w:rsid w:val="007D14F6"/>
    <w:rsid w:val="007D1A1E"/>
    <w:rsid w:val="007D1BCB"/>
    <w:rsid w:val="007E0E12"/>
    <w:rsid w:val="007E1946"/>
    <w:rsid w:val="007E2A73"/>
    <w:rsid w:val="007E33BB"/>
    <w:rsid w:val="007E4BD2"/>
    <w:rsid w:val="007F4340"/>
    <w:rsid w:val="007F6701"/>
    <w:rsid w:val="008004AE"/>
    <w:rsid w:val="00801104"/>
    <w:rsid w:val="00801393"/>
    <w:rsid w:val="00801D05"/>
    <w:rsid w:val="00802809"/>
    <w:rsid w:val="00802F88"/>
    <w:rsid w:val="0081293E"/>
    <w:rsid w:val="008138A7"/>
    <w:rsid w:val="0081539E"/>
    <w:rsid w:val="00815465"/>
    <w:rsid w:val="0081724D"/>
    <w:rsid w:val="00817561"/>
    <w:rsid w:val="00817979"/>
    <w:rsid w:val="00817E9A"/>
    <w:rsid w:val="00825F17"/>
    <w:rsid w:val="00826595"/>
    <w:rsid w:val="00830610"/>
    <w:rsid w:val="008306BD"/>
    <w:rsid w:val="00831910"/>
    <w:rsid w:val="00831A80"/>
    <w:rsid w:val="00831CA5"/>
    <w:rsid w:val="00832609"/>
    <w:rsid w:val="00832E29"/>
    <w:rsid w:val="00833743"/>
    <w:rsid w:val="00833BBB"/>
    <w:rsid w:val="008340A4"/>
    <w:rsid w:val="00845207"/>
    <w:rsid w:val="00845C73"/>
    <w:rsid w:val="00847A2C"/>
    <w:rsid w:val="00850127"/>
    <w:rsid w:val="0085040D"/>
    <w:rsid w:val="0085065D"/>
    <w:rsid w:val="008520AD"/>
    <w:rsid w:val="0085270B"/>
    <w:rsid w:val="00853659"/>
    <w:rsid w:val="0085752B"/>
    <w:rsid w:val="008626EB"/>
    <w:rsid w:val="00863865"/>
    <w:rsid w:val="0086439D"/>
    <w:rsid w:val="008654C9"/>
    <w:rsid w:val="0087135F"/>
    <w:rsid w:val="00871733"/>
    <w:rsid w:val="00872D94"/>
    <w:rsid w:val="00872E01"/>
    <w:rsid w:val="008755A8"/>
    <w:rsid w:val="00876705"/>
    <w:rsid w:val="00880364"/>
    <w:rsid w:val="008812A0"/>
    <w:rsid w:val="00884FED"/>
    <w:rsid w:val="00885AA3"/>
    <w:rsid w:val="00886F13"/>
    <w:rsid w:val="00891592"/>
    <w:rsid w:val="00891E9E"/>
    <w:rsid w:val="0089514F"/>
    <w:rsid w:val="00897CBD"/>
    <w:rsid w:val="008A2F68"/>
    <w:rsid w:val="008A652C"/>
    <w:rsid w:val="008B4C67"/>
    <w:rsid w:val="008B4FA6"/>
    <w:rsid w:val="008B5282"/>
    <w:rsid w:val="008B682D"/>
    <w:rsid w:val="008B70EA"/>
    <w:rsid w:val="008B7C17"/>
    <w:rsid w:val="008C24A8"/>
    <w:rsid w:val="008C2D01"/>
    <w:rsid w:val="008C40E6"/>
    <w:rsid w:val="008C52A8"/>
    <w:rsid w:val="008C62FB"/>
    <w:rsid w:val="008D0F7A"/>
    <w:rsid w:val="008D42D3"/>
    <w:rsid w:val="008D68E4"/>
    <w:rsid w:val="008D728C"/>
    <w:rsid w:val="008D79C2"/>
    <w:rsid w:val="008E0506"/>
    <w:rsid w:val="008E0CFF"/>
    <w:rsid w:val="008E4B74"/>
    <w:rsid w:val="008E5D6B"/>
    <w:rsid w:val="008E76F0"/>
    <w:rsid w:val="008F15FE"/>
    <w:rsid w:val="008F2D29"/>
    <w:rsid w:val="008F5187"/>
    <w:rsid w:val="008F550C"/>
    <w:rsid w:val="008F60D8"/>
    <w:rsid w:val="008F6F4A"/>
    <w:rsid w:val="00900DBF"/>
    <w:rsid w:val="00902727"/>
    <w:rsid w:val="0090312B"/>
    <w:rsid w:val="00906295"/>
    <w:rsid w:val="00907502"/>
    <w:rsid w:val="00910F07"/>
    <w:rsid w:val="00911322"/>
    <w:rsid w:val="00912DD5"/>
    <w:rsid w:val="0091539A"/>
    <w:rsid w:val="0091736D"/>
    <w:rsid w:val="00917CD1"/>
    <w:rsid w:val="00923919"/>
    <w:rsid w:val="00923B8F"/>
    <w:rsid w:val="00923FF7"/>
    <w:rsid w:val="00924155"/>
    <w:rsid w:val="00924894"/>
    <w:rsid w:val="00925BFC"/>
    <w:rsid w:val="0093037A"/>
    <w:rsid w:val="0093529A"/>
    <w:rsid w:val="00935A82"/>
    <w:rsid w:val="009360D2"/>
    <w:rsid w:val="00937586"/>
    <w:rsid w:val="0094154D"/>
    <w:rsid w:val="00941A93"/>
    <w:rsid w:val="00942706"/>
    <w:rsid w:val="00945638"/>
    <w:rsid w:val="0095155F"/>
    <w:rsid w:val="009529F4"/>
    <w:rsid w:val="00954429"/>
    <w:rsid w:val="009563CE"/>
    <w:rsid w:val="00963928"/>
    <w:rsid w:val="00965C0E"/>
    <w:rsid w:val="00965CCC"/>
    <w:rsid w:val="0097037E"/>
    <w:rsid w:val="00975F33"/>
    <w:rsid w:val="00976328"/>
    <w:rsid w:val="0097680D"/>
    <w:rsid w:val="00980BF8"/>
    <w:rsid w:val="00982438"/>
    <w:rsid w:val="0098404C"/>
    <w:rsid w:val="00985283"/>
    <w:rsid w:val="00990AA5"/>
    <w:rsid w:val="00991C2A"/>
    <w:rsid w:val="009930A9"/>
    <w:rsid w:val="00993243"/>
    <w:rsid w:val="00994E60"/>
    <w:rsid w:val="00995992"/>
    <w:rsid w:val="00995DC3"/>
    <w:rsid w:val="009A03E5"/>
    <w:rsid w:val="009A0F3B"/>
    <w:rsid w:val="009A1BB4"/>
    <w:rsid w:val="009A2628"/>
    <w:rsid w:val="009A3200"/>
    <w:rsid w:val="009A492F"/>
    <w:rsid w:val="009A77FD"/>
    <w:rsid w:val="009B0897"/>
    <w:rsid w:val="009B4DE3"/>
    <w:rsid w:val="009B56F8"/>
    <w:rsid w:val="009B6642"/>
    <w:rsid w:val="009B7BD9"/>
    <w:rsid w:val="009C1957"/>
    <w:rsid w:val="009C2A3A"/>
    <w:rsid w:val="009C2B7E"/>
    <w:rsid w:val="009C2F42"/>
    <w:rsid w:val="009C688B"/>
    <w:rsid w:val="009C71EB"/>
    <w:rsid w:val="009C7DD5"/>
    <w:rsid w:val="009D025A"/>
    <w:rsid w:val="009D2781"/>
    <w:rsid w:val="009D3954"/>
    <w:rsid w:val="009D3F2A"/>
    <w:rsid w:val="009D49C1"/>
    <w:rsid w:val="009D58E0"/>
    <w:rsid w:val="009E18FA"/>
    <w:rsid w:val="009E208B"/>
    <w:rsid w:val="009E227D"/>
    <w:rsid w:val="009E5019"/>
    <w:rsid w:val="009E5027"/>
    <w:rsid w:val="009E6F64"/>
    <w:rsid w:val="009F023F"/>
    <w:rsid w:val="009F09DC"/>
    <w:rsid w:val="009F3F87"/>
    <w:rsid w:val="009F4259"/>
    <w:rsid w:val="009F7B69"/>
    <w:rsid w:val="009F7BDA"/>
    <w:rsid w:val="00A04F1B"/>
    <w:rsid w:val="00A0501B"/>
    <w:rsid w:val="00A072CD"/>
    <w:rsid w:val="00A0776D"/>
    <w:rsid w:val="00A11459"/>
    <w:rsid w:val="00A14947"/>
    <w:rsid w:val="00A14D7C"/>
    <w:rsid w:val="00A201A7"/>
    <w:rsid w:val="00A211E8"/>
    <w:rsid w:val="00A232AB"/>
    <w:rsid w:val="00A26D85"/>
    <w:rsid w:val="00A31F9A"/>
    <w:rsid w:val="00A32A83"/>
    <w:rsid w:val="00A368DB"/>
    <w:rsid w:val="00A40016"/>
    <w:rsid w:val="00A423AA"/>
    <w:rsid w:val="00A473E6"/>
    <w:rsid w:val="00A514E9"/>
    <w:rsid w:val="00A51A5A"/>
    <w:rsid w:val="00A53EC6"/>
    <w:rsid w:val="00A53FAB"/>
    <w:rsid w:val="00A55C0F"/>
    <w:rsid w:val="00A56EA9"/>
    <w:rsid w:val="00A60524"/>
    <w:rsid w:val="00A62D7B"/>
    <w:rsid w:val="00A641C7"/>
    <w:rsid w:val="00A727FF"/>
    <w:rsid w:val="00A7492C"/>
    <w:rsid w:val="00A760B7"/>
    <w:rsid w:val="00A7678E"/>
    <w:rsid w:val="00A84D0B"/>
    <w:rsid w:val="00A8713F"/>
    <w:rsid w:val="00A87914"/>
    <w:rsid w:val="00A90BA1"/>
    <w:rsid w:val="00A90E29"/>
    <w:rsid w:val="00A9233D"/>
    <w:rsid w:val="00A93A9C"/>
    <w:rsid w:val="00A945DF"/>
    <w:rsid w:val="00A97A9A"/>
    <w:rsid w:val="00AA0671"/>
    <w:rsid w:val="00AA15DD"/>
    <w:rsid w:val="00AA1678"/>
    <w:rsid w:val="00AA2531"/>
    <w:rsid w:val="00AA56B0"/>
    <w:rsid w:val="00AA7C31"/>
    <w:rsid w:val="00AB1E09"/>
    <w:rsid w:val="00AB5330"/>
    <w:rsid w:val="00AB7747"/>
    <w:rsid w:val="00AC0CA7"/>
    <w:rsid w:val="00AC1288"/>
    <w:rsid w:val="00AC14CE"/>
    <w:rsid w:val="00AC1E62"/>
    <w:rsid w:val="00AC1EE8"/>
    <w:rsid w:val="00AC2A56"/>
    <w:rsid w:val="00AC30C4"/>
    <w:rsid w:val="00AC5333"/>
    <w:rsid w:val="00AD055E"/>
    <w:rsid w:val="00AD47A7"/>
    <w:rsid w:val="00AD6594"/>
    <w:rsid w:val="00AD6AB1"/>
    <w:rsid w:val="00AD6FA5"/>
    <w:rsid w:val="00AD79C5"/>
    <w:rsid w:val="00AE09C0"/>
    <w:rsid w:val="00AE17BC"/>
    <w:rsid w:val="00AE2A33"/>
    <w:rsid w:val="00AE64B5"/>
    <w:rsid w:val="00AE7897"/>
    <w:rsid w:val="00AE793F"/>
    <w:rsid w:val="00AF0CBF"/>
    <w:rsid w:val="00AF1ADF"/>
    <w:rsid w:val="00AF257F"/>
    <w:rsid w:val="00AF2A16"/>
    <w:rsid w:val="00AF33CF"/>
    <w:rsid w:val="00AF4D50"/>
    <w:rsid w:val="00AF4D6C"/>
    <w:rsid w:val="00AF6179"/>
    <w:rsid w:val="00AF645E"/>
    <w:rsid w:val="00B00C08"/>
    <w:rsid w:val="00B01FEA"/>
    <w:rsid w:val="00B033F0"/>
    <w:rsid w:val="00B06C61"/>
    <w:rsid w:val="00B12906"/>
    <w:rsid w:val="00B1295A"/>
    <w:rsid w:val="00B1295D"/>
    <w:rsid w:val="00B14630"/>
    <w:rsid w:val="00B17AA5"/>
    <w:rsid w:val="00B20A45"/>
    <w:rsid w:val="00B216AD"/>
    <w:rsid w:val="00B221EA"/>
    <w:rsid w:val="00B22C5C"/>
    <w:rsid w:val="00B22EFE"/>
    <w:rsid w:val="00B24F30"/>
    <w:rsid w:val="00B24F79"/>
    <w:rsid w:val="00B30323"/>
    <w:rsid w:val="00B30DB1"/>
    <w:rsid w:val="00B31ABF"/>
    <w:rsid w:val="00B33BE3"/>
    <w:rsid w:val="00B3415B"/>
    <w:rsid w:val="00B36993"/>
    <w:rsid w:val="00B44FB8"/>
    <w:rsid w:val="00B45D9D"/>
    <w:rsid w:val="00B531F2"/>
    <w:rsid w:val="00B53B5D"/>
    <w:rsid w:val="00B551B3"/>
    <w:rsid w:val="00B56427"/>
    <w:rsid w:val="00B6055E"/>
    <w:rsid w:val="00B60D75"/>
    <w:rsid w:val="00B61952"/>
    <w:rsid w:val="00B62A27"/>
    <w:rsid w:val="00B6317D"/>
    <w:rsid w:val="00B70E95"/>
    <w:rsid w:val="00B71756"/>
    <w:rsid w:val="00B73A9D"/>
    <w:rsid w:val="00B7723F"/>
    <w:rsid w:val="00B775E7"/>
    <w:rsid w:val="00B803BD"/>
    <w:rsid w:val="00B80534"/>
    <w:rsid w:val="00B8260E"/>
    <w:rsid w:val="00B829D3"/>
    <w:rsid w:val="00B8433C"/>
    <w:rsid w:val="00B87491"/>
    <w:rsid w:val="00B95A28"/>
    <w:rsid w:val="00B97664"/>
    <w:rsid w:val="00BA0F9B"/>
    <w:rsid w:val="00BA29E9"/>
    <w:rsid w:val="00BA7142"/>
    <w:rsid w:val="00BB13AC"/>
    <w:rsid w:val="00BB237C"/>
    <w:rsid w:val="00BB29D7"/>
    <w:rsid w:val="00BB31B9"/>
    <w:rsid w:val="00BB41A3"/>
    <w:rsid w:val="00BB5691"/>
    <w:rsid w:val="00BB64FE"/>
    <w:rsid w:val="00BB69FA"/>
    <w:rsid w:val="00BC209D"/>
    <w:rsid w:val="00BC32DC"/>
    <w:rsid w:val="00BC35B6"/>
    <w:rsid w:val="00BD1B51"/>
    <w:rsid w:val="00BD29A5"/>
    <w:rsid w:val="00BD37CB"/>
    <w:rsid w:val="00BD4596"/>
    <w:rsid w:val="00BD70AD"/>
    <w:rsid w:val="00BD7491"/>
    <w:rsid w:val="00BD7A3F"/>
    <w:rsid w:val="00BE06B0"/>
    <w:rsid w:val="00BE1405"/>
    <w:rsid w:val="00BE312D"/>
    <w:rsid w:val="00BE31CC"/>
    <w:rsid w:val="00BE479C"/>
    <w:rsid w:val="00BE533C"/>
    <w:rsid w:val="00BE6EA7"/>
    <w:rsid w:val="00BF1566"/>
    <w:rsid w:val="00BF1C20"/>
    <w:rsid w:val="00BF338A"/>
    <w:rsid w:val="00BF6929"/>
    <w:rsid w:val="00BF6EB5"/>
    <w:rsid w:val="00C02D03"/>
    <w:rsid w:val="00C06266"/>
    <w:rsid w:val="00C07F80"/>
    <w:rsid w:val="00C10578"/>
    <w:rsid w:val="00C11D54"/>
    <w:rsid w:val="00C135BC"/>
    <w:rsid w:val="00C13767"/>
    <w:rsid w:val="00C15C95"/>
    <w:rsid w:val="00C21361"/>
    <w:rsid w:val="00C23B20"/>
    <w:rsid w:val="00C2590C"/>
    <w:rsid w:val="00C2596A"/>
    <w:rsid w:val="00C2699F"/>
    <w:rsid w:val="00C273B1"/>
    <w:rsid w:val="00C27537"/>
    <w:rsid w:val="00C3077F"/>
    <w:rsid w:val="00C312EF"/>
    <w:rsid w:val="00C328FE"/>
    <w:rsid w:val="00C329B1"/>
    <w:rsid w:val="00C3327C"/>
    <w:rsid w:val="00C33507"/>
    <w:rsid w:val="00C41152"/>
    <w:rsid w:val="00C420A1"/>
    <w:rsid w:val="00C43B3E"/>
    <w:rsid w:val="00C4409D"/>
    <w:rsid w:val="00C44B20"/>
    <w:rsid w:val="00C44E72"/>
    <w:rsid w:val="00C45A06"/>
    <w:rsid w:val="00C464B3"/>
    <w:rsid w:val="00C4651D"/>
    <w:rsid w:val="00C46B9C"/>
    <w:rsid w:val="00C47E5B"/>
    <w:rsid w:val="00C503C6"/>
    <w:rsid w:val="00C50FB8"/>
    <w:rsid w:val="00C51417"/>
    <w:rsid w:val="00C51679"/>
    <w:rsid w:val="00C56412"/>
    <w:rsid w:val="00C56A7B"/>
    <w:rsid w:val="00C5740A"/>
    <w:rsid w:val="00C61E4B"/>
    <w:rsid w:val="00C63551"/>
    <w:rsid w:val="00C6433E"/>
    <w:rsid w:val="00C64BFF"/>
    <w:rsid w:val="00C65DBE"/>
    <w:rsid w:val="00C66B01"/>
    <w:rsid w:val="00C704E9"/>
    <w:rsid w:val="00C71BD3"/>
    <w:rsid w:val="00C75B3F"/>
    <w:rsid w:val="00C763C9"/>
    <w:rsid w:val="00C77CD9"/>
    <w:rsid w:val="00C80057"/>
    <w:rsid w:val="00C82232"/>
    <w:rsid w:val="00C82913"/>
    <w:rsid w:val="00C82E91"/>
    <w:rsid w:val="00C85EDF"/>
    <w:rsid w:val="00C9504C"/>
    <w:rsid w:val="00C972B1"/>
    <w:rsid w:val="00CA2CCE"/>
    <w:rsid w:val="00CA3802"/>
    <w:rsid w:val="00CA43FD"/>
    <w:rsid w:val="00CA453A"/>
    <w:rsid w:val="00CA61AB"/>
    <w:rsid w:val="00CA6652"/>
    <w:rsid w:val="00CA7EF8"/>
    <w:rsid w:val="00CB1BC4"/>
    <w:rsid w:val="00CB1E3A"/>
    <w:rsid w:val="00CB3B57"/>
    <w:rsid w:val="00CB5165"/>
    <w:rsid w:val="00CC1A9C"/>
    <w:rsid w:val="00CC2FDF"/>
    <w:rsid w:val="00CC45F0"/>
    <w:rsid w:val="00CC489B"/>
    <w:rsid w:val="00CC527D"/>
    <w:rsid w:val="00CD2BCD"/>
    <w:rsid w:val="00CD3A4C"/>
    <w:rsid w:val="00CE08AB"/>
    <w:rsid w:val="00CE10E9"/>
    <w:rsid w:val="00CE2910"/>
    <w:rsid w:val="00CE37DD"/>
    <w:rsid w:val="00CE3D21"/>
    <w:rsid w:val="00CE47C5"/>
    <w:rsid w:val="00CE5393"/>
    <w:rsid w:val="00CE6401"/>
    <w:rsid w:val="00CE75EE"/>
    <w:rsid w:val="00CE7E30"/>
    <w:rsid w:val="00CF2AB1"/>
    <w:rsid w:val="00CF36BE"/>
    <w:rsid w:val="00CF54B5"/>
    <w:rsid w:val="00CF6000"/>
    <w:rsid w:val="00CF6385"/>
    <w:rsid w:val="00D003F3"/>
    <w:rsid w:val="00D0216E"/>
    <w:rsid w:val="00D02D6D"/>
    <w:rsid w:val="00D0364F"/>
    <w:rsid w:val="00D06834"/>
    <w:rsid w:val="00D100BA"/>
    <w:rsid w:val="00D103BE"/>
    <w:rsid w:val="00D14060"/>
    <w:rsid w:val="00D14519"/>
    <w:rsid w:val="00D1528C"/>
    <w:rsid w:val="00D210F4"/>
    <w:rsid w:val="00D227CD"/>
    <w:rsid w:val="00D308ED"/>
    <w:rsid w:val="00D31F95"/>
    <w:rsid w:val="00D320CF"/>
    <w:rsid w:val="00D36D86"/>
    <w:rsid w:val="00D37DAD"/>
    <w:rsid w:val="00D4141F"/>
    <w:rsid w:val="00D428AA"/>
    <w:rsid w:val="00D42C49"/>
    <w:rsid w:val="00D44153"/>
    <w:rsid w:val="00D4785C"/>
    <w:rsid w:val="00D50A34"/>
    <w:rsid w:val="00D52DEA"/>
    <w:rsid w:val="00D53E86"/>
    <w:rsid w:val="00D53EFA"/>
    <w:rsid w:val="00D54A23"/>
    <w:rsid w:val="00D64293"/>
    <w:rsid w:val="00D66323"/>
    <w:rsid w:val="00D67DB0"/>
    <w:rsid w:val="00D67DF1"/>
    <w:rsid w:val="00D7011E"/>
    <w:rsid w:val="00D70A19"/>
    <w:rsid w:val="00D71486"/>
    <w:rsid w:val="00D72658"/>
    <w:rsid w:val="00D744B5"/>
    <w:rsid w:val="00D7506A"/>
    <w:rsid w:val="00D750F7"/>
    <w:rsid w:val="00D80206"/>
    <w:rsid w:val="00D80F8D"/>
    <w:rsid w:val="00D81F30"/>
    <w:rsid w:val="00D82D4B"/>
    <w:rsid w:val="00D90E39"/>
    <w:rsid w:val="00D94A7C"/>
    <w:rsid w:val="00D95896"/>
    <w:rsid w:val="00D966F7"/>
    <w:rsid w:val="00DA4753"/>
    <w:rsid w:val="00DA4936"/>
    <w:rsid w:val="00DA503C"/>
    <w:rsid w:val="00DA5FE3"/>
    <w:rsid w:val="00DB10EE"/>
    <w:rsid w:val="00DB2983"/>
    <w:rsid w:val="00DB5D0B"/>
    <w:rsid w:val="00DB5FFB"/>
    <w:rsid w:val="00DC1257"/>
    <w:rsid w:val="00DC3DC0"/>
    <w:rsid w:val="00DC5B2B"/>
    <w:rsid w:val="00DD28B6"/>
    <w:rsid w:val="00DD318D"/>
    <w:rsid w:val="00DD33E6"/>
    <w:rsid w:val="00DD380F"/>
    <w:rsid w:val="00DE194C"/>
    <w:rsid w:val="00DE1E0F"/>
    <w:rsid w:val="00DE1E33"/>
    <w:rsid w:val="00DE2C9D"/>
    <w:rsid w:val="00DF1FED"/>
    <w:rsid w:val="00DF2E12"/>
    <w:rsid w:val="00DF514A"/>
    <w:rsid w:val="00DF5E51"/>
    <w:rsid w:val="00DF6690"/>
    <w:rsid w:val="00DF6804"/>
    <w:rsid w:val="00E01CA9"/>
    <w:rsid w:val="00E0358D"/>
    <w:rsid w:val="00E03D17"/>
    <w:rsid w:val="00E041D8"/>
    <w:rsid w:val="00E04323"/>
    <w:rsid w:val="00E05773"/>
    <w:rsid w:val="00E05A7D"/>
    <w:rsid w:val="00E06B71"/>
    <w:rsid w:val="00E070A2"/>
    <w:rsid w:val="00E13FC7"/>
    <w:rsid w:val="00E176FF"/>
    <w:rsid w:val="00E20C29"/>
    <w:rsid w:val="00E21202"/>
    <w:rsid w:val="00E24D76"/>
    <w:rsid w:val="00E2656A"/>
    <w:rsid w:val="00E31152"/>
    <w:rsid w:val="00E322E1"/>
    <w:rsid w:val="00E33051"/>
    <w:rsid w:val="00E33203"/>
    <w:rsid w:val="00E3554C"/>
    <w:rsid w:val="00E4004C"/>
    <w:rsid w:val="00E412D0"/>
    <w:rsid w:val="00E472F6"/>
    <w:rsid w:val="00E47552"/>
    <w:rsid w:val="00E55099"/>
    <w:rsid w:val="00E56322"/>
    <w:rsid w:val="00E567F2"/>
    <w:rsid w:val="00E578F6"/>
    <w:rsid w:val="00E600E6"/>
    <w:rsid w:val="00E60982"/>
    <w:rsid w:val="00E60B0A"/>
    <w:rsid w:val="00E61A6C"/>
    <w:rsid w:val="00E62C62"/>
    <w:rsid w:val="00E62D6F"/>
    <w:rsid w:val="00E634CD"/>
    <w:rsid w:val="00E639D7"/>
    <w:rsid w:val="00E63BD5"/>
    <w:rsid w:val="00E645F3"/>
    <w:rsid w:val="00E6524A"/>
    <w:rsid w:val="00E654C1"/>
    <w:rsid w:val="00E65D97"/>
    <w:rsid w:val="00E666AD"/>
    <w:rsid w:val="00E72082"/>
    <w:rsid w:val="00E72A5A"/>
    <w:rsid w:val="00E73354"/>
    <w:rsid w:val="00E76ABB"/>
    <w:rsid w:val="00E76FE9"/>
    <w:rsid w:val="00E77E41"/>
    <w:rsid w:val="00E821F4"/>
    <w:rsid w:val="00E8307F"/>
    <w:rsid w:val="00E84EF5"/>
    <w:rsid w:val="00E91869"/>
    <w:rsid w:val="00E91BC2"/>
    <w:rsid w:val="00E9242D"/>
    <w:rsid w:val="00E9331E"/>
    <w:rsid w:val="00E94492"/>
    <w:rsid w:val="00E95D94"/>
    <w:rsid w:val="00E96A1A"/>
    <w:rsid w:val="00EA0C51"/>
    <w:rsid w:val="00EA1A95"/>
    <w:rsid w:val="00EA2262"/>
    <w:rsid w:val="00EA3E30"/>
    <w:rsid w:val="00EA3FA0"/>
    <w:rsid w:val="00EA639D"/>
    <w:rsid w:val="00EA758A"/>
    <w:rsid w:val="00EB5255"/>
    <w:rsid w:val="00EB5C47"/>
    <w:rsid w:val="00EB6410"/>
    <w:rsid w:val="00EB6834"/>
    <w:rsid w:val="00EB6AE5"/>
    <w:rsid w:val="00EC2D04"/>
    <w:rsid w:val="00EC3908"/>
    <w:rsid w:val="00EC3E22"/>
    <w:rsid w:val="00EC57D7"/>
    <w:rsid w:val="00EC5F14"/>
    <w:rsid w:val="00ED0639"/>
    <w:rsid w:val="00ED1064"/>
    <w:rsid w:val="00ED15CD"/>
    <w:rsid w:val="00ED4E2D"/>
    <w:rsid w:val="00ED77BF"/>
    <w:rsid w:val="00EE39B7"/>
    <w:rsid w:val="00EE3DEB"/>
    <w:rsid w:val="00EE40FE"/>
    <w:rsid w:val="00EE5072"/>
    <w:rsid w:val="00EE5173"/>
    <w:rsid w:val="00EF258A"/>
    <w:rsid w:val="00EF4755"/>
    <w:rsid w:val="00EF5E2A"/>
    <w:rsid w:val="00EF7135"/>
    <w:rsid w:val="00F005EC"/>
    <w:rsid w:val="00F01228"/>
    <w:rsid w:val="00F027DB"/>
    <w:rsid w:val="00F038E0"/>
    <w:rsid w:val="00F07178"/>
    <w:rsid w:val="00F10C43"/>
    <w:rsid w:val="00F1300E"/>
    <w:rsid w:val="00F1408D"/>
    <w:rsid w:val="00F14A7A"/>
    <w:rsid w:val="00F14E24"/>
    <w:rsid w:val="00F158A0"/>
    <w:rsid w:val="00F205F5"/>
    <w:rsid w:val="00F22985"/>
    <w:rsid w:val="00F262D8"/>
    <w:rsid w:val="00F26F00"/>
    <w:rsid w:val="00F27746"/>
    <w:rsid w:val="00F3383E"/>
    <w:rsid w:val="00F34401"/>
    <w:rsid w:val="00F34B55"/>
    <w:rsid w:val="00F36111"/>
    <w:rsid w:val="00F3631B"/>
    <w:rsid w:val="00F3636E"/>
    <w:rsid w:val="00F37308"/>
    <w:rsid w:val="00F429F0"/>
    <w:rsid w:val="00F440A7"/>
    <w:rsid w:val="00F45296"/>
    <w:rsid w:val="00F465A7"/>
    <w:rsid w:val="00F475BB"/>
    <w:rsid w:val="00F50B7C"/>
    <w:rsid w:val="00F51A92"/>
    <w:rsid w:val="00F54CF7"/>
    <w:rsid w:val="00F550E6"/>
    <w:rsid w:val="00F55CB2"/>
    <w:rsid w:val="00F566F7"/>
    <w:rsid w:val="00F6069C"/>
    <w:rsid w:val="00F6289F"/>
    <w:rsid w:val="00F656C5"/>
    <w:rsid w:val="00F67294"/>
    <w:rsid w:val="00F71ADB"/>
    <w:rsid w:val="00F72DF3"/>
    <w:rsid w:val="00F74345"/>
    <w:rsid w:val="00F803E9"/>
    <w:rsid w:val="00F80A0A"/>
    <w:rsid w:val="00F81FC9"/>
    <w:rsid w:val="00F825AA"/>
    <w:rsid w:val="00F82B19"/>
    <w:rsid w:val="00F82D78"/>
    <w:rsid w:val="00F90BBE"/>
    <w:rsid w:val="00F91537"/>
    <w:rsid w:val="00F9212D"/>
    <w:rsid w:val="00F92EA3"/>
    <w:rsid w:val="00F95E26"/>
    <w:rsid w:val="00F96406"/>
    <w:rsid w:val="00F965DA"/>
    <w:rsid w:val="00F97968"/>
    <w:rsid w:val="00FA0882"/>
    <w:rsid w:val="00FA3442"/>
    <w:rsid w:val="00FA3DFA"/>
    <w:rsid w:val="00FA406A"/>
    <w:rsid w:val="00FA5A1B"/>
    <w:rsid w:val="00FA5FD0"/>
    <w:rsid w:val="00FB503A"/>
    <w:rsid w:val="00FB516C"/>
    <w:rsid w:val="00FC1EBA"/>
    <w:rsid w:val="00FC2D90"/>
    <w:rsid w:val="00FC3662"/>
    <w:rsid w:val="00FC777F"/>
    <w:rsid w:val="00FD0236"/>
    <w:rsid w:val="00FD0ECE"/>
    <w:rsid w:val="00FD18F4"/>
    <w:rsid w:val="00FD29B7"/>
    <w:rsid w:val="00FD54DB"/>
    <w:rsid w:val="00FD619F"/>
    <w:rsid w:val="00FD7D21"/>
    <w:rsid w:val="00FE527E"/>
    <w:rsid w:val="00FE6A18"/>
    <w:rsid w:val="00FF04DA"/>
    <w:rsid w:val="00FF575B"/>
    <w:rsid w:val="01290F7E"/>
    <w:rsid w:val="012B0775"/>
    <w:rsid w:val="015D1E09"/>
    <w:rsid w:val="017E0AF1"/>
    <w:rsid w:val="01CC247D"/>
    <w:rsid w:val="02023EE5"/>
    <w:rsid w:val="0207127B"/>
    <w:rsid w:val="02697903"/>
    <w:rsid w:val="02923379"/>
    <w:rsid w:val="02D46BA1"/>
    <w:rsid w:val="02EA3916"/>
    <w:rsid w:val="02F96569"/>
    <w:rsid w:val="033A147B"/>
    <w:rsid w:val="03836156"/>
    <w:rsid w:val="03BC0783"/>
    <w:rsid w:val="03EA7B21"/>
    <w:rsid w:val="03EE3575"/>
    <w:rsid w:val="03FB4272"/>
    <w:rsid w:val="040D1EA1"/>
    <w:rsid w:val="042A633B"/>
    <w:rsid w:val="0446766D"/>
    <w:rsid w:val="044A022A"/>
    <w:rsid w:val="04961B22"/>
    <w:rsid w:val="04AB7499"/>
    <w:rsid w:val="04D15D9E"/>
    <w:rsid w:val="052D3E25"/>
    <w:rsid w:val="05385F28"/>
    <w:rsid w:val="054F7817"/>
    <w:rsid w:val="057E1E1C"/>
    <w:rsid w:val="0598354F"/>
    <w:rsid w:val="05C45A17"/>
    <w:rsid w:val="05CA49A5"/>
    <w:rsid w:val="05E96BAE"/>
    <w:rsid w:val="05F83EAE"/>
    <w:rsid w:val="05F93959"/>
    <w:rsid w:val="062B0799"/>
    <w:rsid w:val="06301264"/>
    <w:rsid w:val="063E7D85"/>
    <w:rsid w:val="065D535C"/>
    <w:rsid w:val="06826CFD"/>
    <w:rsid w:val="069D5FDA"/>
    <w:rsid w:val="06B647B7"/>
    <w:rsid w:val="06C40FB4"/>
    <w:rsid w:val="07257F18"/>
    <w:rsid w:val="07293586"/>
    <w:rsid w:val="07295285"/>
    <w:rsid w:val="074E7FB5"/>
    <w:rsid w:val="0754759C"/>
    <w:rsid w:val="07636392"/>
    <w:rsid w:val="07770C56"/>
    <w:rsid w:val="07C64D36"/>
    <w:rsid w:val="07C83CA5"/>
    <w:rsid w:val="085F6394"/>
    <w:rsid w:val="08796F34"/>
    <w:rsid w:val="08B21CCE"/>
    <w:rsid w:val="08D16408"/>
    <w:rsid w:val="08F24482"/>
    <w:rsid w:val="0912261E"/>
    <w:rsid w:val="091F559C"/>
    <w:rsid w:val="091F78C6"/>
    <w:rsid w:val="092217DD"/>
    <w:rsid w:val="093A7294"/>
    <w:rsid w:val="09406938"/>
    <w:rsid w:val="095D10C9"/>
    <w:rsid w:val="096C29BF"/>
    <w:rsid w:val="0971516F"/>
    <w:rsid w:val="098A12D3"/>
    <w:rsid w:val="09ED6822"/>
    <w:rsid w:val="09F03BD9"/>
    <w:rsid w:val="09F631DD"/>
    <w:rsid w:val="0A263993"/>
    <w:rsid w:val="0A290DD9"/>
    <w:rsid w:val="0A2D3AC2"/>
    <w:rsid w:val="0A7D1E52"/>
    <w:rsid w:val="0A991102"/>
    <w:rsid w:val="0AA755DF"/>
    <w:rsid w:val="0AAB7D93"/>
    <w:rsid w:val="0B120D44"/>
    <w:rsid w:val="0B360004"/>
    <w:rsid w:val="0B632BFD"/>
    <w:rsid w:val="0B8C759B"/>
    <w:rsid w:val="0B9C06AC"/>
    <w:rsid w:val="0BBD33B0"/>
    <w:rsid w:val="0BC95124"/>
    <w:rsid w:val="0BD27BF6"/>
    <w:rsid w:val="0BEB3646"/>
    <w:rsid w:val="0BF66404"/>
    <w:rsid w:val="0C223463"/>
    <w:rsid w:val="0C3B3C7D"/>
    <w:rsid w:val="0C4A6EC1"/>
    <w:rsid w:val="0C944B75"/>
    <w:rsid w:val="0CAB2EAE"/>
    <w:rsid w:val="0CB72723"/>
    <w:rsid w:val="0CC95831"/>
    <w:rsid w:val="0CE53E3B"/>
    <w:rsid w:val="0D2409BF"/>
    <w:rsid w:val="0D342B7C"/>
    <w:rsid w:val="0D621C7D"/>
    <w:rsid w:val="0D756853"/>
    <w:rsid w:val="0D930CEA"/>
    <w:rsid w:val="0DCA0C1F"/>
    <w:rsid w:val="0DE17E8D"/>
    <w:rsid w:val="0DE84082"/>
    <w:rsid w:val="0DF53D9F"/>
    <w:rsid w:val="0E2A4B12"/>
    <w:rsid w:val="0E4528EF"/>
    <w:rsid w:val="0E592D73"/>
    <w:rsid w:val="0E5D4199"/>
    <w:rsid w:val="0E73034D"/>
    <w:rsid w:val="0E97045E"/>
    <w:rsid w:val="0ECF2B6F"/>
    <w:rsid w:val="0F0F67F1"/>
    <w:rsid w:val="0F13775A"/>
    <w:rsid w:val="0F260D77"/>
    <w:rsid w:val="0F261F5C"/>
    <w:rsid w:val="0F361C2D"/>
    <w:rsid w:val="0F42261A"/>
    <w:rsid w:val="0F573946"/>
    <w:rsid w:val="0F5F45FE"/>
    <w:rsid w:val="0F64775C"/>
    <w:rsid w:val="0F9A112B"/>
    <w:rsid w:val="0FA939EF"/>
    <w:rsid w:val="0FB23ADB"/>
    <w:rsid w:val="0FD51504"/>
    <w:rsid w:val="0FD84356"/>
    <w:rsid w:val="0FDE661E"/>
    <w:rsid w:val="0FE213D1"/>
    <w:rsid w:val="10272A84"/>
    <w:rsid w:val="106D2F64"/>
    <w:rsid w:val="10767953"/>
    <w:rsid w:val="10A7762F"/>
    <w:rsid w:val="10B63710"/>
    <w:rsid w:val="10B74371"/>
    <w:rsid w:val="10C00395"/>
    <w:rsid w:val="10CB2A54"/>
    <w:rsid w:val="10F10820"/>
    <w:rsid w:val="111C2F7A"/>
    <w:rsid w:val="115F10BF"/>
    <w:rsid w:val="11665CA1"/>
    <w:rsid w:val="116E1754"/>
    <w:rsid w:val="11737B6F"/>
    <w:rsid w:val="11BE12BC"/>
    <w:rsid w:val="11E323CE"/>
    <w:rsid w:val="11FA0D20"/>
    <w:rsid w:val="11FD4B35"/>
    <w:rsid w:val="121B4D9F"/>
    <w:rsid w:val="12925845"/>
    <w:rsid w:val="12D625E2"/>
    <w:rsid w:val="12D90A91"/>
    <w:rsid w:val="12DA05B2"/>
    <w:rsid w:val="12DF796B"/>
    <w:rsid w:val="12E6033F"/>
    <w:rsid w:val="131D69AD"/>
    <w:rsid w:val="13297C3C"/>
    <w:rsid w:val="13413C0A"/>
    <w:rsid w:val="1371730E"/>
    <w:rsid w:val="13771916"/>
    <w:rsid w:val="13951726"/>
    <w:rsid w:val="13B60B44"/>
    <w:rsid w:val="13F805CB"/>
    <w:rsid w:val="142F27C9"/>
    <w:rsid w:val="14396509"/>
    <w:rsid w:val="14634486"/>
    <w:rsid w:val="1478525A"/>
    <w:rsid w:val="147C0E8D"/>
    <w:rsid w:val="14890660"/>
    <w:rsid w:val="14C33A0B"/>
    <w:rsid w:val="14C91C5B"/>
    <w:rsid w:val="14D20F22"/>
    <w:rsid w:val="14DD2C3C"/>
    <w:rsid w:val="14FD2380"/>
    <w:rsid w:val="14FF324F"/>
    <w:rsid w:val="15016474"/>
    <w:rsid w:val="15080C6F"/>
    <w:rsid w:val="153D2BC1"/>
    <w:rsid w:val="158B2CAC"/>
    <w:rsid w:val="15D7668B"/>
    <w:rsid w:val="16087E1D"/>
    <w:rsid w:val="160E4EA8"/>
    <w:rsid w:val="164F6FC8"/>
    <w:rsid w:val="167030B6"/>
    <w:rsid w:val="16804DDD"/>
    <w:rsid w:val="16AF317E"/>
    <w:rsid w:val="16D70184"/>
    <w:rsid w:val="16E60A27"/>
    <w:rsid w:val="16E7316A"/>
    <w:rsid w:val="17051A4D"/>
    <w:rsid w:val="171657DF"/>
    <w:rsid w:val="173B5246"/>
    <w:rsid w:val="17701D14"/>
    <w:rsid w:val="17735226"/>
    <w:rsid w:val="17D235F7"/>
    <w:rsid w:val="17D514C2"/>
    <w:rsid w:val="18644328"/>
    <w:rsid w:val="1886711A"/>
    <w:rsid w:val="189E2A05"/>
    <w:rsid w:val="189F624C"/>
    <w:rsid w:val="18C80D5B"/>
    <w:rsid w:val="18CC6476"/>
    <w:rsid w:val="18DF3DBD"/>
    <w:rsid w:val="190E4EC1"/>
    <w:rsid w:val="19696590"/>
    <w:rsid w:val="198C2F6F"/>
    <w:rsid w:val="19C62AB1"/>
    <w:rsid w:val="19E10713"/>
    <w:rsid w:val="19EC72F1"/>
    <w:rsid w:val="19F85A16"/>
    <w:rsid w:val="1A16628D"/>
    <w:rsid w:val="1A1C66C0"/>
    <w:rsid w:val="1A271752"/>
    <w:rsid w:val="1A42393B"/>
    <w:rsid w:val="1A865FAF"/>
    <w:rsid w:val="1A924A27"/>
    <w:rsid w:val="1A9C0E8D"/>
    <w:rsid w:val="1A9E0C42"/>
    <w:rsid w:val="1AAD45DE"/>
    <w:rsid w:val="1AC4717E"/>
    <w:rsid w:val="1AD2381C"/>
    <w:rsid w:val="1B046F80"/>
    <w:rsid w:val="1B110EAB"/>
    <w:rsid w:val="1B211866"/>
    <w:rsid w:val="1B3267B5"/>
    <w:rsid w:val="1B40161D"/>
    <w:rsid w:val="1B441859"/>
    <w:rsid w:val="1B6606B1"/>
    <w:rsid w:val="1B6B6DA0"/>
    <w:rsid w:val="1B7E5AA8"/>
    <w:rsid w:val="1B7E737B"/>
    <w:rsid w:val="1B985A24"/>
    <w:rsid w:val="1B9E4239"/>
    <w:rsid w:val="1BD22982"/>
    <w:rsid w:val="1BEC5FB9"/>
    <w:rsid w:val="1C3515A8"/>
    <w:rsid w:val="1C5E7925"/>
    <w:rsid w:val="1C647CC8"/>
    <w:rsid w:val="1C8B047B"/>
    <w:rsid w:val="1C8E097B"/>
    <w:rsid w:val="1CAE7202"/>
    <w:rsid w:val="1CD41A4F"/>
    <w:rsid w:val="1CE45858"/>
    <w:rsid w:val="1CFD070F"/>
    <w:rsid w:val="1D4365CE"/>
    <w:rsid w:val="1D593ABC"/>
    <w:rsid w:val="1D5E2B34"/>
    <w:rsid w:val="1D5F6196"/>
    <w:rsid w:val="1D6132A5"/>
    <w:rsid w:val="1D7343F5"/>
    <w:rsid w:val="1D8E56D5"/>
    <w:rsid w:val="1D930739"/>
    <w:rsid w:val="1DD13369"/>
    <w:rsid w:val="1DD94672"/>
    <w:rsid w:val="1E3C6958"/>
    <w:rsid w:val="1E5C5ADE"/>
    <w:rsid w:val="1E694AB7"/>
    <w:rsid w:val="1E762356"/>
    <w:rsid w:val="1E7A43DA"/>
    <w:rsid w:val="1EDD1986"/>
    <w:rsid w:val="1F3F7CB1"/>
    <w:rsid w:val="1F6111A4"/>
    <w:rsid w:val="1FB26F14"/>
    <w:rsid w:val="1FBE734A"/>
    <w:rsid w:val="1FC555BB"/>
    <w:rsid w:val="1FCF2E8E"/>
    <w:rsid w:val="1FDA4215"/>
    <w:rsid w:val="1FE7539E"/>
    <w:rsid w:val="2015640B"/>
    <w:rsid w:val="20181C9D"/>
    <w:rsid w:val="204654F5"/>
    <w:rsid w:val="20523600"/>
    <w:rsid w:val="20671BE0"/>
    <w:rsid w:val="20907DAC"/>
    <w:rsid w:val="20963CB8"/>
    <w:rsid w:val="20A66A41"/>
    <w:rsid w:val="20A81A1B"/>
    <w:rsid w:val="20B07FB6"/>
    <w:rsid w:val="20B646FB"/>
    <w:rsid w:val="20FD531A"/>
    <w:rsid w:val="210340AB"/>
    <w:rsid w:val="213B74B1"/>
    <w:rsid w:val="215A2310"/>
    <w:rsid w:val="219B6392"/>
    <w:rsid w:val="21D10ACE"/>
    <w:rsid w:val="21DE318A"/>
    <w:rsid w:val="21ED5D8B"/>
    <w:rsid w:val="21EF5B80"/>
    <w:rsid w:val="22576990"/>
    <w:rsid w:val="22805907"/>
    <w:rsid w:val="22D43D54"/>
    <w:rsid w:val="22DB3F40"/>
    <w:rsid w:val="22E54A9C"/>
    <w:rsid w:val="22ED536D"/>
    <w:rsid w:val="22F47480"/>
    <w:rsid w:val="230F5725"/>
    <w:rsid w:val="235F23FE"/>
    <w:rsid w:val="236A50BE"/>
    <w:rsid w:val="23A5288B"/>
    <w:rsid w:val="23D74548"/>
    <w:rsid w:val="23DE1C48"/>
    <w:rsid w:val="23FB734E"/>
    <w:rsid w:val="23FB7474"/>
    <w:rsid w:val="240210CD"/>
    <w:rsid w:val="243F4EFF"/>
    <w:rsid w:val="24534E53"/>
    <w:rsid w:val="246E58C7"/>
    <w:rsid w:val="2479444C"/>
    <w:rsid w:val="248D1B02"/>
    <w:rsid w:val="24993A2E"/>
    <w:rsid w:val="24AC4C6D"/>
    <w:rsid w:val="24AE10C6"/>
    <w:rsid w:val="24BF09F7"/>
    <w:rsid w:val="24E428CF"/>
    <w:rsid w:val="2515635E"/>
    <w:rsid w:val="252130AA"/>
    <w:rsid w:val="2521550F"/>
    <w:rsid w:val="252D53FE"/>
    <w:rsid w:val="25B00589"/>
    <w:rsid w:val="25B50EAD"/>
    <w:rsid w:val="25BF0C7F"/>
    <w:rsid w:val="25CA583D"/>
    <w:rsid w:val="25D24FC7"/>
    <w:rsid w:val="25EC2D81"/>
    <w:rsid w:val="263341B4"/>
    <w:rsid w:val="263F239C"/>
    <w:rsid w:val="26551E07"/>
    <w:rsid w:val="268C6A8F"/>
    <w:rsid w:val="26D64363"/>
    <w:rsid w:val="26E91B63"/>
    <w:rsid w:val="27500778"/>
    <w:rsid w:val="277057A2"/>
    <w:rsid w:val="279011CB"/>
    <w:rsid w:val="27A93FB6"/>
    <w:rsid w:val="27B63051"/>
    <w:rsid w:val="27CF2E57"/>
    <w:rsid w:val="27E21024"/>
    <w:rsid w:val="283B3403"/>
    <w:rsid w:val="28447CD2"/>
    <w:rsid w:val="2863040B"/>
    <w:rsid w:val="28674466"/>
    <w:rsid w:val="2870057F"/>
    <w:rsid w:val="289100E6"/>
    <w:rsid w:val="28936C02"/>
    <w:rsid w:val="28AD3B53"/>
    <w:rsid w:val="28F3451B"/>
    <w:rsid w:val="29137FA6"/>
    <w:rsid w:val="29206EB8"/>
    <w:rsid w:val="29415D61"/>
    <w:rsid w:val="294E68A5"/>
    <w:rsid w:val="29595666"/>
    <w:rsid w:val="297B6DF7"/>
    <w:rsid w:val="29874881"/>
    <w:rsid w:val="29922D79"/>
    <w:rsid w:val="29940526"/>
    <w:rsid w:val="29977F0C"/>
    <w:rsid w:val="29E325E0"/>
    <w:rsid w:val="29F64F66"/>
    <w:rsid w:val="29FF0635"/>
    <w:rsid w:val="2A0C61C9"/>
    <w:rsid w:val="2A206D3D"/>
    <w:rsid w:val="2A2256CF"/>
    <w:rsid w:val="2A452503"/>
    <w:rsid w:val="2A512721"/>
    <w:rsid w:val="2A651D87"/>
    <w:rsid w:val="2A745D8E"/>
    <w:rsid w:val="2AA16D7B"/>
    <w:rsid w:val="2AC7579D"/>
    <w:rsid w:val="2AE2499C"/>
    <w:rsid w:val="2B5E02F5"/>
    <w:rsid w:val="2B8959B8"/>
    <w:rsid w:val="2BA936A8"/>
    <w:rsid w:val="2BD85B55"/>
    <w:rsid w:val="2C296119"/>
    <w:rsid w:val="2C315A5A"/>
    <w:rsid w:val="2C3B6106"/>
    <w:rsid w:val="2C454339"/>
    <w:rsid w:val="2C4B1C25"/>
    <w:rsid w:val="2CAE4D2F"/>
    <w:rsid w:val="2CB87920"/>
    <w:rsid w:val="2CE31727"/>
    <w:rsid w:val="2CE8190F"/>
    <w:rsid w:val="2D0B1B07"/>
    <w:rsid w:val="2D1171ED"/>
    <w:rsid w:val="2D321E7D"/>
    <w:rsid w:val="2D3F34FF"/>
    <w:rsid w:val="2D6C4824"/>
    <w:rsid w:val="2D9E56F5"/>
    <w:rsid w:val="2DDD30F8"/>
    <w:rsid w:val="2DED6844"/>
    <w:rsid w:val="2E412C39"/>
    <w:rsid w:val="2E4E1AF5"/>
    <w:rsid w:val="2E5C6763"/>
    <w:rsid w:val="2E6441A5"/>
    <w:rsid w:val="2E667F96"/>
    <w:rsid w:val="2E80685B"/>
    <w:rsid w:val="2E8226AB"/>
    <w:rsid w:val="2E84507E"/>
    <w:rsid w:val="2EBC6EA2"/>
    <w:rsid w:val="2EF20B08"/>
    <w:rsid w:val="2F3624C9"/>
    <w:rsid w:val="2F7A7978"/>
    <w:rsid w:val="2FC326B9"/>
    <w:rsid w:val="2FD065E6"/>
    <w:rsid w:val="2FD96870"/>
    <w:rsid w:val="30176181"/>
    <w:rsid w:val="30580BC9"/>
    <w:rsid w:val="30581C4D"/>
    <w:rsid w:val="306C215C"/>
    <w:rsid w:val="30A47C65"/>
    <w:rsid w:val="310843F5"/>
    <w:rsid w:val="311E2ED7"/>
    <w:rsid w:val="315619EE"/>
    <w:rsid w:val="315C449C"/>
    <w:rsid w:val="31785028"/>
    <w:rsid w:val="3199236E"/>
    <w:rsid w:val="31B82709"/>
    <w:rsid w:val="31D05482"/>
    <w:rsid w:val="31D8174E"/>
    <w:rsid w:val="31FC0EEC"/>
    <w:rsid w:val="320F0A85"/>
    <w:rsid w:val="32400B34"/>
    <w:rsid w:val="32504EE9"/>
    <w:rsid w:val="32620A58"/>
    <w:rsid w:val="3275540F"/>
    <w:rsid w:val="328F538C"/>
    <w:rsid w:val="329E6876"/>
    <w:rsid w:val="32E70777"/>
    <w:rsid w:val="333015F2"/>
    <w:rsid w:val="33394BA3"/>
    <w:rsid w:val="334B1FCD"/>
    <w:rsid w:val="334B6320"/>
    <w:rsid w:val="335842AF"/>
    <w:rsid w:val="337E67EF"/>
    <w:rsid w:val="33AE64CD"/>
    <w:rsid w:val="33CD789E"/>
    <w:rsid w:val="33D934D4"/>
    <w:rsid w:val="33FE2F6A"/>
    <w:rsid w:val="340E07E5"/>
    <w:rsid w:val="34235BF7"/>
    <w:rsid w:val="344223E7"/>
    <w:rsid w:val="34943A1B"/>
    <w:rsid w:val="34E6074A"/>
    <w:rsid w:val="34FD7B87"/>
    <w:rsid w:val="352E3E6D"/>
    <w:rsid w:val="354A5DA8"/>
    <w:rsid w:val="358663E1"/>
    <w:rsid w:val="358C5FA8"/>
    <w:rsid w:val="358D2CB9"/>
    <w:rsid w:val="35B87E58"/>
    <w:rsid w:val="35C15DF1"/>
    <w:rsid w:val="35C34980"/>
    <w:rsid w:val="35DB6170"/>
    <w:rsid w:val="35E63ED4"/>
    <w:rsid w:val="360519BC"/>
    <w:rsid w:val="36074A7F"/>
    <w:rsid w:val="36120DE0"/>
    <w:rsid w:val="361D694C"/>
    <w:rsid w:val="368340BC"/>
    <w:rsid w:val="36923549"/>
    <w:rsid w:val="36B75FBF"/>
    <w:rsid w:val="36BD0C45"/>
    <w:rsid w:val="36EF42BF"/>
    <w:rsid w:val="36F414D2"/>
    <w:rsid w:val="37510D4F"/>
    <w:rsid w:val="379B1CE2"/>
    <w:rsid w:val="37DE2B06"/>
    <w:rsid w:val="37E00298"/>
    <w:rsid w:val="381E7753"/>
    <w:rsid w:val="38432860"/>
    <w:rsid w:val="385A1CB7"/>
    <w:rsid w:val="385F4510"/>
    <w:rsid w:val="38AB0D5C"/>
    <w:rsid w:val="38B302F9"/>
    <w:rsid w:val="38CE345B"/>
    <w:rsid w:val="38DB3D3B"/>
    <w:rsid w:val="38F12CD3"/>
    <w:rsid w:val="38F94775"/>
    <w:rsid w:val="39040890"/>
    <w:rsid w:val="391A7D0E"/>
    <w:rsid w:val="392971ED"/>
    <w:rsid w:val="392C3E9E"/>
    <w:rsid w:val="39325651"/>
    <w:rsid w:val="3937465A"/>
    <w:rsid w:val="39984051"/>
    <w:rsid w:val="39B12D23"/>
    <w:rsid w:val="39B414CC"/>
    <w:rsid w:val="39C24CE8"/>
    <w:rsid w:val="39E10886"/>
    <w:rsid w:val="3A0D70E1"/>
    <w:rsid w:val="3A0F1C01"/>
    <w:rsid w:val="3A1F3E88"/>
    <w:rsid w:val="3A3655F4"/>
    <w:rsid w:val="3A3F1680"/>
    <w:rsid w:val="3A7D75A8"/>
    <w:rsid w:val="3A7F2A51"/>
    <w:rsid w:val="3A872856"/>
    <w:rsid w:val="3AA96967"/>
    <w:rsid w:val="3B027C6B"/>
    <w:rsid w:val="3B054213"/>
    <w:rsid w:val="3B2820A7"/>
    <w:rsid w:val="3B291AA9"/>
    <w:rsid w:val="3B3763D1"/>
    <w:rsid w:val="3B3F4DBF"/>
    <w:rsid w:val="3B400703"/>
    <w:rsid w:val="3B471A02"/>
    <w:rsid w:val="3B541515"/>
    <w:rsid w:val="3B556B22"/>
    <w:rsid w:val="3B6D215B"/>
    <w:rsid w:val="3B805D3D"/>
    <w:rsid w:val="3B8B6727"/>
    <w:rsid w:val="3BD35511"/>
    <w:rsid w:val="3C2B6D87"/>
    <w:rsid w:val="3C2F6E1E"/>
    <w:rsid w:val="3C3B47FA"/>
    <w:rsid w:val="3C4F64BA"/>
    <w:rsid w:val="3C4F65A8"/>
    <w:rsid w:val="3C903C0C"/>
    <w:rsid w:val="3CDA245A"/>
    <w:rsid w:val="3CDA76BC"/>
    <w:rsid w:val="3D1E06B7"/>
    <w:rsid w:val="3D280D19"/>
    <w:rsid w:val="3D302A61"/>
    <w:rsid w:val="3D410586"/>
    <w:rsid w:val="3D461AE0"/>
    <w:rsid w:val="3D5E3380"/>
    <w:rsid w:val="3D82325A"/>
    <w:rsid w:val="3DA8606D"/>
    <w:rsid w:val="3DA97A62"/>
    <w:rsid w:val="3DCE1DA7"/>
    <w:rsid w:val="3DDD58FE"/>
    <w:rsid w:val="3DDE48FB"/>
    <w:rsid w:val="3E3F3891"/>
    <w:rsid w:val="3E4127AD"/>
    <w:rsid w:val="3E5A56B0"/>
    <w:rsid w:val="3E7432D4"/>
    <w:rsid w:val="3E772EE9"/>
    <w:rsid w:val="3E7C3716"/>
    <w:rsid w:val="3E813F5F"/>
    <w:rsid w:val="3E915DBF"/>
    <w:rsid w:val="3EA5457D"/>
    <w:rsid w:val="3EAE4A4D"/>
    <w:rsid w:val="3EC70528"/>
    <w:rsid w:val="3EDA0523"/>
    <w:rsid w:val="3F277E65"/>
    <w:rsid w:val="3F3A0026"/>
    <w:rsid w:val="3F415897"/>
    <w:rsid w:val="3F4D63C0"/>
    <w:rsid w:val="3F6E0208"/>
    <w:rsid w:val="3F700A81"/>
    <w:rsid w:val="3F9168AF"/>
    <w:rsid w:val="3F960BBA"/>
    <w:rsid w:val="3F966C0E"/>
    <w:rsid w:val="3FA96449"/>
    <w:rsid w:val="3FB90FB2"/>
    <w:rsid w:val="3FBA543E"/>
    <w:rsid w:val="40003751"/>
    <w:rsid w:val="404419CE"/>
    <w:rsid w:val="404900AF"/>
    <w:rsid w:val="404B6B82"/>
    <w:rsid w:val="40520AC5"/>
    <w:rsid w:val="407A6407"/>
    <w:rsid w:val="407F3756"/>
    <w:rsid w:val="40920060"/>
    <w:rsid w:val="40C37DEC"/>
    <w:rsid w:val="412439E3"/>
    <w:rsid w:val="416D2800"/>
    <w:rsid w:val="41AB79BE"/>
    <w:rsid w:val="41B82E6B"/>
    <w:rsid w:val="41C36AAD"/>
    <w:rsid w:val="4200449D"/>
    <w:rsid w:val="42117D84"/>
    <w:rsid w:val="42135662"/>
    <w:rsid w:val="423512C4"/>
    <w:rsid w:val="423A3BCC"/>
    <w:rsid w:val="424E57D2"/>
    <w:rsid w:val="42744A64"/>
    <w:rsid w:val="42890B9A"/>
    <w:rsid w:val="42996314"/>
    <w:rsid w:val="42A40A3B"/>
    <w:rsid w:val="42AA5D4F"/>
    <w:rsid w:val="42B26C49"/>
    <w:rsid w:val="431B48C9"/>
    <w:rsid w:val="431E4571"/>
    <w:rsid w:val="433A6FE6"/>
    <w:rsid w:val="43480868"/>
    <w:rsid w:val="434B156C"/>
    <w:rsid w:val="4350713C"/>
    <w:rsid w:val="436653E0"/>
    <w:rsid w:val="43671F92"/>
    <w:rsid w:val="438B0395"/>
    <w:rsid w:val="43B97109"/>
    <w:rsid w:val="43C4431A"/>
    <w:rsid w:val="43EA583F"/>
    <w:rsid w:val="44236D10"/>
    <w:rsid w:val="444C0581"/>
    <w:rsid w:val="44B951CC"/>
    <w:rsid w:val="44CD14E0"/>
    <w:rsid w:val="44E7607B"/>
    <w:rsid w:val="44F20B0B"/>
    <w:rsid w:val="44FB75C1"/>
    <w:rsid w:val="452E5F4C"/>
    <w:rsid w:val="454770D3"/>
    <w:rsid w:val="45612018"/>
    <w:rsid w:val="457748D1"/>
    <w:rsid w:val="457C71E7"/>
    <w:rsid w:val="458946E9"/>
    <w:rsid w:val="45A47C0E"/>
    <w:rsid w:val="45AC3082"/>
    <w:rsid w:val="45C564F1"/>
    <w:rsid w:val="45C81AEB"/>
    <w:rsid w:val="45D51B14"/>
    <w:rsid w:val="46577FD6"/>
    <w:rsid w:val="466C5B10"/>
    <w:rsid w:val="467F51C6"/>
    <w:rsid w:val="46A10D08"/>
    <w:rsid w:val="46A936CA"/>
    <w:rsid w:val="46CF5A6E"/>
    <w:rsid w:val="46D955A7"/>
    <w:rsid w:val="46F72CEB"/>
    <w:rsid w:val="47133957"/>
    <w:rsid w:val="47515BAD"/>
    <w:rsid w:val="47A07E0C"/>
    <w:rsid w:val="47B040EB"/>
    <w:rsid w:val="47BE61D2"/>
    <w:rsid w:val="47CC76A6"/>
    <w:rsid w:val="4822526E"/>
    <w:rsid w:val="483D2EE2"/>
    <w:rsid w:val="4844531B"/>
    <w:rsid w:val="484E0584"/>
    <w:rsid w:val="4870272E"/>
    <w:rsid w:val="48CB690E"/>
    <w:rsid w:val="48CD3874"/>
    <w:rsid w:val="48DD6857"/>
    <w:rsid w:val="490E700D"/>
    <w:rsid w:val="492A74A4"/>
    <w:rsid w:val="494073CB"/>
    <w:rsid w:val="49464289"/>
    <w:rsid w:val="49681DE3"/>
    <w:rsid w:val="496A0D65"/>
    <w:rsid w:val="497D651E"/>
    <w:rsid w:val="499B5067"/>
    <w:rsid w:val="49C23113"/>
    <w:rsid w:val="49DC7715"/>
    <w:rsid w:val="49F770E9"/>
    <w:rsid w:val="4A023139"/>
    <w:rsid w:val="4A33448D"/>
    <w:rsid w:val="4A723D50"/>
    <w:rsid w:val="4A7B576F"/>
    <w:rsid w:val="4AF561A9"/>
    <w:rsid w:val="4B330642"/>
    <w:rsid w:val="4B5C3617"/>
    <w:rsid w:val="4B6561D1"/>
    <w:rsid w:val="4B8536F5"/>
    <w:rsid w:val="4B9472B8"/>
    <w:rsid w:val="4B9D2949"/>
    <w:rsid w:val="4BBE522D"/>
    <w:rsid w:val="4C0D30FD"/>
    <w:rsid w:val="4C0D6319"/>
    <w:rsid w:val="4C4A0649"/>
    <w:rsid w:val="4C7E5ECA"/>
    <w:rsid w:val="4C876AA5"/>
    <w:rsid w:val="4CB24077"/>
    <w:rsid w:val="4D0E00FB"/>
    <w:rsid w:val="4D176606"/>
    <w:rsid w:val="4D841EF4"/>
    <w:rsid w:val="4DCC4263"/>
    <w:rsid w:val="4DEC4FB0"/>
    <w:rsid w:val="4DF06825"/>
    <w:rsid w:val="4DF22547"/>
    <w:rsid w:val="4E075D8A"/>
    <w:rsid w:val="4E2F7217"/>
    <w:rsid w:val="4E554052"/>
    <w:rsid w:val="4E74675C"/>
    <w:rsid w:val="4E994F6F"/>
    <w:rsid w:val="4E9F52A3"/>
    <w:rsid w:val="4EB2080B"/>
    <w:rsid w:val="4EBF1315"/>
    <w:rsid w:val="4EC00FAD"/>
    <w:rsid w:val="4EC862D3"/>
    <w:rsid w:val="4ED90C2C"/>
    <w:rsid w:val="4F202882"/>
    <w:rsid w:val="4F442870"/>
    <w:rsid w:val="4F6C7FEB"/>
    <w:rsid w:val="4F9843DC"/>
    <w:rsid w:val="4F9F35CD"/>
    <w:rsid w:val="4FB67622"/>
    <w:rsid w:val="4FC62A8C"/>
    <w:rsid w:val="4FD07396"/>
    <w:rsid w:val="4FE20F0D"/>
    <w:rsid w:val="4FE4651D"/>
    <w:rsid w:val="4FE51552"/>
    <w:rsid w:val="4FE966FD"/>
    <w:rsid w:val="5034692D"/>
    <w:rsid w:val="50504C4B"/>
    <w:rsid w:val="505152C9"/>
    <w:rsid w:val="5088372C"/>
    <w:rsid w:val="509C6E7C"/>
    <w:rsid w:val="50AC0C0F"/>
    <w:rsid w:val="50AE7739"/>
    <w:rsid w:val="50BD01B6"/>
    <w:rsid w:val="50ED2E63"/>
    <w:rsid w:val="511D3641"/>
    <w:rsid w:val="512A1933"/>
    <w:rsid w:val="51313998"/>
    <w:rsid w:val="513B59BA"/>
    <w:rsid w:val="5162104E"/>
    <w:rsid w:val="516745DC"/>
    <w:rsid w:val="51B17670"/>
    <w:rsid w:val="51D9432D"/>
    <w:rsid w:val="51DC173E"/>
    <w:rsid w:val="51F00F96"/>
    <w:rsid w:val="522442B1"/>
    <w:rsid w:val="523E7880"/>
    <w:rsid w:val="52696708"/>
    <w:rsid w:val="528B5393"/>
    <w:rsid w:val="52A55012"/>
    <w:rsid w:val="52AB45ED"/>
    <w:rsid w:val="52B256B5"/>
    <w:rsid w:val="52CF6CEA"/>
    <w:rsid w:val="52E02534"/>
    <w:rsid w:val="53A039CC"/>
    <w:rsid w:val="53A1505A"/>
    <w:rsid w:val="54063E08"/>
    <w:rsid w:val="54152124"/>
    <w:rsid w:val="541F1572"/>
    <w:rsid w:val="5421487C"/>
    <w:rsid w:val="54224EE6"/>
    <w:rsid w:val="543437E8"/>
    <w:rsid w:val="54662732"/>
    <w:rsid w:val="549575C1"/>
    <w:rsid w:val="54B41DD6"/>
    <w:rsid w:val="54F73313"/>
    <w:rsid w:val="54F80955"/>
    <w:rsid w:val="555170A7"/>
    <w:rsid w:val="556A255D"/>
    <w:rsid w:val="5587536D"/>
    <w:rsid w:val="559B174B"/>
    <w:rsid w:val="55BD1DCB"/>
    <w:rsid w:val="55C45CCD"/>
    <w:rsid w:val="55CE0CF4"/>
    <w:rsid w:val="55DA4068"/>
    <w:rsid w:val="55E647CB"/>
    <w:rsid w:val="56073CAF"/>
    <w:rsid w:val="562341D8"/>
    <w:rsid w:val="56630C79"/>
    <w:rsid w:val="56B22A9C"/>
    <w:rsid w:val="56FE590A"/>
    <w:rsid w:val="573C043F"/>
    <w:rsid w:val="5780487E"/>
    <w:rsid w:val="57B01570"/>
    <w:rsid w:val="57B72A76"/>
    <w:rsid w:val="57C3426C"/>
    <w:rsid w:val="57C6248F"/>
    <w:rsid w:val="57CE1F93"/>
    <w:rsid w:val="57D55326"/>
    <w:rsid w:val="57D71335"/>
    <w:rsid w:val="57E31D2A"/>
    <w:rsid w:val="57EB2622"/>
    <w:rsid w:val="58031B3A"/>
    <w:rsid w:val="58031B59"/>
    <w:rsid w:val="58071FA0"/>
    <w:rsid w:val="580B27AB"/>
    <w:rsid w:val="58215F47"/>
    <w:rsid w:val="58362151"/>
    <w:rsid w:val="58550FBC"/>
    <w:rsid w:val="588743D1"/>
    <w:rsid w:val="5887701A"/>
    <w:rsid w:val="5892324E"/>
    <w:rsid w:val="593766AC"/>
    <w:rsid w:val="593B7FA1"/>
    <w:rsid w:val="59B57E7D"/>
    <w:rsid w:val="59BA0A06"/>
    <w:rsid w:val="59C0439F"/>
    <w:rsid w:val="59F8614D"/>
    <w:rsid w:val="5A507EA6"/>
    <w:rsid w:val="5A726C9C"/>
    <w:rsid w:val="5A910E04"/>
    <w:rsid w:val="5ABE2233"/>
    <w:rsid w:val="5AFB7C61"/>
    <w:rsid w:val="5B054AC2"/>
    <w:rsid w:val="5B353957"/>
    <w:rsid w:val="5B3F35EA"/>
    <w:rsid w:val="5B534E87"/>
    <w:rsid w:val="5B7462CD"/>
    <w:rsid w:val="5BAA506E"/>
    <w:rsid w:val="5BBD57F6"/>
    <w:rsid w:val="5BC94451"/>
    <w:rsid w:val="5BDF5D95"/>
    <w:rsid w:val="5BE6160F"/>
    <w:rsid w:val="5BFE7528"/>
    <w:rsid w:val="5C591703"/>
    <w:rsid w:val="5C7462A1"/>
    <w:rsid w:val="5C833E69"/>
    <w:rsid w:val="5C841FD2"/>
    <w:rsid w:val="5C884276"/>
    <w:rsid w:val="5C887BF2"/>
    <w:rsid w:val="5C922186"/>
    <w:rsid w:val="5CBD0DF6"/>
    <w:rsid w:val="5CC8559D"/>
    <w:rsid w:val="5CD10A32"/>
    <w:rsid w:val="5CFC13D8"/>
    <w:rsid w:val="5CFF51E3"/>
    <w:rsid w:val="5D36548A"/>
    <w:rsid w:val="5D4167A0"/>
    <w:rsid w:val="5D426797"/>
    <w:rsid w:val="5D5C643D"/>
    <w:rsid w:val="5D636F67"/>
    <w:rsid w:val="5D880408"/>
    <w:rsid w:val="5D894904"/>
    <w:rsid w:val="5DA95699"/>
    <w:rsid w:val="5DAB1C0F"/>
    <w:rsid w:val="5DB27AAB"/>
    <w:rsid w:val="5DF5012A"/>
    <w:rsid w:val="5E2467F1"/>
    <w:rsid w:val="5E2E628A"/>
    <w:rsid w:val="5E391A90"/>
    <w:rsid w:val="5E617F35"/>
    <w:rsid w:val="5E681B90"/>
    <w:rsid w:val="5EC61CE9"/>
    <w:rsid w:val="5F1A2B43"/>
    <w:rsid w:val="5F3E1A42"/>
    <w:rsid w:val="5F647D0E"/>
    <w:rsid w:val="5FB213EA"/>
    <w:rsid w:val="5FB837BB"/>
    <w:rsid w:val="60091F2E"/>
    <w:rsid w:val="60196CDA"/>
    <w:rsid w:val="60230108"/>
    <w:rsid w:val="602D7FAF"/>
    <w:rsid w:val="603C19AB"/>
    <w:rsid w:val="607273B6"/>
    <w:rsid w:val="60A650A2"/>
    <w:rsid w:val="60B56409"/>
    <w:rsid w:val="60B63925"/>
    <w:rsid w:val="60C43183"/>
    <w:rsid w:val="60CC405A"/>
    <w:rsid w:val="60CC7BC1"/>
    <w:rsid w:val="60F33A68"/>
    <w:rsid w:val="610D0CD5"/>
    <w:rsid w:val="6112071E"/>
    <w:rsid w:val="61240F1C"/>
    <w:rsid w:val="615B6503"/>
    <w:rsid w:val="616C7118"/>
    <w:rsid w:val="61715E4F"/>
    <w:rsid w:val="61776E09"/>
    <w:rsid w:val="618662C7"/>
    <w:rsid w:val="619B5E52"/>
    <w:rsid w:val="61B71606"/>
    <w:rsid w:val="61CD4E93"/>
    <w:rsid w:val="61E215D8"/>
    <w:rsid w:val="621B3775"/>
    <w:rsid w:val="62345564"/>
    <w:rsid w:val="62364782"/>
    <w:rsid w:val="623C396A"/>
    <w:rsid w:val="626B13F3"/>
    <w:rsid w:val="62702D7C"/>
    <w:rsid w:val="6284366D"/>
    <w:rsid w:val="629B053C"/>
    <w:rsid w:val="62A55813"/>
    <w:rsid w:val="62C07F07"/>
    <w:rsid w:val="62CF615C"/>
    <w:rsid w:val="62DE4D20"/>
    <w:rsid w:val="62EA21B5"/>
    <w:rsid w:val="62EE44E7"/>
    <w:rsid w:val="632E2083"/>
    <w:rsid w:val="634A3151"/>
    <w:rsid w:val="63715BCC"/>
    <w:rsid w:val="6394356A"/>
    <w:rsid w:val="63AF2AD3"/>
    <w:rsid w:val="63C61B2C"/>
    <w:rsid w:val="63D40BE9"/>
    <w:rsid w:val="63DB1687"/>
    <w:rsid w:val="64102431"/>
    <w:rsid w:val="643829AD"/>
    <w:rsid w:val="64443CC8"/>
    <w:rsid w:val="64483786"/>
    <w:rsid w:val="64932799"/>
    <w:rsid w:val="64A5243A"/>
    <w:rsid w:val="64B11D0E"/>
    <w:rsid w:val="64D4770D"/>
    <w:rsid w:val="64F3609C"/>
    <w:rsid w:val="64F531DE"/>
    <w:rsid w:val="650659FF"/>
    <w:rsid w:val="65322C3E"/>
    <w:rsid w:val="65373578"/>
    <w:rsid w:val="653D52B2"/>
    <w:rsid w:val="654177CC"/>
    <w:rsid w:val="6556357B"/>
    <w:rsid w:val="65D5481D"/>
    <w:rsid w:val="66254652"/>
    <w:rsid w:val="66531963"/>
    <w:rsid w:val="666D41B6"/>
    <w:rsid w:val="66750D07"/>
    <w:rsid w:val="6681304A"/>
    <w:rsid w:val="669D2573"/>
    <w:rsid w:val="66A06124"/>
    <w:rsid w:val="66A92082"/>
    <w:rsid w:val="66CB746C"/>
    <w:rsid w:val="671A5583"/>
    <w:rsid w:val="671F124A"/>
    <w:rsid w:val="675039C2"/>
    <w:rsid w:val="677A33C6"/>
    <w:rsid w:val="67C64F62"/>
    <w:rsid w:val="681F6961"/>
    <w:rsid w:val="68440679"/>
    <w:rsid w:val="68610A2F"/>
    <w:rsid w:val="68647868"/>
    <w:rsid w:val="68792F89"/>
    <w:rsid w:val="68805514"/>
    <w:rsid w:val="68B868A5"/>
    <w:rsid w:val="68BE3551"/>
    <w:rsid w:val="68C84EF3"/>
    <w:rsid w:val="68EE1488"/>
    <w:rsid w:val="68F52515"/>
    <w:rsid w:val="69266751"/>
    <w:rsid w:val="69316E2F"/>
    <w:rsid w:val="694E2071"/>
    <w:rsid w:val="695D7ACE"/>
    <w:rsid w:val="69766163"/>
    <w:rsid w:val="697A3B33"/>
    <w:rsid w:val="698B7EA4"/>
    <w:rsid w:val="69CD55AA"/>
    <w:rsid w:val="69D44760"/>
    <w:rsid w:val="69E337D0"/>
    <w:rsid w:val="69E36634"/>
    <w:rsid w:val="6A0D2502"/>
    <w:rsid w:val="6A133574"/>
    <w:rsid w:val="6A520EC7"/>
    <w:rsid w:val="6A583328"/>
    <w:rsid w:val="6A707D38"/>
    <w:rsid w:val="6A7B168B"/>
    <w:rsid w:val="6A8C4BD1"/>
    <w:rsid w:val="6A9B12FC"/>
    <w:rsid w:val="6AF119C2"/>
    <w:rsid w:val="6AF87E20"/>
    <w:rsid w:val="6AF93A8C"/>
    <w:rsid w:val="6B322639"/>
    <w:rsid w:val="6B3F0936"/>
    <w:rsid w:val="6B7E0ABF"/>
    <w:rsid w:val="6BB1369D"/>
    <w:rsid w:val="6BCE75A9"/>
    <w:rsid w:val="6C030E1D"/>
    <w:rsid w:val="6C3428F0"/>
    <w:rsid w:val="6C511909"/>
    <w:rsid w:val="6C636C38"/>
    <w:rsid w:val="6CB12F90"/>
    <w:rsid w:val="6D213F73"/>
    <w:rsid w:val="6D2971DB"/>
    <w:rsid w:val="6D7D1347"/>
    <w:rsid w:val="6D98688D"/>
    <w:rsid w:val="6D9C21F2"/>
    <w:rsid w:val="6D9C6890"/>
    <w:rsid w:val="6DB34098"/>
    <w:rsid w:val="6DB545B6"/>
    <w:rsid w:val="6DE02FB4"/>
    <w:rsid w:val="6DFA2A7A"/>
    <w:rsid w:val="6E514CED"/>
    <w:rsid w:val="6E5F3A35"/>
    <w:rsid w:val="6EAF0B5D"/>
    <w:rsid w:val="6EB563D5"/>
    <w:rsid w:val="6EC36508"/>
    <w:rsid w:val="6ED92677"/>
    <w:rsid w:val="6EE5599A"/>
    <w:rsid w:val="6F147D3F"/>
    <w:rsid w:val="6F225983"/>
    <w:rsid w:val="6F297D5A"/>
    <w:rsid w:val="6F4F6BED"/>
    <w:rsid w:val="6F6B7F02"/>
    <w:rsid w:val="6F9D3CC8"/>
    <w:rsid w:val="6FA046C4"/>
    <w:rsid w:val="6FDE4645"/>
    <w:rsid w:val="6FFC5590"/>
    <w:rsid w:val="70096167"/>
    <w:rsid w:val="704C3CAC"/>
    <w:rsid w:val="706D1DD0"/>
    <w:rsid w:val="707F64A2"/>
    <w:rsid w:val="70856B87"/>
    <w:rsid w:val="70B34A23"/>
    <w:rsid w:val="70B91FB9"/>
    <w:rsid w:val="70D527EE"/>
    <w:rsid w:val="70F97133"/>
    <w:rsid w:val="7114333F"/>
    <w:rsid w:val="71313EDF"/>
    <w:rsid w:val="71315FE3"/>
    <w:rsid w:val="715B5300"/>
    <w:rsid w:val="7185228F"/>
    <w:rsid w:val="71A861A9"/>
    <w:rsid w:val="71C9551E"/>
    <w:rsid w:val="71D27F8A"/>
    <w:rsid w:val="7216089E"/>
    <w:rsid w:val="722B6FBA"/>
    <w:rsid w:val="72315959"/>
    <w:rsid w:val="725132E7"/>
    <w:rsid w:val="725263A2"/>
    <w:rsid w:val="72553024"/>
    <w:rsid w:val="72CD4353"/>
    <w:rsid w:val="72EE65A2"/>
    <w:rsid w:val="73122968"/>
    <w:rsid w:val="731756A5"/>
    <w:rsid w:val="731F5D5E"/>
    <w:rsid w:val="7336041C"/>
    <w:rsid w:val="73536F84"/>
    <w:rsid w:val="736F61A3"/>
    <w:rsid w:val="738C2C69"/>
    <w:rsid w:val="73AF6F58"/>
    <w:rsid w:val="73C51AD5"/>
    <w:rsid w:val="73F204FF"/>
    <w:rsid w:val="73FF50CF"/>
    <w:rsid w:val="740B2135"/>
    <w:rsid w:val="741E793C"/>
    <w:rsid w:val="742E25B0"/>
    <w:rsid w:val="74520D43"/>
    <w:rsid w:val="745E3944"/>
    <w:rsid w:val="74625F8F"/>
    <w:rsid w:val="746374DB"/>
    <w:rsid w:val="74D379E1"/>
    <w:rsid w:val="74F979DF"/>
    <w:rsid w:val="75032BD3"/>
    <w:rsid w:val="752B2CF5"/>
    <w:rsid w:val="754C4E10"/>
    <w:rsid w:val="756E6646"/>
    <w:rsid w:val="75A13198"/>
    <w:rsid w:val="75AD31A1"/>
    <w:rsid w:val="75E27B47"/>
    <w:rsid w:val="75E47A46"/>
    <w:rsid w:val="76300135"/>
    <w:rsid w:val="7635099D"/>
    <w:rsid w:val="7656212B"/>
    <w:rsid w:val="76707ECF"/>
    <w:rsid w:val="76B1436A"/>
    <w:rsid w:val="76BA40AB"/>
    <w:rsid w:val="76C55DC0"/>
    <w:rsid w:val="7703749E"/>
    <w:rsid w:val="77762421"/>
    <w:rsid w:val="77A022E1"/>
    <w:rsid w:val="77A42A68"/>
    <w:rsid w:val="77B56B1F"/>
    <w:rsid w:val="77FA02BA"/>
    <w:rsid w:val="78093A8E"/>
    <w:rsid w:val="780F09F4"/>
    <w:rsid w:val="785269BC"/>
    <w:rsid w:val="78A054D7"/>
    <w:rsid w:val="78A90480"/>
    <w:rsid w:val="78AA4D96"/>
    <w:rsid w:val="78AC343D"/>
    <w:rsid w:val="78FE235E"/>
    <w:rsid w:val="79091E47"/>
    <w:rsid w:val="79197C3A"/>
    <w:rsid w:val="795F5976"/>
    <w:rsid w:val="797E59FF"/>
    <w:rsid w:val="7A364017"/>
    <w:rsid w:val="7A513882"/>
    <w:rsid w:val="7A724717"/>
    <w:rsid w:val="7A8265E1"/>
    <w:rsid w:val="7ADC6AF8"/>
    <w:rsid w:val="7B190B2D"/>
    <w:rsid w:val="7B2B4F13"/>
    <w:rsid w:val="7B686D42"/>
    <w:rsid w:val="7B841746"/>
    <w:rsid w:val="7C142FE5"/>
    <w:rsid w:val="7C2A5822"/>
    <w:rsid w:val="7C625D3B"/>
    <w:rsid w:val="7C6C5AC7"/>
    <w:rsid w:val="7C8101E7"/>
    <w:rsid w:val="7C8C1A98"/>
    <w:rsid w:val="7C9F5CD4"/>
    <w:rsid w:val="7CB1305E"/>
    <w:rsid w:val="7CC6544B"/>
    <w:rsid w:val="7CCD4D16"/>
    <w:rsid w:val="7CDB5CE2"/>
    <w:rsid w:val="7CE97F44"/>
    <w:rsid w:val="7D0239FF"/>
    <w:rsid w:val="7D256F55"/>
    <w:rsid w:val="7D2A0467"/>
    <w:rsid w:val="7D5E40CD"/>
    <w:rsid w:val="7DCD56F2"/>
    <w:rsid w:val="7DCD6C96"/>
    <w:rsid w:val="7E0A684B"/>
    <w:rsid w:val="7E101ECA"/>
    <w:rsid w:val="7E3B1CFC"/>
    <w:rsid w:val="7E5A58C8"/>
    <w:rsid w:val="7E941670"/>
    <w:rsid w:val="7EA24F28"/>
    <w:rsid w:val="7EDA2D48"/>
    <w:rsid w:val="7EF82AD9"/>
    <w:rsid w:val="7F001CE7"/>
    <w:rsid w:val="7F39613C"/>
    <w:rsid w:val="7F3A57A7"/>
    <w:rsid w:val="7F586011"/>
    <w:rsid w:val="7F5B24F0"/>
    <w:rsid w:val="7F684B97"/>
    <w:rsid w:val="7FDC58ED"/>
    <w:rsid w:val="7FE47E50"/>
    <w:rsid w:val="7FE75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qFormat="1" w:uiPriority="99"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color w:val="000000" w:themeColor="text1"/>
      <w:kern w:val="2"/>
      <w:sz w:val="24"/>
      <w:szCs w:val="24"/>
      <w:lang w:val="en-US" w:eastAsia="zh-CN" w:bidi="ar-SA"/>
    </w:rPr>
  </w:style>
  <w:style w:type="paragraph" w:styleId="2">
    <w:name w:val="heading 1"/>
    <w:basedOn w:val="1"/>
    <w:next w:val="1"/>
    <w:link w:val="108"/>
    <w:qFormat/>
    <w:uiPriority w:val="99"/>
    <w:pPr>
      <w:keepNext/>
      <w:overflowPunct w:val="0"/>
      <w:snapToGrid w:val="0"/>
      <w:spacing w:line="240" w:lineRule="auto"/>
      <w:ind w:firstLine="0" w:firstLineChars="0"/>
      <w:jc w:val="center"/>
      <w:outlineLvl w:val="0"/>
    </w:pPr>
    <w:rPr>
      <w:rFonts w:eastAsiaTheme="majorEastAsia"/>
      <w:b/>
      <w:bCs/>
      <w:color w:val="000000"/>
      <w:kern w:val="44"/>
    </w:rPr>
  </w:style>
  <w:style w:type="paragraph" w:styleId="3">
    <w:name w:val="heading 2"/>
    <w:basedOn w:val="1"/>
    <w:next w:val="1"/>
    <w:qFormat/>
    <w:uiPriority w:val="9"/>
    <w:pPr>
      <w:keepNext/>
      <w:keepLines/>
      <w:outlineLvl w:val="1"/>
    </w:pPr>
    <w:rPr>
      <w:rFonts w:ascii="Arial" w:hAnsi="Arial" w:eastAsia="黑体"/>
      <w:b/>
      <w:bCs/>
      <w:sz w:val="28"/>
      <w:szCs w:val="32"/>
    </w:rPr>
  </w:style>
  <w:style w:type="paragraph" w:styleId="4">
    <w:name w:val="heading 3"/>
    <w:basedOn w:val="1"/>
    <w:next w:val="1"/>
    <w:qFormat/>
    <w:uiPriority w:val="0"/>
    <w:pPr>
      <w:keepNext/>
      <w:keepLines/>
      <w:ind w:firstLine="0" w:firstLineChars="0"/>
      <w:outlineLvl w:val="2"/>
    </w:pPr>
    <w:rPr>
      <w:rFonts w:eastAsia="Times New Roman"/>
      <w:bCs/>
      <w:kern w:val="0"/>
      <w:sz w:val="28"/>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caption"/>
    <w:basedOn w:val="1"/>
    <w:next w:val="1"/>
    <w:qFormat/>
    <w:uiPriority w:val="0"/>
    <w:rPr>
      <w:rFonts w:ascii="Cambria" w:hAnsi="Cambria" w:eastAsia="黑体"/>
      <w:sz w:val="20"/>
    </w:rPr>
  </w:style>
  <w:style w:type="paragraph" w:styleId="8">
    <w:name w:val="Document Map"/>
    <w:basedOn w:val="1"/>
    <w:link w:val="138"/>
    <w:qFormat/>
    <w:uiPriority w:val="0"/>
    <w:rPr>
      <w:rFonts w:ascii="宋体"/>
      <w:sz w:val="18"/>
      <w:szCs w:val="18"/>
    </w:rPr>
  </w:style>
  <w:style w:type="paragraph" w:styleId="9">
    <w:name w:val="annotation text"/>
    <w:basedOn w:val="1"/>
    <w:link w:val="66"/>
    <w:semiHidden/>
    <w:qFormat/>
    <w:uiPriority w:val="0"/>
    <w:pPr>
      <w:jc w:val="left"/>
    </w:pPr>
    <w:rPr>
      <w:kern w:val="0"/>
      <w:szCs w:val="20"/>
    </w:rPr>
  </w:style>
  <w:style w:type="paragraph" w:styleId="10">
    <w:name w:val="Salutation"/>
    <w:basedOn w:val="1"/>
    <w:next w:val="1"/>
    <w:qFormat/>
    <w:uiPriority w:val="0"/>
  </w:style>
  <w:style w:type="paragraph" w:styleId="11">
    <w:name w:val="Body Text 3"/>
    <w:basedOn w:val="1"/>
    <w:qFormat/>
    <w:uiPriority w:val="0"/>
    <w:rPr>
      <w:color w:val="000000"/>
      <w:szCs w:val="20"/>
    </w:rPr>
  </w:style>
  <w:style w:type="paragraph" w:styleId="12">
    <w:name w:val="Body Text"/>
    <w:basedOn w:val="1"/>
    <w:link w:val="65"/>
    <w:qFormat/>
    <w:uiPriority w:val="0"/>
    <w:pPr>
      <w:widowControl/>
      <w:snapToGrid w:val="0"/>
      <w:spacing w:before="60" w:after="160" w:line="259" w:lineRule="auto"/>
      <w:ind w:right="113"/>
    </w:pPr>
    <w:rPr>
      <w:kern w:val="0"/>
      <w:sz w:val="18"/>
      <w:szCs w:val="20"/>
    </w:rPr>
  </w:style>
  <w:style w:type="paragraph" w:styleId="13">
    <w:name w:val="Body Text Indent"/>
    <w:basedOn w:val="1"/>
    <w:next w:val="1"/>
    <w:link w:val="72"/>
    <w:qFormat/>
    <w:uiPriority w:val="0"/>
    <w:pPr>
      <w:spacing w:after="120"/>
      <w:ind w:left="420" w:leftChars="200"/>
    </w:pPr>
    <w:rPr>
      <w:kern w:val="0"/>
      <w:szCs w:val="20"/>
    </w:rPr>
  </w:style>
  <w:style w:type="paragraph" w:styleId="14">
    <w:name w:val="Plain Text"/>
    <w:basedOn w:val="1"/>
    <w:next w:val="1"/>
    <w:qFormat/>
    <w:uiPriority w:val="0"/>
    <w:rPr>
      <w:rFonts w:ascii="宋体" w:hAnsi="Courier New"/>
      <w:sz w:val="21"/>
    </w:rPr>
  </w:style>
  <w:style w:type="paragraph" w:styleId="15">
    <w:name w:val="Date"/>
    <w:basedOn w:val="1"/>
    <w:next w:val="1"/>
    <w:link w:val="61"/>
    <w:qFormat/>
    <w:uiPriority w:val="0"/>
    <w:pPr>
      <w:ind w:left="100" w:leftChars="2500"/>
    </w:pPr>
    <w:rPr>
      <w:kern w:val="0"/>
      <w:szCs w:val="20"/>
    </w:rPr>
  </w:style>
  <w:style w:type="paragraph" w:styleId="16">
    <w:name w:val="Body Text Indent 2"/>
    <w:basedOn w:val="1"/>
    <w:next w:val="1"/>
    <w:qFormat/>
    <w:uiPriority w:val="0"/>
    <w:pPr>
      <w:ind w:firstLine="480"/>
    </w:pPr>
    <w:rPr>
      <w:rFonts w:ascii="宋体" w:hAnsi="宋体"/>
    </w:rPr>
  </w:style>
  <w:style w:type="paragraph" w:styleId="17">
    <w:name w:val="List Continue 5"/>
    <w:basedOn w:val="1"/>
    <w:unhideWhenUsed/>
    <w:qFormat/>
    <w:uiPriority w:val="99"/>
    <w:pPr>
      <w:spacing w:after="120" w:afterLines="0"/>
      <w:ind w:left="2100" w:leftChars="1000"/>
    </w:pPr>
  </w:style>
  <w:style w:type="paragraph" w:styleId="18">
    <w:name w:val="Balloon Text"/>
    <w:basedOn w:val="1"/>
    <w:link w:val="68"/>
    <w:semiHidden/>
    <w:qFormat/>
    <w:uiPriority w:val="0"/>
    <w:rPr>
      <w:kern w:val="0"/>
      <w:sz w:val="18"/>
      <w:szCs w:val="20"/>
    </w:rPr>
  </w:style>
  <w:style w:type="paragraph" w:styleId="19">
    <w:name w:val="footer"/>
    <w:basedOn w:val="1"/>
    <w:next w:val="20"/>
    <w:link w:val="60"/>
    <w:qFormat/>
    <w:uiPriority w:val="99"/>
    <w:pPr>
      <w:tabs>
        <w:tab w:val="center" w:pos="4153"/>
        <w:tab w:val="right" w:pos="8306"/>
      </w:tabs>
      <w:snapToGrid w:val="0"/>
      <w:jc w:val="left"/>
    </w:pPr>
    <w:rPr>
      <w:kern w:val="0"/>
      <w:sz w:val="18"/>
      <w:szCs w:val="20"/>
    </w:rPr>
  </w:style>
  <w:style w:type="paragraph" w:styleId="20">
    <w:name w:val="Normal (Web)"/>
    <w:basedOn w:val="1"/>
    <w:next w:val="21"/>
    <w:link w:val="63"/>
    <w:qFormat/>
    <w:uiPriority w:val="0"/>
    <w:pPr>
      <w:widowControl/>
      <w:spacing w:before="100" w:beforeAutospacing="1" w:after="100" w:afterAutospacing="1"/>
      <w:jc w:val="left"/>
    </w:pPr>
    <w:rPr>
      <w:rFonts w:ascii="宋体" w:hAnsi="宋体"/>
      <w:kern w:val="0"/>
      <w:szCs w:val="20"/>
    </w:rPr>
  </w:style>
  <w:style w:type="paragraph" w:customStyle="1" w:styleId="21">
    <w:name w:val="toc 84"/>
    <w:next w:val="1"/>
    <w:qFormat/>
    <w:uiPriority w:val="99"/>
    <w:pPr>
      <w:wordWrap w:val="0"/>
      <w:ind w:left="2975"/>
      <w:jc w:val="both"/>
    </w:pPr>
    <w:rPr>
      <w:rFonts w:ascii="Times New Roman" w:hAnsi="Times New Roman" w:eastAsia="宋体" w:cs="Times New Roman"/>
      <w:sz w:val="21"/>
      <w:szCs w:val="22"/>
      <w:lang w:val="en-US" w:eastAsia="zh-CN" w:bidi="ar-SA"/>
    </w:rPr>
  </w:style>
  <w:style w:type="paragraph" w:styleId="22">
    <w:name w:val="header"/>
    <w:basedOn w:val="1"/>
    <w:link w:val="70"/>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toc 1"/>
    <w:basedOn w:val="1"/>
    <w:next w:val="1"/>
    <w:unhideWhenUsed/>
    <w:qFormat/>
    <w:uiPriority w:val="39"/>
    <w:pPr>
      <w:spacing w:line="240" w:lineRule="auto"/>
      <w:ind w:firstLine="0" w:firstLineChars="0"/>
    </w:pPr>
    <w:rPr>
      <w:color w:val="auto"/>
      <w:sz w:val="21"/>
    </w:rPr>
  </w:style>
  <w:style w:type="paragraph" w:styleId="24">
    <w:name w:val="index heading"/>
    <w:basedOn w:val="1"/>
    <w:next w:val="25"/>
    <w:qFormat/>
    <w:uiPriority w:val="0"/>
    <w:rPr>
      <w:rFonts w:ascii="Arial" w:hAnsi="Arial" w:cs="Arial"/>
      <w:b/>
      <w:bCs/>
    </w:rPr>
  </w:style>
  <w:style w:type="paragraph" w:styleId="25">
    <w:name w:val="index 1"/>
    <w:basedOn w:val="1"/>
    <w:next w:val="1"/>
    <w:semiHidden/>
    <w:qFormat/>
    <w:uiPriority w:val="0"/>
    <w:pPr>
      <w:ind w:left="210" w:hanging="210"/>
      <w:jc w:val="center"/>
    </w:pPr>
    <w:rPr>
      <w:szCs w:val="21"/>
    </w:rPr>
  </w:style>
  <w:style w:type="paragraph" w:styleId="26">
    <w:name w:val="List"/>
    <w:basedOn w:val="1"/>
    <w:qFormat/>
    <w:uiPriority w:val="0"/>
    <w:pPr>
      <w:ind w:left="200" w:hanging="200" w:hangingChars="200"/>
    </w:pPr>
  </w:style>
  <w:style w:type="paragraph" w:styleId="27">
    <w:name w:val="table of figures"/>
    <w:basedOn w:val="1"/>
    <w:next w:val="1"/>
    <w:qFormat/>
    <w:uiPriority w:val="0"/>
    <w:pPr>
      <w:ind w:left="200" w:leftChars="200" w:hanging="200" w:hangingChars="200"/>
    </w:pPr>
  </w:style>
  <w:style w:type="paragraph" w:styleId="28">
    <w:name w:val="Body Text 2"/>
    <w:basedOn w:val="1"/>
    <w:qFormat/>
    <w:uiPriority w:val="0"/>
    <w:pPr>
      <w:widowControl/>
      <w:adjustRightInd w:val="0"/>
      <w:snapToGrid w:val="0"/>
    </w:pPr>
    <w:rPr>
      <w:kern w:val="0"/>
      <w:lang w:eastAsia="en-US" w:bidi="en-US"/>
    </w:rPr>
  </w:style>
  <w:style w:type="paragraph" w:styleId="29">
    <w:name w:val="HTML Preformatted"/>
    <w:basedOn w:val="1"/>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30">
    <w:name w:val="annotation subject"/>
    <w:basedOn w:val="9"/>
    <w:next w:val="9"/>
    <w:link w:val="69"/>
    <w:semiHidden/>
    <w:qFormat/>
    <w:uiPriority w:val="0"/>
    <w:rPr>
      <w:b/>
    </w:rPr>
  </w:style>
  <w:style w:type="paragraph" w:styleId="31">
    <w:name w:val="Body Text First Indent"/>
    <w:basedOn w:val="12"/>
    <w:qFormat/>
    <w:uiPriority w:val="0"/>
    <w:pPr>
      <w:adjustRightInd w:val="0"/>
      <w:ind w:firstLine="420" w:firstLineChars="100"/>
    </w:pPr>
    <w:rPr>
      <w:sz w:val="28"/>
      <w:szCs w:val="24"/>
      <w:lang w:eastAsia="en-US" w:bidi="en-US"/>
    </w:rPr>
  </w:style>
  <w:style w:type="paragraph" w:styleId="32">
    <w:name w:val="Body Text First Indent 2"/>
    <w:basedOn w:val="13"/>
    <w:next w:val="1"/>
    <w:qFormat/>
    <w:uiPriority w:val="0"/>
    <w:pPr>
      <w:ind w:firstLine="420"/>
    </w:pPr>
    <w:rPr>
      <w:rFonts w:ascii="Calibri" w:hAnsi="Calibri"/>
      <w:sz w:val="20"/>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basedOn w:val="35"/>
    <w:qFormat/>
    <w:uiPriority w:val="0"/>
    <w:rPr>
      <w:b/>
    </w:rPr>
  </w:style>
  <w:style w:type="character" w:styleId="37">
    <w:name w:val="page number"/>
    <w:basedOn w:val="35"/>
    <w:qFormat/>
    <w:uiPriority w:val="0"/>
  </w:style>
  <w:style w:type="character" w:styleId="38">
    <w:name w:val="FollowedHyperlink"/>
    <w:basedOn w:val="35"/>
    <w:semiHidden/>
    <w:unhideWhenUsed/>
    <w:qFormat/>
    <w:uiPriority w:val="0"/>
    <w:rPr>
      <w:color w:val="005C81"/>
      <w:u w:val="none"/>
    </w:rPr>
  </w:style>
  <w:style w:type="character" w:styleId="39">
    <w:name w:val="Emphasis"/>
    <w:basedOn w:val="35"/>
    <w:qFormat/>
    <w:uiPriority w:val="0"/>
  </w:style>
  <w:style w:type="character" w:styleId="40">
    <w:name w:val="Hyperlink"/>
    <w:basedOn w:val="35"/>
    <w:qFormat/>
    <w:uiPriority w:val="0"/>
    <w:rPr>
      <w:color w:val="005C81"/>
      <w:u w:val="none"/>
    </w:rPr>
  </w:style>
  <w:style w:type="character" w:styleId="41">
    <w:name w:val="annotation reference"/>
    <w:semiHidden/>
    <w:qFormat/>
    <w:uiPriority w:val="0"/>
    <w:rPr>
      <w:sz w:val="21"/>
    </w:rPr>
  </w:style>
  <w:style w:type="paragraph" w:customStyle="1" w:styleId="42">
    <w:name w:val="Default"/>
    <w:basedOn w:val="43"/>
    <w:next w:val="44"/>
    <w:qFormat/>
    <w:uiPriority w:val="0"/>
    <w:pPr>
      <w:autoSpaceDE w:val="0"/>
      <w:autoSpaceDN w:val="0"/>
      <w:adjustRightInd w:val="0"/>
      <w:spacing w:after="200" w:line="276" w:lineRule="auto"/>
    </w:pPr>
    <w:rPr>
      <w:rFonts w:ascii="仿宋_GB2312" w:eastAsia="仿宋_GB2312"/>
      <w:sz w:val="24"/>
    </w:rPr>
  </w:style>
  <w:style w:type="paragraph" w:customStyle="1" w:styleId="43">
    <w:name w:val="纯文本1"/>
    <w:basedOn w:val="1"/>
    <w:qFormat/>
    <w:uiPriority w:val="0"/>
    <w:pPr>
      <w:adjustRightInd w:val="0"/>
      <w:jc w:val="center"/>
    </w:pPr>
    <w:rPr>
      <w:rFonts w:hint="eastAsia" w:ascii="宋体" w:hAnsi="Courier New" w:eastAsia="宋体" w:cs="Times New Roman"/>
      <w:sz w:val="24"/>
      <w:szCs w:val="20"/>
    </w:rPr>
  </w:style>
  <w:style w:type="paragraph" w:customStyle="1" w:styleId="44">
    <w:name w:val="样式 样式 首行缩进:  2 字符 + 首行缩进:  2 字符"/>
    <w:basedOn w:val="1"/>
    <w:next w:val="23"/>
    <w:qFormat/>
    <w:uiPriority w:val="0"/>
    <w:pPr>
      <w:snapToGrid w:val="0"/>
      <w:spacing w:line="360" w:lineRule="auto"/>
      <w:ind w:firstLine="560" w:firstLineChars="200"/>
    </w:pPr>
    <w:rPr>
      <w:rFonts w:ascii="Times New Roman" w:hAnsi="Times New Roman" w:eastAsia="宋体" w:cs="Times New Roman"/>
      <w:sz w:val="28"/>
    </w:rPr>
  </w:style>
  <w:style w:type="paragraph" w:customStyle="1" w:styleId="45">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6">
    <w:name w:val="Default1"/>
    <w:basedOn w:val="47"/>
    <w:next w:val="48"/>
    <w:qFormat/>
    <w:uiPriority w:val="0"/>
    <w:rPr>
      <w:rFonts w:ascii="宋体" w:cs="宋体"/>
      <w:color w:val="000000"/>
      <w:szCs w:val="24"/>
    </w:rPr>
  </w:style>
  <w:style w:type="paragraph" w:customStyle="1" w:styleId="47">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48">
    <w:name w:val="标题4"/>
    <w:basedOn w:val="11"/>
    <w:next w:val="49"/>
    <w:qFormat/>
    <w:uiPriority w:val="0"/>
    <w:pPr>
      <w:jc w:val="left"/>
    </w:pPr>
  </w:style>
  <w:style w:type="paragraph" w:customStyle="1" w:styleId="49">
    <w:name w:val="表格内正文"/>
    <w:basedOn w:val="1"/>
    <w:next w:val="50"/>
    <w:qFormat/>
    <w:uiPriority w:val="0"/>
    <w:pPr>
      <w:ind w:firstLine="493"/>
    </w:pPr>
    <w:rPr>
      <w:rFonts w:ascii="宋体" w:hAnsi="宋体"/>
      <w:spacing w:val="4"/>
      <w:kern w:val="18"/>
    </w:rPr>
  </w:style>
  <w:style w:type="paragraph" w:customStyle="1" w:styleId="50">
    <w:name w:val="A 正文"/>
    <w:basedOn w:val="1"/>
    <w:next w:val="1"/>
    <w:qFormat/>
    <w:uiPriority w:val="0"/>
    <w:pPr>
      <w:ind w:firstLine="200"/>
    </w:pPr>
    <w:rPr>
      <w:rFonts w:ascii="Calibri" w:eastAsia="Calibri"/>
    </w:rPr>
  </w:style>
  <w:style w:type="paragraph" w:customStyle="1" w:styleId="51">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52">
    <w:name w:val="样式 正文文本缩进 + 行距: 1.5 倍行距"/>
    <w:basedOn w:val="1"/>
    <w:qFormat/>
    <w:uiPriority w:val="0"/>
    <w:pPr>
      <w:spacing w:after="120"/>
      <w:ind w:left="90" w:leftChars="32" w:firstLine="560"/>
    </w:pPr>
    <w:rPr>
      <w:rFonts w:cs="宋体"/>
    </w:rPr>
  </w:style>
  <w:style w:type="paragraph" w:customStyle="1" w:styleId="53">
    <w:name w:val="YH正文"/>
    <w:basedOn w:val="1"/>
    <w:qFormat/>
    <w:uiPriority w:val="0"/>
    <w:pPr>
      <w:autoSpaceDE w:val="0"/>
      <w:autoSpaceDN w:val="0"/>
      <w:adjustRightInd w:val="0"/>
      <w:ind w:left="50" w:leftChars="50" w:right="50" w:rightChars="50" w:firstLine="200"/>
      <w:jc w:val="left"/>
    </w:pPr>
    <w:rPr>
      <w:szCs w:val="21"/>
    </w:rPr>
  </w:style>
  <w:style w:type="paragraph" w:customStyle="1" w:styleId="54">
    <w:name w:val="表"/>
    <w:basedOn w:val="1"/>
    <w:qFormat/>
    <w:uiPriority w:val="0"/>
    <w:pPr>
      <w:snapToGrid w:val="0"/>
      <w:spacing w:line="240" w:lineRule="exact"/>
      <w:ind w:firstLine="0" w:firstLineChars="0"/>
      <w:jc w:val="center"/>
    </w:pPr>
    <w:rPr>
      <w:spacing w:val="2"/>
      <w:sz w:val="21"/>
      <w:szCs w:val="21"/>
    </w:rPr>
  </w:style>
  <w:style w:type="paragraph" w:customStyle="1" w:styleId="55">
    <w:name w:val="表格"/>
    <w:basedOn w:val="26"/>
    <w:next w:val="1"/>
    <w:link w:val="57"/>
    <w:qFormat/>
    <w:uiPriority w:val="0"/>
    <w:pPr>
      <w:adjustRightInd w:val="0"/>
      <w:snapToGrid w:val="0"/>
      <w:spacing w:line="240" w:lineRule="auto"/>
      <w:ind w:firstLine="0" w:firstLineChars="0"/>
      <w:jc w:val="center"/>
    </w:pPr>
    <w:rPr>
      <w:kern w:val="0"/>
      <w:sz w:val="21"/>
      <w:szCs w:val="21"/>
    </w:rPr>
  </w:style>
  <w:style w:type="paragraph" w:customStyle="1" w:styleId="56">
    <w:name w:val="表格内表格正文"/>
    <w:basedOn w:val="1"/>
    <w:qFormat/>
    <w:uiPriority w:val="0"/>
    <w:pPr>
      <w:spacing w:line="240" w:lineRule="auto"/>
      <w:ind w:firstLine="0"/>
      <w:jc w:val="center"/>
    </w:pPr>
    <w:rPr>
      <w:spacing w:val="0"/>
      <w:sz w:val="21"/>
      <w:szCs w:val="21"/>
    </w:rPr>
  </w:style>
  <w:style w:type="character" w:customStyle="1" w:styleId="57">
    <w:name w:val="表格 Char"/>
    <w:link w:val="55"/>
    <w:qFormat/>
    <w:uiPriority w:val="0"/>
    <w:rPr>
      <w:rFonts w:ascii="Times New Roman" w:hAnsi="Times New Roman" w:eastAsia="宋体"/>
      <w:sz w:val="21"/>
      <w:szCs w:val="21"/>
    </w:rPr>
  </w:style>
  <w:style w:type="paragraph" w:customStyle="1" w:styleId="5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60">
    <w:name w:val="页脚 Char"/>
    <w:link w:val="19"/>
    <w:qFormat/>
    <w:uiPriority w:val="99"/>
    <w:rPr>
      <w:sz w:val="18"/>
    </w:rPr>
  </w:style>
  <w:style w:type="character" w:customStyle="1" w:styleId="61">
    <w:name w:val="日期 Char"/>
    <w:link w:val="15"/>
    <w:qFormat/>
    <w:uiPriority w:val="0"/>
    <w:rPr>
      <w:rFonts w:ascii="Times New Roman" w:hAnsi="Times New Roman" w:eastAsia="宋体"/>
      <w:sz w:val="24"/>
    </w:rPr>
  </w:style>
  <w:style w:type="character" w:customStyle="1" w:styleId="62">
    <w:name w:val="页脚 字符"/>
    <w:basedOn w:val="35"/>
    <w:qFormat/>
    <w:uiPriority w:val="99"/>
  </w:style>
  <w:style w:type="character" w:customStyle="1" w:styleId="63">
    <w:name w:val="普通(网站) Char"/>
    <w:link w:val="20"/>
    <w:qFormat/>
    <w:uiPriority w:val="0"/>
    <w:rPr>
      <w:rFonts w:ascii="宋体" w:hAnsi="宋体" w:eastAsia="宋体"/>
      <w:sz w:val="24"/>
    </w:rPr>
  </w:style>
  <w:style w:type="character" w:customStyle="1" w:styleId="64">
    <w:name w:val="正文文本 字符1"/>
    <w:semiHidden/>
    <w:qFormat/>
    <w:uiPriority w:val="0"/>
    <w:rPr>
      <w:rFonts w:ascii="Times New Roman" w:hAnsi="Times New Roman" w:eastAsia="宋体"/>
      <w:sz w:val="24"/>
    </w:rPr>
  </w:style>
  <w:style w:type="character" w:customStyle="1" w:styleId="65">
    <w:name w:val="正文文本 Char"/>
    <w:link w:val="12"/>
    <w:qFormat/>
    <w:uiPriority w:val="0"/>
    <w:rPr>
      <w:sz w:val="18"/>
    </w:rPr>
  </w:style>
  <w:style w:type="character" w:customStyle="1" w:styleId="66">
    <w:name w:val="批注文字 Char"/>
    <w:link w:val="9"/>
    <w:qFormat/>
    <w:uiPriority w:val="0"/>
    <w:rPr>
      <w:rFonts w:ascii="Times New Roman" w:hAnsi="Times New Roman" w:eastAsia="宋体"/>
      <w:sz w:val="24"/>
    </w:rPr>
  </w:style>
  <w:style w:type="character" w:customStyle="1" w:styleId="67">
    <w:name w:val="日期 字符"/>
    <w:semiHidden/>
    <w:qFormat/>
    <w:uiPriority w:val="0"/>
    <w:rPr>
      <w:rFonts w:ascii="Times New Roman" w:hAnsi="Times New Roman" w:eastAsia="宋体"/>
      <w:sz w:val="24"/>
    </w:rPr>
  </w:style>
  <w:style w:type="character" w:customStyle="1" w:styleId="68">
    <w:name w:val="批注框文本 Char"/>
    <w:link w:val="18"/>
    <w:semiHidden/>
    <w:qFormat/>
    <w:uiPriority w:val="0"/>
    <w:rPr>
      <w:rFonts w:ascii="Times New Roman" w:hAnsi="Times New Roman" w:eastAsia="宋体"/>
      <w:sz w:val="18"/>
    </w:rPr>
  </w:style>
  <w:style w:type="character" w:customStyle="1" w:styleId="69">
    <w:name w:val="批注主题 Char"/>
    <w:link w:val="30"/>
    <w:semiHidden/>
    <w:qFormat/>
    <w:uiPriority w:val="0"/>
    <w:rPr>
      <w:rFonts w:ascii="Times New Roman" w:hAnsi="Times New Roman" w:eastAsia="宋体"/>
      <w:b/>
      <w:kern w:val="2"/>
      <w:sz w:val="24"/>
    </w:rPr>
  </w:style>
  <w:style w:type="character" w:customStyle="1" w:styleId="70">
    <w:name w:val="页眉 Char"/>
    <w:link w:val="22"/>
    <w:qFormat/>
    <w:uiPriority w:val="0"/>
    <w:rPr>
      <w:sz w:val="18"/>
    </w:rPr>
  </w:style>
  <w:style w:type="character" w:customStyle="1" w:styleId="71">
    <w:name w:val="批注文字 字符1"/>
    <w:semiHidden/>
    <w:qFormat/>
    <w:uiPriority w:val="0"/>
    <w:rPr>
      <w:rFonts w:ascii="Times New Roman" w:hAnsi="Times New Roman" w:eastAsia="宋体"/>
      <w:sz w:val="24"/>
    </w:rPr>
  </w:style>
  <w:style w:type="character" w:customStyle="1" w:styleId="72">
    <w:name w:val="正文文本缩进 Char"/>
    <w:link w:val="13"/>
    <w:semiHidden/>
    <w:qFormat/>
    <w:uiPriority w:val="0"/>
    <w:rPr>
      <w:rFonts w:ascii="Times New Roman" w:hAnsi="Times New Roman" w:eastAsia="宋体"/>
      <w:sz w:val="24"/>
    </w:rPr>
  </w:style>
  <w:style w:type="paragraph" w:customStyle="1" w:styleId="73">
    <w:name w:val="zhang正文"/>
    <w:basedOn w:val="13"/>
    <w:qFormat/>
    <w:uiPriority w:val="0"/>
    <w:pPr>
      <w:autoSpaceDE w:val="0"/>
      <w:autoSpaceDN w:val="0"/>
      <w:adjustRightInd w:val="0"/>
      <w:snapToGrid w:val="0"/>
      <w:spacing w:line="500" w:lineRule="exact"/>
      <w:ind w:firstLine="539"/>
      <w:textAlignment w:val="baseline"/>
    </w:pPr>
    <w:rPr>
      <w:rFonts w:eastAsia="楷体_GB2312"/>
      <w:sz w:val="28"/>
    </w:rPr>
  </w:style>
  <w:style w:type="paragraph" w:customStyle="1" w:styleId="74">
    <w:name w:val="常用表头样式"/>
    <w:basedOn w:val="31"/>
    <w:next w:val="1"/>
    <w:qFormat/>
    <w:uiPriority w:val="0"/>
    <w:pPr>
      <w:overflowPunct w:val="0"/>
      <w:autoSpaceDE w:val="0"/>
      <w:autoSpaceDN w:val="0"/>
      <w:spacing w:after="0" w:line="360" w:lineRule="auto"/>
      <w:ind w:firstLine="0" w:firstLineChars="0"/>
      <w:jc w:val="center"/>
      <w:textAlignment w:val="baseline"/>
    </w:pPr>
    <w:rPr>
      <w:rFonts w:ascii="黑体" w:eastAsia="仿宋_GB2312"/>
      <w:b/>
      <w:szCs w:val="21"/>
    </w:rPr>
  </w:style>
  <w:style w:type="paragraph" w:customStyle="1" w:styleId="75">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76">
    <w:name w:val="样式 表格 + 加粗"/>
    <w:basedOn w:val="55"/>
    <w:qFormat/>
    <w:uiPriority w:val="0"/>
    <w:rPr>
      <w:b/>
    </w:rPr>
  </w:style>
  <w:style w:type="paragraph" w:customStyle="1" w:styleId="77">
    <w:name w:val="Table Paragraph"/>
    <w:basedOn w:val="1"/>
    <w:next w:val="1"/>
    <w:qFormat/>
    <w:uiPriority w:val="1"/>
    <w:rPr>
      <w:rFonts w:ascii="仿宋" w:hAnsi="仿宋" w:eastAsia="仿宋" w:cs="仿宋"/>
      <w:lang w:val="zh-CN" w:bidi="zh-CN"/>
    </w:rPr>
  </w:style>
  <w:style w:type="paragraph" w:customStyle="1" w:styleId="78">
    <w:name w:val="样式 正文首行缩进 + 首行缩进:  0.99 厘米"/>
    <w:basedOn w:val="31"/>
    <w:qFormat/>
    <w:uiPriority w:val="0"/>
    <w:pPr>
      <w:spacing w:after="0" w:line="500" w:lineRule="atLeast"/>
      <w:ind w:firstLine="0" w:firstLineChars="0"/>
      <w:jc w:val="center"/>
    </w:pPr>
    <w:rPr>
      <w:sz w:val="24"/>
    </w:rPr>
  </w:style>
  <w:style w:type="paragraph" w:customStyle="1" w:styleId="79">
    <w:name w:val="文本"/>
    <w:basedOn w:val="1"/>
    <w:qFormat/>
    <w:uiPriority w:val="0"/>
    <w:pPr>
      <w:ind w:firstLine="480"/>
    </w:pPr>
  </w:style>
  <w:style w:type="paragraph" w:customStyle="1" w:styleId="80">
    <w:name w:val="表题"/>
    <w:basedOn w:val="81"/>
    <w:qFormat/>
    <w:uiPriority w:val="0"/>
    <w:pPr>
      <w:widowControl/>
      <w:adjustRightInd w:val="0"/>
      <w:snapToGrid w:val="0"/>
      <w:spacing w:beforeLines="50" w:line="480" w:lineRule="exact"/>
    </w:pPr>
    <w:rPr>
      <w:rFonts w:eastAsia="黑体"/>
      <w:kern w:val="0"/>
      <w:sz w:val="28"/>
      <w:lang w:eastAsia="en-US" w:bidi="en-US"/>
    </w:rPr>
  </w:style>
  <w:style w:type="paragraph" w:styleId="81">
    <w:name w:val="List Paragraph"/>
    <w:basedOn w:val="1"/>
    <w:qFormat/>
    <w:uiPriority w:val="0"/>
    <w:pPr>
      <w:ind w:firstLine="420"/>
    </w:pPr>
  </w:style>
  <w:style w:type="paragraph" w:customStyle="1" w:styleId="82">
    <w:name w:val="p0"/>
    <w:basedOn w:val="1"/>
    <w:qFormat/>
    <w:uiPriority w:val="0"/>
    <w:pPr>
      <w:widowControl/>
    </w:pPr>
    <w:rPr>
      <w:kern w:val="0"/>
      <w:szCs w:val="21"/>
    </w:rPr>
  </w:style>
  <w:style w:type="paragraph" w:styleId="83">
    <w:name w:val="No Spacing"/>
    <w:basedOn w:val="1"/>
    <w:next w:val="1"/>
    <w:qFormat/>
    <w:uiPriority w:val="1"/>
    <w:pPr>
      <w:widowControl/>
      <w:adjustRightInd w:val="0"/>
      <w:snapToGrid w:val="0"/>
    </w:pPr>
    <w:rPr>
      <w:kern w:val="0"/>
      <w:szCs w:val="32"/>
      <w:lang w:eastAsia="en-US" w:bidi="en-US"/>
    </w:rPr>
  </w:style>
  <w:style w:type="paragraph" w:customStyle="1" w:styleId="84">
    <w:name w:val="表格内文字"/>
    <w:basedOn w:val="1"/>
    <w:next w:val="1"/>
    <w:qFormat/>
    <w:uiPriority w:val="0"/>
    <w:pPr>
      <w:tabs>
        <w:tab w:val="left" w:pos="0"/>
      </w:tabs>
      <w:adjustRightInd w:val="0"/>
      <w:snapToGrid w:val="0"/>
      <w:jc w:val="center"/>
    </w:pPr>
    <w:rPr>
      <w:spacing w:val="4"/>
      <w:kern w:val="18"/>
    </w:rPr>
  </w:style>
  <w:style w:type="paragraph" w:customStyle="1" w:styleId="85">
    <w:name w:val="0正文"/>
    <w:basedOn w:val="86"/>
    <w:qFormat/>
    <w:uiPriority w:val="0"/>
    <w:pPr>
      <w:ind w:firstLine="480"/>
    </w:pPr>
  </w:style>
  <w:style w:type="paragraph" w:customStyle="1" w:styleId="86">
    <w:name w:val="正文格式"/>
    <w:basedOn w:val="1"/>
    <w:qFormat/>
    <w:uiPriority w:val="0"/>
    <w:pPr>
      <w:adjustRightInd w:val="0"/>
      <w:snapToGrid w:val="0"/>
      <w:ind w:firstLine="200"/>
    </w:pPr>
  </w:style>
  <w:style w:type="paragraph" w:customStyle="1" w:styleId="87">
    <w:name w:val="B正文"/>
    <w:basedOn w:val="1"/>
    <w:qFormat/>
    <w:uiPriority w:val="0"/>
    <w:pPr>
      <w:spacing w:line="360" w:lineRule="auto"/>
      <w:ind w:firstLine="200" w:firstLineChars="200"/>
    </w:pPr>
    <w:rPr>
      <w:rFonts w:ascii="Times New Roman" w:hAnsi="Times New Roman" w:eastAsia="宋体" w:cs="Times New Roman"/>
      <w:kern w:val="0"/>
      <w:sz w:val="24"/>
      <w:szCs w:val="24"/>
    </w:rPr>
  </w:style>
  <w:style w:type="paragraph" w:customStyle="1" w:styleId="88">
    <w:name w:val="常用表格样式"/>
    <w:basedOn w:val="47"/>
    <w:next w:val="1"/>
    <w:qFormat/>
    <w:uiPriority w:val="0"/>
    <w:pPr>
      <w:spacing w:line="240" w:lineRule="auto"/>
      <w:ind w:firstLine="0"/>
      <w:jc w:val="center"/>
    </w:pPr>
    <w:rPr>
      <w:spacing w:val="2"/>
      <w:sz w:val="18"/>
    </w:rPr>
  </w:style>
  <w:style w:type="paragraph" w:customStyle="1" w:styleId="89">
    <w:name w:val="表格内容"/>
    <w:basedOn w:val="14"/>
    <w:next w:val="1"/>
    <w:link w:val="140"/>
    <w:qFormat/>
    <w:uiPriority w:val="0"/>
    <w:pPr>
      <w:widowControl/>
      <w:overflowPunct w:val="0"/>
      <w:adjustRightInd w:val="0"/>
      <w:snapToGrid w:val="0"/>
      <w:spacing w:line="200" w:lineRule="atLeast"/>
      <w:jc w:val="center"/>
      <w:textAlignment w:val="baseline"/>
    </w:pPr>
    <w:rPr>
      <w:rFonts w:ascii="Arial" w:hAnsi="Arial" w:eastAsia="仿宋_GB2312"/>
      <w:kern w:val="0"/>
      <w:lang w:eastAsia="en-US" w:bidi="en-US"/>
    </w:rPr>
  </w:style>
  <w:style w:type="paragraph" w:customStyle="1" w:styleId="90">
    <w:name w:val="正文1"/>
    <w:basedOn w:val="1"/>
    <w:qFormat/>
    <w:uiPriority w:val="0"/>
    <w:pPr>
      <w:adjustRightInd w:val="0"/>
      <w:snapToGrid w:val="0"/>
      <w:ind w:firstLine="482"/>
    </w:pPr>
    <w:rPr>
      <w:rFonts w:ascii="宋体" w:hAnsi="宋体"/>
      <w:snapToGrid w:val="0"/>
    </w:rPr>
  </w:style>
  <w:style w:type="paragraph" w:customStyle="1" w:styleId="91">
    <w:name w:val="正文1 Char"/>
    <w:basedOn w:val="1"/>
    <w:qFormat/>
    <w:uiPriority w:val="0"/>
    <w:pPr>
      <w:adjustRightInd w:val="0"/>
      <w:ind w:firstLine="480"/>
      <w:textAlignment w:val="baseline"/>
    </w:pPr>
    <w:rPr>
      <w:rFonts w:ascii="宋体" w:hAnsi="宋体"/>
      <w:kern w:val="21"/>
    </w:rPr>
  </w:style>
  <w:style w:type="paragraph" w:customStyle="1" w:styleId="92">
    <w:name w:val="报告正文"/>
    <w:basedOn w:val="1"/>
    <w:qFormat/>
    <w:uiPriority w:val="0"/>
    <w:pPr>
      <w:adjustRightInd w:val="0"/>
      <w:snapToGrid w:val="0"/>
      <w:ind w:firstLine="480"/>
    </w:pPr>
    <w:rPr>
      <w:lang w:val="zh-CN"/>
    </w:rPr>
  </w:style>
  <w:style w:type="paragraph" w:customStyle="1" w:styleId="93">
    <w:name w:val="正文样式"/>
    <w:basedOn w:val="1"/>
    <w:qFormat/>
    <w:uiPriority w:val="0"/>
    <w:pPr>
      <w:adjustRightInd w:val="0"/>
      <w:ind w:firstLine="824"/>
    </w:pPr>
    <w:rPr>
      <w:kern w:val="0"/>
      <w:szCs w:val="20"/>
    </w:rPr>
  </w:style>
  <w:style w:type="paragraph" w:customStyle="1" w:styleId="94">
    <w:name w:val="Char Char1 Char Char Char Char"/>
    <w:basedOn w:val="1"/>
    <w:qFormat/>
    <w:uiPriority w:val="0"/>
    <w:pPr>
      <w:ind w:firstLine="200"/>
    </w:pPr>
    <w:rPr>
      <w:rFonts w:cs="Calibri"/>
    </w:rPr>
  </w:style>
  <w:style w:type="paragraph" w:customStyle="1" w:styleId="95">
    <w:name w:val="表1"/>
    <w:next w:val="1"/>
    <w:qFormat/>
    <w:uiPriority w:val="0"/>
    <w:pPr>
      <w:adjustRightInd w:val="0"/>
      <w:snapToGrid w:val="0"/>
      <w:spacing w:line="320" w:lineRule="exact"/>
      <w:jc w:val="center"/>
    </w:pPr>
    <w:rPr>
      <w:rFonts w:ascii="Times New Roman" w:hAnsi="Times New Roman" w:eastAsia="宋体" w:cs="Times New Roman"/>
      <w:sz w:val="21"/>
      <w:szCs w:val="22"/>
      <w:lang w:val="en-US" w:eastAsia="zh-CN" w:bidi="ar-SA"/>
    </w:rPr>
  </w:style>
  <w:style w:type="paragraph" w:customStyle="1" w:styleId="96">
    <w:name w:val="样式 本正文 + 首行缩进:  2 字符"/>
    <w:basedOn w:val="1"/>
    <w:qFormat/>
    <w:uiPriority w:val="0"/>
    <w:pPr>
      <w:ind w:firstLine="560"/>
    </w:pPr>
    <w:rPr>
      <w:rFonts w:cs="宋体"/>
      <w:sz w:val="28"/>
      <w:szCs w:val="20"/>
    </w:rPr>
  </w:style>
  <w:style w:type="character" w:customStyle="1" w:styleId="97">
    <w:name w:val="layui-this"/>
    <w:basedOn w:val="35"/>
    <w:qFormat/>
    <w:uiPriority w:val="0"/>
    <w:rPr>
      <w:bdr w:val="single" w:color="EEEEEE" w:sz="6" w:space="0"/>
      <w:shd w:val="clear" w:color="auto" w:fill="FFFFFF"/>
    </w:rPr>
  </w:style>
  <w:style w:type="character" w:customStyle="1" w:styleId="98">
    <w:name w:val="first-child"/>
    <w:basedOn w:val="35"/>
    <w:qFormat/>
    <w:uiPriority w:val="0"/>
  </w:style>
  <w:style w:type="paragraph" w:customStyle="1" w:styleId="99">
    <w:name w:val="5图表标题"/>
    <w:basedOn w:val="100"/>
    <w:next w:val="1"/>
    <w:qFormat/>
    <w:uiPriority w:val="0"/>
    <w:pPr>
      <w:adjustRightInd w:val="0"/>
      <w:spacing w:line="360" w:lineRule="auto"/>
      <w:textAlignment w:val="baseline"/>
    </w:pPr>
    <w:rPr>
      <w:rFonts w:ascii="宋体" w:eastAsia="黑体"/>
      <w:b/>
      <w:kern w:val="0"/>
    </w:rPr>
  </w:style>
  <w:style w:type="paragraph" w:customStyle="1" w:styleId="100">
    <w:name w:val="6表格内容"/>
    <w:basedOn w:val="101"/>
    <w:next w:val="1"/>
    <w:qFormat/>
    <w:uiPriority w:val="0"/>
    <w:pPr>
      <w:spacing w:line="240" w:lineRule="auto"/>
      <w:ind w:firstLine="0" w:firstLineChars="0"/>
      <w:jc w:val="center"/>
    </w:pPr>
    <w:rPr>
      <w:sz w:val="21"/>
      <w:szCs w:val="24"/>
    </w:rPr>
  </w:style>
  <w:style w:type="paragraph" w:customStyle="1" w:styleId="101">
    <w:name w:val="0报告正文"/>
    <w:basedOn w:val="1"/>
    <w:qFormat/>
    <w:uiPriority w:val="0"/>
    <w:rPr>
      <w:szCs w:val="22"/>
    </w:rPr>
  </w:style>
  <w:style w:type="paragraph" w:customStyle="1" w:styleId="102">
    <w:name w:val="报告表 小段"/>
    <w:basedOn w:val="1"/>
    <w:qFormat/>
    <w:uiPriority w:val="0"/>
    <w:pPr>
      <w:spacing w:before="120"/>
      <w:ind w:firstLine="522"/>
      <w:jc w:val="left"/>
    </w:pPr>
    <w:rPr>
      <w:rFonts w:ascii="宋体"/>
      <w:szCs w:val="20"/>
    </w:rPr>
  </w:style>
  <w:style w:type="paragraph" w:customStyle="1" w:styleId="103">
    <w:name w:val="样式 正文文本文本正文正文文字 Char Char Char Char + 居中 首行缩进:  0 厘米 段前: 6 磅"/>
    <w:basedOn w:val="12"/>
    <w:qFormat/>
    <w:uiPriority w:val="0"/>
    <w:pPr>
      <w:spacing w:before="120" w:line="240" w:lineRule="auto"/>
      <w:ind w:firstLine="0"/>
      <w:jc w:val="center"/>
    </w:pPr>
    <w:rPr>
      <w:rFonts w:cs="宋体"/>
      <w:w w:val="90"/>
      <w:kern w:val="2"/>
    </w:rPr>
  </w:style>
  <w:style w:type="paragraph" w:customStyle="1" w:styleId="104">
    <w:name w:val="样式 表头 + 段前: 0.5 行"/>
    <w:basedOn w:val="105"/>
    <w:qFormat/>
    <w:uiPriority w:val="0"/>
    <w:pPr>
      <w:spacing w:beforeLines="50" w:line="240" w:lineRule="auto"/>
    </w:pPr>
    <w:rPr>
      <w:rFonts w:hAnsi="宋体" w:cs="宋体"/>
      <w:spacing w:val="6"/>
      <w:kern w:val="10"/>
    </w:rPr>
  </w:style>
  <w:style w:type="paragraph" w:customStyle="1" w:styleId="105">
    <w:name w:val="表头"/>
    <w:basedOn w:val="12"/>
    <w:qFormat/>
    <w:uiPriority w:val="0"/>
    <w:pPr>
      <w:ind w:firstLine="0"/>
      <w:jc w:val="center"/>
    </w:pPr>
  </w:style>
  <w:style w:type="paragraph" w:customStyle="1" w:styleId="106">
    <w:name w:val="表格正文"/>
    <w:basedOn w:val="6"/>
    <w:next w:val="1"/>
    <w:qFormat/>
    <w:uiPriority w:val="0"/>
    <w:pPr>
      <w:adjustRightInd w:val="0"/>
      <w:snapToGrid w:val="0"/>
      <w:jc w:val="center"/>
      <w:textAlignment w:val="baseline"/>
    </w:pPr>
    <w:rPr>
      <w:rFonts w:ascii="宋体"/>
      <w:snapToGrid w:val="0"/>
      <w:spacing w:val="4"/>
      <w:w w:val="90"/>
      <w:kern w:val="0"/>
    </w:rPr>
  </w:style>
  <w:style w:type="paragraph" w:customStyle="1" w:styleId="107">
    <w:name w:val="正文2"/>
    <w:basedOn w:val="1"/>
    <w:qFormat/>
    <w:uiPriority w:val="0"/>
    <w:pPr>
      <w:ind w:firstLine="480"/>
      <w:textAlignment w:val="baseline"/>
    </w:pPr>
    <w:rPr>
      <w:rFonts w:ascii="宋体" w:hAnsi="宋体" w:cs="宋体"/>
      <w:kern w:val="21"/>
    </w:rPr>
  </w:style>
  <w:style w:type="character" w:customStyle="1" w:styleId="108">
    <w:name w:val="标题 1 Char"/>
    <w:link w:val="2"/>
    <w:qFormat/>
    <w:uiPriority w:val="99"/>
    <w:rPr>
      <w:rFonts w:eastAsiaTheme="majorEastAsia"/>
      <w:b/>
      <w:bCs/>
      <w:color w:val="000000"/>
      <w:kern w:val="44"/>
      <w:sz w:val="24"/>
      <w:szCs w:val="24"/>
    </w:rPr>
  </w:style>
  <w:style w:type="paragraph" w:customStyle="1" w:styleId="109">
    <w:name w:val="reader-word-layer"/>
    <w:basedOn w:val="1"/>
    <w:qFormat/>
    <w:uiPriority w:val="0"/>
    <w:pPr>
      <w:widowControl/>
      <w:spacing w:before="100" w:beforeAutospacing="1" w:after="100" w:afterAutospacing="1"/>
      <w:jc w:val="left"/>
    </w:pPr>
    <w:rPr>
      <w:rFonts w:ascii="宋体" w:hAnsi="宋体" w:cs="宋体"/>
      <w:kern w:val="0"/>
    </w:rPr>
  </w:style>
  <w:style w:type="paragraph" w:customStyle="1" w:styleId="110">
    <w:name w:val="D图表小四"/>
    <w:basedOn w:val="1"/>
    <w:qFormat/>
    <w:uiPriority w:val="0"/>
    <w:pPr>
      <w:spacing w:before="120" w:after="120"/>
      <w:jc w:val="center"/>
    </w:pPr>
    <w:rPr>
      <w:b/>
    </w:rPr>
  </w:style>
  <w:style w:type="paragraph" w:customStyle="1" w:styleId="111">
    <w:name w:val="表中文字"/>
    <w:basedOn w:val="1"/>
    <w:qFormat/>
    <w:uiPriority w:val="0"/>
    <w:pPr>
      <w:jc w:val="center"/>
    </w:pPr>
    <w:rPr>
      <w:rFonts w:ascii="宋体"/>
      <w:spacing w:val="4"/>
      <w:w w:val="90"/>
    </w:rPr>
  </w:style>
  <w:style w:type="paragraph" w:customStyle="1" w:styleId="112">
    <w:name w:val="中文报告书样式"/>
    <w:basedOn w:val="1"/>
    <w:qFormat/>
    <w:uiPriority w:val="0"/>
    <w:pPr>
      <w:adjustRightInd w:val="0"/>
      <w:spacing w:line="480" w:lineRule="atLeast"/>
      <w:ind w:firstLine="482"/>
      <w:textAlignment w:val="baseline"/>
    </w:pPr>
    <w:rPr>
      <w:kern w:val="24"/>
      <w:szCs w:val="20"/>
    </w:rPr>
  </w:style>
  <w:style w:type="paragraph" w:customStyle="1" w:styleId="113">
    <w:name w:val="表格居中"/>
    <w:basedOn w:val="1"/>
    <w:qFormat/>
    <w:uiPriority w:val="0"/>
    <w:pPr>
      <w:jc w:val="center"/>
    </w:pPr>
    <w:rPr>
      <w:rFonts w:ascii="宋体" w:hAnsi="宋体" w:cs="宋体"/>
      <w:snapToGrid w:val="0"/>
      <w:spacing w:val="-4"/>
      <w:w w:val="90"/>
      <w:kern w:val="0"/>
    </w:rPr>
  </w:style>
  <w:style w:type="paragraph" w:customStyle="1" w:styleId="114">
    <w:name w:val="表格001"/>
    <w:basedOn w:val="1"/>
    <w:qFormat/>
    <w:uiPriority w:val="0"/>
    <w:pPr>
      <w:jc w:val="center"/>
    </w:pPr>
    <w:rPr>
      <w:szCs w:val="20"/>
    </w:rPr>
  </w:style>
  <w:style w:type="character" w:customStyle="1" w:styleId="115">
    <w:name w:val="text_edit editable-title"/>
    <w:basedOn w:val="35"/>
    <w:qFormat/>
    <w:uiPriority w:val="0"/>
  </w:style>
  <w:style w:type="paragraph" w:customStyle="1" w:styleId="116">
    <w:name w:val="表头样式1"/>
    <w:basedOn w:val="1"/>
    <w:qFormat/>
    <w:uiPriority w:val="0"/>
    <w:pPr>
      <w:spacing w:after="80" w:line="480" w:lineRule="atLeast"/>
      <w:jc w:val="center"/>
    </w:pPr>
    <w:rPr>
      <w:rFonts w:eastAsia="黑体"/>
      <w:b/>
      <w:szCs w:val="20"/>
    </w:rPr>
  </w:style>
  <w:style w:type="paragraph" w:customStyle="1" w:styleId="117">
    <w:name w:val="魏秀珍 表格"/>
    <w:basedOn w:val="1"/>
    <w:qFormat/>
    <w:uiPriority w:val="0"/>
    <w:pPr>
      <w:adjustRightInd w:val="0"/>
      <w:snapToGrid w:val="0"/>
      <w:spacing w:before="120" w:line="320" w:lineRule="exact"/>
      <w:jc w:val="center"/>
    </w:pPr>
    <w:rPr>
      <w:b/>
      <w:bCs/>
      <w:kern w:val="0"/>
    </w:rPr>
  </w:style>
  <w:style w:type="paragraph" w:customStyle="1" w:styleId="118">
    <w:name w:val="魏秀珍   表格文字"/>
    <w:basedOn w:val="12"/>
    <w:qFormat/>
    <w:uiPriority w:val="0"/>
    <w:pPr>
      <w:spacing w:after="0"/>
      <w:jc w:val="center"/>
    </w:pPr>
    <w:rPr>
      <w:rFonts w:ascii="宋体"/>
    </w:rPr>
  </w:style>
  <w:style w:type="paragraph" w:customStyle="1" w:styleId="119">
    <w:name w:val="样式1"/>
    <w:basedOn w:val="24"/>
    <w:next w:val="1"/>
    <w:qFormat/>
    <w:uiPriority w:val="0"/>
    <w:pPr>
      <w:ind w:firstLine="425"/>
    </w:pPr>
    <w:rPr>
      <w:kern w:val="44"/>
    </w:rPr>
  </w:style>
  <w:style w:type="paragraph" w:customStyle="1" w:styleId="120">
    <w:name w:val="D正文"/>
    <w:basedOn w:val="121"/>
    <w:qFormat/>
    <w:uiPriority w:val="0"/>
    <w:pPr>
      <w:ind w:firstLine="480"/>
    </w:pPr>
    <w:rPr>
      <w:rFonts w:hAnsi="宋体"/>
    </w:rPr>
  </w:style>
  <w:style w:type="paragraph" w:customStyle="1" w:styleId="121">
    <w:name w:val="正文对的"/>
    <w:basedOn w:val="13"/>
    <w:semiHidden/>
    <w:qFormat/>
    <w:uiPriority w:val="0"/>
    <w:pPr>
      <w:spacing w:line="500" w:lineRule="exact"/>
      <w:ind w:firstLine="200" w:firstLineChars="0"/>
      <w:jc w:val="left"/>
    </w:pPr>
    <w:rPr>
      <w:rFonts w:hAnsi="宋体"/>
      <w:color w:val="auto"/>
      <w:sz w:val="21"/>
    </w:rPr>
  </w:style>
  <w:style w:type="paragraph" w:customStyle="1" w:styleId="122">
    <w:name w:val="!正文"/>
    <w:basedOn w:val="1"/>
    <w:qFormat/>
    <w:uiPriority w:val="0"/>
    <w:pPr>
      <w:adjustRightInd w:val="0"/>
      <w:snapToGrid w:val="0"/>
      <w:spacing w:line="400" w:lineRule="exact"/>
      <w:ind w:firstLine="200"/>
    </w:pPr>
    <w:rPr>
      <w:szCs w:val="21"/>
    </w:rPr>
  </w:style>
  <w:style w:type="paragraph" w:customStyle="1" w:styleId="123">
    <w:name w:val="表头标题"/>
    <w:basedOn w:val="1"/>
    <w:qFormat/>
    <w:uiPriority w:val="0"/>
    <w:pPr>
      <w:tabs>
        <w:tab w:val="left" w:pos="0"/>
      </w:tabs>
      <w:snapToGrid w:val="0"/>
      <w:spacing w:beforeLines="50" w:line="240" w:lineRule="auto"/>
      <w:ind w:firstLine="0" w:firstLineChars="0"/>
      <w:jc w:val="center"/>
    </w:pPr>
    <w:rPr>
      <w:rFonts w:eastAsia="黑体"/>
    </w:rPr>
  </w:style>
  <w:style w:type="paragraph" w:customStyle="1" w:styleId="124">
    <w:name w:val="aa正文"/>
    <w:basedOn w:val="1"/>
    <w:qFormat/>
    <w:uiPriority w:val="0"/>
    <w:pPr>
      <w:snapToGrid w:val="0"/>
      <w:ind w:firstLine="200"/>
    </w:pPr>
  </w:style>
  <w:style w:type="paragraph" w:customStyle="1" w:styleId="125">
    <w:name w:val="报告书表格目录（林）"/>
    <w:basedOn w:val="27"/>
    <w:qFormat/>
    <w:uiPriority w:val="0"/>
    <w:pPr>
      <w:ind w:left="0" w:leftChars="0" w:firstLine="0" w:firstLineChars="0"/>
      <w:jc w:val="center"/>
    </w:pPr>
    <w:rPr>
      <w:b/>
      <w:szCs w:val="28"/>
    </w:rPr>
  </w:style>
  <w:style w:type="paragraph" w:customStyle="1" w:styleId="126">
    <w:name w:val="报告书表格文（林）"/>
    <w:basedOn w:val="1"/>
    <w:qFormat/>
    <w:uiPriority w:val="0"/>
    <w:pPr>
      <w:spacing w:line="280" w:lineRule="exact"/>
      <w:jc w:val="center"/>
    </w:pPr>
  </w:style>
  <w:style w:type="paragraph" w:customStyle="1" w:styleId="127">
    <w:name w:val="Body Text 22"/>
    <w:basedOn w:val="1"/>
    <w:qFormat/>
    <w:uiPriority w:val="0"/>
    <w:pPr>
      <w:adjustRightInd w:val="0"/>
      <w:spacing w:line="440" w:lineRule="atLeast"/>
      <w:ind w:firstLine="480"/>
      <w:textAlignment w:val="baseline"/>
    </w:pPr>
    <w:rPr>
      <w:rFonts w:eastAsia="仿宋_GB2312"/>
    </w:rPr>
  </w:style>
  <w:style w:type="paragraph" w:customStyle="1" w:styleId="128">
    <w:name w:val="表格内文字 小5"/>
    <w:basedOn w:val="1"/>
    <w:next w:val="1"/>
    <w:qFormat/>
    <w:uiPriority w:val="0"/>
    <w:pPr>
      <w:widowControl/>
      <w:tabs>
        <w:tab w:val="left" w:pos="3345"/>
      </w:tabs>
      <w:adjustRightInd w:val="0"/>
      <w:snapToGrid w:val="0"/>
      <w:ind w:left="-50" w:leftChars="-50" w:right="-50" w:rightChars="-50"/>
      <w:jc w:val="center"/>
    </w:pPr>
    <w:rPr>
      <w:rFonts w:cs="宋体"/>
      <w:iCs/>
      <w:snapToGrid w:val="0"/>
      <w:color w:val="000000"/>
      <w:kern w:val="0"/>
      <w:szCs w:val="18"/>
    </w:rPr>
  </w:style>
  <w:style w:type="paragraph" w:customStyle="1" w:styleId="129">
    <w:name w:val="zl正文"/>
    <w:basedOn w:val="1"/>
    <w:qFormat/>
    <w:uiPriority w:val="0"/>
    <w:pPr>
      <w:ind w:firstLine="480"/>
    </w:pPr>
  </w:style>
  <w:style w:type="paragraph" w:customStyle="1" w:styleId="130">
    <w:name w:val="TOC 标题1"/>
    <w:basedOn w:val="2"/>
    <w:next w:val="1"/>
    <w:unhideWhenUsed/>
    <w:qFormat/>
    <w:uiPriority w:val="39"/>
    <w:pPr>
      <w:keepLines/>
      <w:widowControl/>
      <w:overflowPunct/>
      <w:snapToGrid/>
      <w:spacing w:before="480" w:line="276" w:lineRule="auto"/>
      <w:jc w:val="left"/>
      <w:outlineLvl w:val="9"/>
    </w:pPr>
    <w:rPr>
      <w:rFonts w:asciiTheme="majorHAnsi" w:hAnsiTheme="majorHAnsi" w:cstheme="majorBidi"/>
      <w:color w:val="366091" w:themeColor="accent1" w:themeShade="BF"/>
      <w:kern w:val="0"/>
      <w:sz w:val="28"/>
      <w:szCs w:val="28"/>
    </w:rPr>
  </w:style>
  <w:style w:type="table" w:customStyle="1" w:styleId="131">
    <w:name w:val="Table Normal"/>
    <w:semiHidden/>
    <w:unhideWhenUsed/>
    <w:qFormat/>
    <w:uiPriority w:val="2"/>
    <w:tblPr>
      <w:tblCellMar>
        <w:top w:w="0" w:type="dxa"/>
        <w:left w:w="0" w:type="dxa"/>
        <w:bottom w:w="0" w:type="dxa"/>
        <w:right w:w="0" w:type="dxa"/>
      </w:tblCellMar>
    </w:tblPr>
  </w:style>
  <w:style w:type="paragraph" w:customStyle="1" w:styleId="132">
    <w:name w:val="修订1"/>
    <w:hidden/>
    <w:unhideWhenUsed/>
    <w:qFormat/>
    <w:uiPriority w:val="99"/>
    <w:rPr>
      <w:rFonts w:ascii="Times New Roman" w:hAnsi="Times New Roman" w:eastAsia="宋体" w:cs="Times New Roman"/>
      <w:color w:val="000000" w:themeColor="text1"/>
      <w:kern w:val="2"/>
      <w:sz w:val="24"/>
      <w:szCs w:val="24"/>
      <w:lang w:val="en-US" w:eastAsia="zh-CN" w:bidi="ar-SA"/>
    </w:rPr>
  </w:style>
  <w:style w:type="character" w:styleId="133">
    <w:name w:val="Placeholder Text"/>
    <w:basedOn w:val="35"/>
    <w:unhideWhenUsed/>
    <w:qFormat/>
    <w:uiPriority w:val="99"/>
    <w:rPr>
      <w:color w:val="808080"/>
    </w:rPr>
  </w:style>
  <w:style w:type="paragraph" w:customStyle="1" w:styleId="134">
    <w:name w:val="表格表格表格表格"/>
    <w:basedOn w:val="1"/>
    <w:qFormat/>
    <w:uiPriority w:val="0"/>
    <w:pPr>
      <w:spacing w:line="240" w:lineRule="auto"/>
      <w:ind w:firstLine="0" w:firstLineChars="0"/>
      <w:jc w:val="center"/>
    </w:pPr>
    <w:rPr>
      <w:color w:val="auto"/>
      <w:sz w:val="21"/>
    </w:rPr>
  </w:style>
  <w:style w:type="paragraph" w:customStyle="1" w:styleId="135">
    <w:name w:val="A0正文"/>
    <w:basedOn w:val="1"/>
    <w:qFormat/>
    <w:uiPriority w:val="0"/>
    <w:pPr>
      <w:spacing w:line="500" w:lineRule="exact"/>
      <w:ind w:firstLine="200" w:firstLineChars="0"/>
    </w:pPr>
    <w:rPr>
      <w:rFonts w:cs="宋体"/>
      <w:color w:val="auto"/>
      <w:sz w:val="21"/>
      <w:lang w:val="zh-CN"/>
    </w:rPr>
  </w:style>
  <w:style w:type="paragraph" w:customStyle="1" w:styleId="136">
    <w:name w:val="D图表"/>
    <w:basedOn w:val="137"/>
    <w:qFormat/>
    <w:uiPriority w:val="0"/>
    <w:pPr>
      <w:spacing w:before="120" w:after="120" w:line="240" w:lineRule="auto"/>
      <w:ind w:firstLine="0" w:firstLineChars="0"/>
      <w:jc w:val="center"/>
    </w:pPr>
    <w:rPr>
      <w:color w:val="auto"/>
      <w:kern w:val="0"/>
      <w:sz w:val="21"/>
      <w:szCs w:val="20"/>
    </w:rPr>
  </w:style>
  <w:style w:type="paragraph" w:customStyle="1" w:styleId="137">
    <w:name w:val="图表"/>
    <w:basedOn w:val="116"/>
    <w:semiHidden/>
    <w:qFormat/>
    <w:uiPriority w:val="0"/>
    <w:pPr>
      <w:spacing w:before="120" w:after="120" w:line="240" w:lineRule="auto"/>
      <w:ind w:firstLine="0" w:firstLineChars="0"/>
      <w:jc w:val="center"/>
    </w:pPr>
    <w:rPr>
      <w:kern w:val="2"/>
      <w:sz w:val="21"/>
      <w:szCs w:val="21"/>
    </w:rPr>
  </w:style>
  <w:style w:type="character" w:customStyle="1" w:styleId="138">
    <w:name w:val="文档结构图 Char"/>
    <w:basedOn w:val="35"/>
    <w:link w:val="8"/>
    <w:qFormat/>
    <w:uiPriority w:val="0"/>
    <w:rPr>
      <w:rFonts w:ascii="宋体" w:hAnsi="Times New Roman" w:eastAsia="宋体" w:cs="Times New Roman"/>
      <w:color w:val="000000" w:themeColor="text1"/>
      <w:kern w:val="2"/>
      <w:sz w:val="18"/>
      <w:szCs w:val="18"/>
    </w:rPr>
  </w:style>
  <w:style w:type="paragraph" w:customStyle="1" w:styleId="139">
    <w:name w:val="8"/>
    <w:basedOn w:val="1"/>
    <w:next w:val="28"/>
    <w:link w:val="141"/>
    <w:qFormat/>
    <w:uiPriority w:val="0"/>
    <w:pPr>
      <w:spacing w:line="336" w:lineRule="auto"/>
      <w:ind w:firstLine="0" w:firstLineChars="0"/>
    </w:pPr>
    <w:rPr>
      <w:color w:val="auto"/>
      <w:spacing w:val="10"/>
      <w:szCs w:val="20"/>
    </w:rPr>
  </w:style>
  <w:style w:type="character" w:customStyle="1" w:styleId="140">
    <w:name w:val="表格内容 Char"/>
    <w:link w:val="89"/>
    <w:qFormat/>
    <w:uiPriority w:val="0"/>
    <w:rPr>
      <w:rFonts w:ascii="Arial" w:hAnsi="Arial" w:eastAsia="仿宋_GB2312" w:cs="Times New Roman"/>
      <w:color w:val="000000" w:themeColor="text1"/>
      <w:sz w:val="24"/>
      <w:szCs w:val="24"/>
      <w:lang w:eastAsia="en-US" w:bidi="en-US"/>
    </w:rPr>
  </w:style>
  <w:style w:type="character" w:customStyle="1" w:styleId="141">
    <w:name w:val="8 Char1"/>
    <w:link w:val="139"/>
    <w:qFormat/>
    <w:uiPriority w:val="0"/>
    <w:rPr>
      <w:rFonts w:ascii="Times New Roman" w:hAnsi="Times New Roman" w:eastAsia="宋体" w:cs="Times New Roman"/>
      <w:spacing w:val="10"/>
      <w:kern w:val="2"/>
      <w:sz w:val="24"/>
    </w:rPr>
  </w:style>
  <w:style w:type="paragraph" w:customStyle="1" w:styleId="142">
    <w:name w:val="Char Char Char Char Char Char Char Char Char Char Char Char"/>
    <w:basedOn w:val="1"/>
    <w:qFormat/>
    <w:uiPriority w:val="0"/>
    <w:pPr>
      <w:spacing w:line="240" w:lineRule="auto"/>
      <w:ind w:firstLine="0" w:firstLineChars="0"/>
    </w:pPr>
    <w:rPr>
      <w:color w:val="auto"/>
    </w:rPr>
  </w:style>
  <w:style w:type="paragraph" w:customStyle="1" w:styleId="143">
    <w:name w:val="Char Char Char Char Char Char Char Char Char Char Char Char1"/>
    <w:basedOn w:val="1"/>
    <w:qFormat/>
    <w:uiPriority w:val="0"/>
    <w:pPr>
      <w:spacing w:line="240" w:lineRule="auto"/>
      <w:ind w:firstLine="0" w:firstLineChars="0"/>
    </w:pPr>
    <w:rPr>
      <w:color w:val="auto"/>
    </w:rPr>
  </w:style>
  <w:style w:type="paragraph" w:customStyle="1" w:styleId="144">
    <w:name w:val="Char Char1 Char"/>
    <w:basedOn w:val="1"/>
    <w:qFormat/>
    <w:uiPriority w:val="0"/>
    <w:pPr>
      <w:spacing w:line="240" w:lineRule="auto"/>
      <w:ind w:firstLine="0" w:firstLineChars="0"/>
    </w:pPr>
    <w:rPr>
      <w:rFonts w:ascii="Calibri" w:hAnsi="Calibri" w:eastAsia="等线"/>
      <w:color w:val="auto"/>
      <w:sz w:val="21"/>
    </w:rPr>
  </w:style>
  <w:style w:type="paragraph" w:customStyle="1" w:styleId="145">
    <w:name w:val="表格文字"/>
    <w:basedOn w:val="1"/>
    <w:next w:val="1"/>
    <w:qFormat/>
    <w:uiPriority w:val="0"/>
    <w:pPr>
      <w:snapToGrid w:val="0"/>
      <w:spacing w:line="240" w:lineRule="auto"/>
      <w:ind w:firstLine="0" w:firstLineChars="0"/>
      <w:jc w:val="center"/>
    </w:pPr>
    <w:rPr>
      <w:sz w:val="21"/>
    </w:rPr>
  </w:style>
  <w:style w:type="paragraph" w:customStyle="1" w:styleId="146">
    <w:name w:val="表中正文"/>
    <w:qFormat/>
    <w:uiPriority w:val="0"/>
    <w:pPr>
      <w:adjustRightInd w:val="0"/>
      <w:snapToGrid w:val="0"/>
      <w:spacing w:line="360" w:lineRule="auto"/>
      <w:ind w:firstLine="493"/>
      <w:jc w:val="both"/>
    </w:pPr>
    <w:rPr>
      <w:rFonts w:ascii="宋体" w:hAnsi="Times New Roman" w:eastAsia="宋体" w:cs="Times New Roman"/>
      <w:snapToGrid w:val="0"/>
      <w:spacing w:val="4"/>
      <w:kern w:val="18"/>
      <w:sz w:val="24"/>
      <w:szCs w:val="24"/>
      <w:lang w:val="en-US" w:eastAsia="zh-CN" w:bidi="ar-SA"/>
    </w:rPr>
  </w:style>
  <w:style w:type="character" w:customStyle="1" w:styleId="147">
    <w:name w:val="表头 Char"/>
    <w:basedOn w:val="35"/>
    <w:qFormat/>
    <w:uiPriority w:val="0"/>
    <w:rPr>
      <w:b/>
      <w:spacing w:val="4"/>
      <w:sz w:val="24"/>
      <w:szCs w:val="24"/>
    </w:rPr>
  </w:style>
  <w:style w:type="paragraph" w:customStyle="1" w:styleId="148">
    <w:name w:val="正文文本 22"/>
    <w:basedOn w:val="1"/>
    <w:qFormat/>
    <w:uiPriority w:val="0"/>
    <w:pPr>
      <w:adjustRightInd w:val="0"/>
      <w:jc w:val="center"/>
    </w:pPr>
    <w:rPr>
      <w:spacing w:val="4"/>
      <w:szCs w:val="20"/>
    </w:rPr>
  </w:style>
  <w:style w:type="paragraph" w:customStyle="1" w:styleId="149">
    <w:name w:val="表格中文字"/>
    <w:basedOn w:val="1"/>
    <w:qFormat/>
    <w:uiPriority w:val="0"/>
    <w:pPr>
      <w:adjustRightInd w:val="0"/>
      <w:snapToGrid w:val="0"/>
      <w:jc w:val="center"/>
    </w:pPr>
    <w:rPr>
      <w:rFonts w:ascii="Calibri" w:hAnsi="Calibri"/>
      <w:kern w:val="18"/>
      <w:szCs w:val="21"/>
    </w:rPr>
  </w:style>
  <w:style w:type="paragraph" w:customStyle="1" w:styleId="150">
    <w:name w:val="表头1"/>
    <w:basedOn w:val="1"/>
    <w:next w:val="1"/>
    <w:qFormat/>
    <w:uiPriority w:val="0"/>
    <w:pPr>
      <w:adjustRightInd w:val="0"/>
      <w:snapToGrid w:val="0"/>
      <w:jc w:val="center"/>
    </w:pPr>
    <w:rPr>
      <w:b/>
      <w:szCs w:val="21"/>
    </w:rPr>
  </w:style>
  <w:style w:type="paragraph" w:customStyle="1" w:styleId="151">
    <w:name w:val="【表头】"/>
    <w:basedOn w:val="1"/>
    <w:qFormat/>
    <w:uiPriority w:val="0"/>
    <w:pPr>
      <w:widowControl/>
      <w:spacing w:beforeLines="50"/>
      <w:jc w:val="center"/>
    </w:pPr>
    <w:rPr>
      <w:rFonts w:cs="宋体"/>
      <w:b/>
      <w:szCs w:val="22"/>
    </w:rPr>
  </w:style>
  <w:style w:type="paragraph" w:customStyle="1" w:styleId="152">
    <w:name w:val="D表内"/>
    <w:basedOn w:val="137"/>
    <w:qFormat/>
    <w:uiPriority w:val="0"/>
    <w:pPr>
      <w:snapToGrid w:val="0"/>
      <w:jc w:val="center"/>
    </w:pPr>
    <w:rPr>
      <w:snapToGrid w:val="0"/>
      <w:kern w:val="0"/>
      <w:szCs w:val="21"/>
    </w:rPr>
  </w:style>
  <w:style w:type="table" w:customStyle="1" w:styleId="153">
    <w:name w:val="zh表格样式"/>
    <w:basedOn w:val="33"/>
    <w:qFormat/>
    <w:uiPriority w:val="99"/>
    <w:rPr>
      <w:rFonts w:ascii="Times New Roman" w:hAnsi="Times New Roman" w:eastAsia="宋体" w:cs="Times New Roman"/>
      <w:kern w:val="0"/>
      <w:sz w:val="20"/>
      <w:szCs w:val="20"/>
    </w:rPr>
    <w:tblPr>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rPr>
      <w:jc w:val="center"/>
    </w:trPr>
    <w:tcPr>
      <w:vAlign w:val="center"/>
    </w:tcPr>
  </w:style>
  <w:style w:type="paragraph" w:customStyle="1" w:styleId="154">
    <w:name w:val="A 表头"/>
    <w:basedOn w:val="155"/>
    <w:next w:val="156"/>
    <w:qFormat/>
    <w:uiPriority w:val="0"/>
    <w:pPr>
      <w:spacing w:before="0" w:beforeLines="0"/>
      <w:ind w:firstLine="0" w:firstLineChars="0"/>
      <w:jc w:val="center"/>
    </w:pPr>
    <w:rPr>
      <w:rFonts w:eastAsia="宋体"/>
      <w:b/>
    </w:rPr>
  </w:style>
  <w:style w:type="paragraph" w:customStyle="1" w:styleId="155">
    <w:name w:val="CJ 表格题头"/>
    <w:basedOn w:val="1"/>
    <w:qFormat/>
    <w:uiPriority w:val="0"/>
    <w:pPr>
      <w:spacing w:before="50" w:beforeLines="50"/>
      <w:ind w:firstLine="200" w:firstLineChars="200"/>
    </w:pPr>
    <w:rPr>
      <w:rFonts w:eastAsia="黑体" w:cs="Arial"/>
      <w:sz w:val="24"/>
    </w:rPr>
  </w:style>
  <w:style w:type="paragraph" w:customStyle="1" w:styleId="156">
    <w:name w:val="1表格"/>
    <w:basedOn w:val="1"/>
    <w:qFormat/>
    <w:uiPriority w:val="0"/>
    <w:pPr>
      <w:adjustRightInd w:val="0"/>
      <w:snapToGrid w:val="0"/>
      <w:jc w:val="center"/>
    </w:pPr>
    <w:rPr>
      <w:rFonts w:ascii="宋体" w:hAnsi="宋体"/>
      <w:spacing w:val="4"/>
      <w:sz w:val="24"/>
    </w:rPr>
  </w:style>
  <w:style w:type="paragraph" w:customStyle="1" w:styleId="157">
    <w:name w:val="表格文字1"/>
    <w:basedOn w:val="1"/>
    <w:qFormat/>
    <w:uiPriority w:val="0"/>
    <w:pPr>
      <w:tabs>
        <w:tab w:val="left" w:pos="0"/>
      </w:tabs>
      <w:adjustRightInd w:val="0"/>
      <w:snapToGrid w:val="0"/>
      <w:jc w:val="center"/>
    </w:pPr>
    <w:rPr>
      <w:bCs/>
      <w:color w:val="000000"/>
      <w:kern w:val="0"/>
      <w:sz w:val="20"/>
      <w:szCs w:val="21"/>
    </w:rPr>
  </w:style>
  <w:style w:type="paragraph" w:customStyle="1" w:styleId="158">
    <w:name w:val="表中字"/>
    <w:qFormat/>
    <w:uiPriority w:val="0"/>
    <w:pPr>
      <w:jc w:val="center"/>
    </w:pPr>
    <w:rPr>
      <w:rFonts w:ascii="Times New Roman" w:hAnsi="Times New Roman" w:eastAsia="宋体" w:cs="Times New Roman"/>
      <w:kern w:val="2"/>
      <w:sz w:val="21"/>
      <w:szCs w:val="24"/>
      <w:lang w:val="en-US" w:eastAsia="zh-CN" w:bidi="ar-SA"/>
    </w:rPr>
  </w:style>
  <w:style w:type="paragraph" w:customStyle="1" w:styleId="159">
    <w:name w:val="Normal"/>
    <w:qFormat/>
    <w:uiPriority w:val="0"/>
    <w:pPr>
      <w:jc w:val="both"/>
    </w:pPr>
    <w:rPr>
      <w:rFonts w:ascii="Calibri" w:hAnsi="Calibri" w:eastAsia="宋体" w:cs="Calibri"/>
      <w:kern w:val="2"/>
      <w:sz w:val="21"/>
      <w:szCs w:val="21"/>
      <w:lang w:val="en-US" w:eastAsia="zh-CN" w:bidi="ar-SA"/>
    </w:rPr>
  </w:style>
  <w:style w:type="paragraph" w:customStyle="1" w:styleId="160">
    <w:name w:val="德正表格"/>
    <w:basedOn w:val="1"/>
    <w:qFormat/>
    <w:uiPriority w:val="0"/>
    <w:pPr>
      <w:adjustRightInd w:val="0"/>
      <w:snapToGrid w:val="0"/>
      <w:spacing w:line="240" w:lineRule="auto"/>
      <w:ind w:firstLine="0" w:firstLineChars="0"/>
      <w:jc w:val="center"/>
    </w:pPr>
    <w:rPr>
      <w:rFonts w:hint="default" w:ascii="Times New Roman" w:hAnsi="Times New Roman" w:eastAsia="宋体"/>
      <w:sz w:val="21"/>
    </w:rPr>
  </w:style>
  <w:style w:type="paragraph" w:customStyle="1" w:styleId="161">
    <w:name w:val="1"/>
    <w:basedOn w:val="1"/>
    <w:next w:val="13"/>
    <w:qFormat/>
    <w:uiPriority w:val="0"/>
  </w:style>
  <w:style w:type="paragraph" w:customStyle="1" w:styleId="162">
    <w:name w:val="D表内1磅"/>
    <w:basedOn w:val="163"/>
    <w:qFormat/>
    <w:uiPriority w:val="0"/>
    <w:pPr>
      <w:spacing w:before="20" w:after="20"/>
    </w:pPr>
    <w:rPr>
      <w:rFonts w:ascii="Times New Roman"/>
      <w:spacing w:val="0"/>
    </w:rPr>
  </w:style>
  <w:style w:type="paragraph" w:customStyle="1" w:styleId="163">
    <w:name w:val="D表内0磅"/>
    <w:basedOn w:val="152"/>
    <w:semiHidden/>
    <w:qFormat/>
    <w:uiPriority w:val="0"/>
    <w:pPr>
      <w:jc w:val="center"/>
    </w:pPr>
    <w:rPr>
      <w:rFonts w:ascii="仿宋_GB2312"/>
      <w:spacing w:val="4"/>
      <w:szCs w:val="21"/>
    </w:rPr>
  </w:style>
  <w:style w:type="paragraph" w:customStyle="1" w:styleId="164">
    <w:name w:val="yt表内"/>
    <w:basedOn w:val="165"/>
    <w:next w:val="165"/>
    <w:qFormat/>
    <w:uiPriority w:val="0"/>
    <w:pPr>
      <w:tabs>
        <w:tab w:val="left" w:pos="420"/>
      </w:tabs>
      <w:spacing w:line="300" w:lineRule="auto"/>
      <w:ind w:firstLine="0" w:firstLineChars="0"/>
      <w:jc w:val="center"/>
    </w:pPr>
    <w:rPr>
      <w:rFonts w:ascii="Times New Roman" w:hAnsi="Times New Roman"/>
      <w:sz w:val="21"/>
      <w:szCs w:val="21"/>
    </w:rPr>
  </w:style>
  <w:style w:type="paragraph" w:customStyle="1" w:styleId="165">
    <w:name w:val="yt正文"/>
    <w:basedOn w:val="6"/>
    <w:next w:val="16"/>
    <w:qFormat/>
    <w:uiPriority w:val="0"/>
    <w:pPr>
      <w:spacing w:line="360" w:lineRule="auto"/>
      <w:ind w:firstLine="723" w:firstLineChars="200"/>
    </w:pPr>
    <w:rPr>
      <w:rFonts w:ascii="Times New Roman" w:hAnsi="Times New Roman" w:eastAsia="宋体" w:cs="Times New Roman"/>
      <w:sz w:val="24"/>
      <w:szCs w:val="28"/>
    </w:rPr>
  </w:style>
  <w:style w:type="paragraph" w:customStyle="1" w:styleId="166">
    <w:name w:val="正本文字"/>
    <w:basedOn w:val="1"/>
    <w:qFormat/>
    <w:uiPriority w:val="0"/>
    <w:pPr>
      <w:adjustRightInd w:val="0"/>
      <w:snapToGrid w:val="0"/>
      <w:spacing w:line="360" w:lineRule="auto"/>
      <w:ind w:firstLine="200" w:firstLineChars="200"/>
      <w:jc w:val="left"/>
    </w:pPr>
    <w:rPr>
      <w:rFonts w:cs="宋体"/>
      <w:kern w:val="18"/>
      <w:sz w:val="24"/>
    </w:rPr>
  </w:style>
  <w:style w:type="paragraph" w:customStyle="1" w:styleId="167">
    <w:name w:val="样式 小四 行距: 1.5 倍行距"/>
    <w:basedOn w:val="1"/>
    <w:qFormat/>
    <w:uiPriority w:val="0"/>
    <w:pPr>
      <w:ind w:firstLine="480" w:firstLineChars="200"/>
    </w:pPr>
    <w:rPr>
      <w:rFonts w:hint="default" w:cs="宋体"/>
    </w:rPr>
  </w:style>
  <w:style w:type="paragraph" w:customStyle="1" w:styleId="168">
    <w:name w:val="仿宋  小四"/>
    <w:basedOn w:val="1"/>
    <w:qFormat/>
    <w:uiPriority w:val="0"/>
    <w:pPr>
      <w:adjustRightInd w:val="0"/>
      <w:spacing w:line="360" w:lineRule="auto"/>
      <w:ind w:firstLine="600" w:firstLineChars="200"/>
      <w:jc w:val="left"/>
      <w:textAlignment w:val="baseline"/>
    </w:pPr>
    <w:rPr>
      <w:rFonts w:eastAsia="仿宋"/>
      <w:kern w:val="0"/>
      <w:sz w:val="24"/>
    </w:rPr>
  </w:style>
  <w:style w:type="paragraph" w:customStyle="1" w:styleId="169">
    <w:name w:val="A表内"/>
    <w:basedOn w:val="1"/>
    <w:qFormat/>
    <w:uiPriority w:val="0"/>
    <w:pPr>
      <w:spacing w:line="0" w:lineRule="atLeast"/>
      <w:jc w:val="center"/>
    </w:pPr>
    <w:rPr>
      <w:rFonts w:cs="宋体"/>
      <w:szCs w:val="20"/>
    </w:rPr>
  </w:style>
  <w:style w:type="paragraph" w:customStyle="1" w:styleId="170">
    <w:name w:val="Table Text"/>
    <w:basedOn w:val="1"/>
    <w:semiHidden/>
    <w:qFormat/>
    <w:uiPriority w:val="0"/>
    <w:rPr>
      <w:rFonts w:ascii="宋体" w:hAnsi="宋体" w:eastAsia="宋体" w:cs="宋体"/>
      <w:sz w:val="20"/>
      <w:szCs w:val="20"/>
      <w:lang w:val="en-US" w:eastAsia="en-US" w:bidi="ar-SA"/>
    </w:rPr>
  </w:style>
  <w:style w:type="paragraph" w:customStyle="1" w:styleId="171">
    <w:name w:val="F表"/>
    <w:basedOn w:val="1"/>
    <w:qFormat/>
    <w:uiPriority w:val="0"/>
    <w:pPr>
      <w:spacing w:line="240" w:lineRule="auto"/>
      <w:ind w:firstLine="0" w:firstLineChars="0"/>
      <w:jc w:val="center"/>
    </w:pPr>
    <w:rPr>
      <w:rFonts w:ascii="Times New Roman" w:hAnsi="Times New Roman"/>
      <w:sz w:val="21"/>
    </w:rPr>
  </w:style>
  <w:style w:type="paragraph" w:customStyle="1" w:styleId="172">
    <w:name w:val="01 德正正文"/>
    <w:basedOn w:val="1"/>
    <w:qFormat/>
    <w:uiPriority w:val="0"/>
    <w:pPr>
      <w:widowControl w:val="0"/>
      <w:snapToGrid/>
      <w:spacing w:line="360" w:lineRule="auto"/>
      <w:ind w:firstLine="482"/>
    </w:pPr>
    <w:rPr>
      <w:rFonts w:ascii="Times New Roman" w:hAnsi="Times New Roman" w:eastAsia="宋体"/>
      <w:kern w:val="0"/>
      <w:sz w:val="24"/>
      <w:szCs w:val="24"/>
    </w:rPr>
  </w:style>
  <w:style w:type="paragraph" w:customStyle="1" w:styleId="173">
    <w:name w:val="正文文本1"/>
    <w:basedOn w:val="1"/>
    <w:qFormat/>
    <w:uiPriority w:val="0"/>
    <w:pPr>
      <w:shd w:val="clear" w:color="auto" w:fill="FFFFFF"/>
      <w:spacing w:line="360" w:lineRule="auto"/>
      <w:ind w:firstLine="883" w:firstLineChars="200"/>
    </w:pPr>
    <w:rPr>
      <w:rFonts w:ascii="宋体" w:hAnsi="宋体" w:cs="宋体"/>
      <w:kern w:val="0"/>
      <w:sz w:val="20"/>
      <w:szCs w:val="20"/>
      <w:lang w:val="zh-CN" w:bidi="zh-CN"/>
    </w:rPr>
  </w:style>
  <w:style w:type="paragraph" w:customStyle="1" w:styleId="174">
    <w:name w:val="表格文本"/>
    <w:basedOn w:val="79"/>
    <w:qFormat/>
    <w:uiPriority w:val="0"/>
    <w:pPr>
      <w:adjustRightInd w:val="0"/>
      <w:snapToGrid w:val="0"/>
      <w:spacing w:line="240" w:lineRule="auto"/>
      <w:ind w:firstLine="0" w:firstLineChars="0"/>
      <w:jc w:val="center"/>
    </w:pPr>
    <w:rPr>
      <w:sz w:val="21"/>
      <w:szCs w:val="21"/>
    </w:rPr>
  </w:style>
  <w:style w:type="paragraph" w:customStyle="1" w:styleId="175">
    <w:name w:val="环评表头"/>
    <w:basedOn w:val="1"/>
    <w:qFormat/>
    <w:uiPriority w:val="0"/>
    <w:pPr>
      <w:jc w:val="center"/>
    </w:pPr>
    <w:rPr>
      <w:rFonts w:ascii="Times New Roman" w:hAnsi="Times New Roman" w:cs="Times New Roman"/>
      <w:b/>
      <w:sz w:val="21"/>
      <w:szCs w:val="28"/>
    </w:rPr>
  </w:style>
  <w:style w:type="paragraph" w:customStyle="1" w:styleId="176">
    <w:name w:val="环评表格"/>
    <w:basedOn w:val="1"/>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eastAsia="宋体" w:cs="Times New Roman"/>
      <w:szCs w:val="28"/>
    </w:rPr>
  </w:style>
  <w:style w:type="paragraph" w:customStyle="1" w:styleId="177">
    <w:name w:val="环评正文"/>
    <w:basedOn w:val="1"/>
    <w:qFormat/>
    <w:uiPriority w:val="0"/>
    <w:pPr>
      <w:spacing w:line="360" w:lineRule="auto"/>
      <w:ind w:firstLine="560" w:firstLineChars="200"/>
      <w:jc w:val="left"/>
    </w:pPr>
    <w:rPr>
      <w:rFonts w:ascii="Times New Roman" w:hAnsi="Times New Roman" w:eastAsia="宋体" w:cs="Times New Roman"/>
      <w:sz w:val="24"/>
      <w:szCs w:val="28"/>
    </w:rPr>
  </w:style>
  <w:style w:type="paragraph" w:customStyle="1" w:styleId="178">
    <w:name w:val="【】3级"/>
    <w:basedOn w:val="4"/>
    <w:next w:val="1"/>
    <w:qFormat/>
    <w:uiPriority w:val="0"/>
    <w:pPr>
      <w:numPr>
        <w:ilvl w:val="2"/>
        <w:numId w:val="1"/>
      </w:numPr>
      <w:adjustRightInd/>
      <w:snapToGrid/>
      <w:spacing w:before="0" w:after="0" w:line="500" w:lineRule="exact"/>
      <w:ind w:firstLine="0" w:firstLineChars="0"/>
    </w:pPr>
    <w:rPr>
      <w:rFonts w:cs="宋体"/>
      <w:spacing w:val="6"/>
      <w:kern w:val="0"/>
      <w:sz w:val="24"/>
      <w:szCs w:val="20"/>
    </w:rPr>
  </w:style>
  <w:style w:type="paragraph" w:customStyle="1" w:styleId="179">
    <w:name w:val="F 正文"/>
    <w:basedOn w:val="1"/>
    <w:qFormat/>
    <w:uiPriority w:val="0"/>
    <w:rPr>
      <w:rFonts w:cs="Times New Roman"/>
      <w:bCs/>
    </w:rPr>
  </w:style>
  <w:style w:type="character" w:customStyle="1" w:styleId="180">
    <w:name w:val="15"/>
    <w:basedOn w:val="35"/>
    <w:qFormat/>
    <w:uiPriority w:val="0"/>
    <w:rPr>
      <w:rFonts w:hint="default" w:ascii="Times New Roman" w:hAnsi="Times New Roman" w:cs="Times New Roman"/>
      <w:bCs/>
      <w:kern w:val="2"/>
      <w:sz w:val="24"/>
      <w:szCs w:val="24"/>
    </w:rPr>
  </w:style>
  <w:style w:type="paragraph" w:customStyle="1" w:styleId="181">
    <w:name w:val="正文(首行缩进)"/>
    <w:basedOn w:val="1"/>
    <w:qFormat/>
    <w:uiPriority w:val="0"/>
    <w:pPr>
      <w:ind w:firstLine="600" w:firstLineChars="200"/>
    </w:pPr>
    <w:rPr>
      <w:snapToGrid w:val="0"/>
      <w:kern w:val="0"/>
    </w:rPr>
  </w:style>
  <w:style w:type="paragraph" w:customStyle="1" w:styleId="182">
    <w:name w:val="样式 标题 2"/>
    <w:basedOn w:val="3"/>
    <w:qFormat/>
    <w:uiPriority w:val="0"/>
    <w:pPr>
      <w:tabs>
        <w:tab w:val="left" w:pos="0"/>
      </w:tabs>
      <w:spacing w:before="50" w:after="50"/>
      <w:jc w:val="both"/>
    </w:pPr>
    <w:rPr>
      <w:rFonts w:ascii="Times New Roman" w:hAnsi="Times New Roman" w:eastAsia="宋体" w:cs="Times New Roman"/>
      <w:szCs w:val="28"/>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microsoft.com/office/2006/relationships/keyMapCustomizations" Target="customizations.xml"/><Relationship Id="rId96" Type="http://schemas.openxmlformats.org/officeDocument/2006/relationships/customXml" Target="../customXml/item2.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43.png"/><Relationship Id="rId92" Type="http://schemas.openxmlformats.org/officeDocument/2006/relationships/image" Target="media/image42.png"/><Relationship Id="rId91" Type="http://schemas.openxmlformats.org/officeDocument/2006/relationships/image" Target="media/image41.jpeg"/><Relationship Id="rId90" Type="http://schemas.openxmlformats.org/officeDocument/2006/relationships/image" Target="media/image40.png"/><Relationship Id="rId9" Type="http://schemas.openxmlformats.org/officeDocument/2006/relationships/footer" Target="footer2.xml"/><Relationship Id="rId89" Type="http://schemas.openxmlformats.org/officeDocument/2006/relationships/image" Target="media/image39.png"/><Relationship Id="rId88" Type="http://schemas.openxmlformats.org/officeDocument/2006/relationships/image" Target="media/image38.wmf"/><Relationship Id="rId87" Type="http://schemas.openxmlformats.org/officeDocument/2006/relationships/oleObject" Target="embeddings/oleObject36.bin"/><Relationship Id="rId86" Type="http://schemas.openxmlformats.org/officeDocument/2006/relationships/image" Target="media/image37.png"/><Relationship Id="rId85" Type="http://schemas.openxmlformats.org/officeDocument/2006/relationships/image" Target="media/image36.wmf"/><Relationship Id="rId84" Type="http://schemas.openxmlformats.org/officeDocument/2006/relationships/oleObject" Target="embeddings/oleObject35.bin"/><Relationship Id="rId83" Type="http://schemas.openxmlformats.org/officeDocument/2006/relationships/image" Target="media/image35.wmf"/><Relationship Id="rId82" Type="http://schemas.openxmlformats.org/officeDocument/2006/relationships/oleObject" Target="embeddings/oleObject34.bin"/><Relationship Id="rId81" Type="http://schemas.openxmlformats.org/officeDocument/2006/relationships/image" Target="media/image34.wmf"/><Relationship Id="rId80" Type="http://schemas.openxmlformats.org/officeDocument/2006/relationships/oleObject" Target="embeddings/oleObject33.bin"/><Relationship Id="rId8" Type="http://schemas.openxmlformats.org/officeDocument/2006/relationships/footer" Target="footer1.xml"/><Relationship Id="rId79" Type="http://schemas.openxmlformats.org/officeDocument/2006/relationships/oleObject" Target="embeddings/oleObject32.bin"/><Relationship Id="rId78" Type="http://schemas.openxmlformats.org/officeDocument/2006/relationships/image" Target="media/image33.wmf"/><Relationship Id="rId77" Type="http://schemas.openxmlformats.org/officeDocument/2006/relationships/oleObject" Target="embeddings/oleObject31.bin"/><Relationship Id="rId76" Type="http://schemas.openxmlformats.org/officeDocument/2006/relationships/image" Target="media/image32.wmf"/><Relationship Id="rId75" Type="http://schemas.openxmlformats.org/officeDocument/2006/relationships/oleObject" Target="embeddings/oleObject30.bin"/><Relationship Id="rId74" Type="http://schemas.openxmlformats.org/officeDocument/2006/relationships/oleObject" Target="embeddings/oleObject29.bin"/><Relationship Id="rId73" Type="http://schemas.openxmlformats.org/officeDocument/2006/relationships/image" Target="media/image31.wmf"/><Relationship Id="rId72" Type="http://schemas.openxmlformats.org/officeDocument/2006/relationships/oleObject" Target="embeddings/oleObject28.bin"/><Relationship Id="rId71" Type="http://schemas.openxmlformats.org/officeDocument/2006/relationships/oleObject" Target="embeddings/oleObject27.bin"/><Relationship Id="rId70" Type="http://schemas.openxmlformats.org/officeDocument/2006/relationships/image" Target="media/image30.wmf"/><Relationship Id="rId7" Type="http://schemas.openxmlformats.org/officeDocument/2006/relationships/header" Target="header3.xml"/><Relationship Id="rId69" Type="http://schemas.openxmlformats.org/officeDocument/2006/relationships/oleObject" Target="embeddings/oleObject26.bin"/><Relationship Id="rId68" Type="http://schemas.openxmlformats.org/officeDocument/2006/relationships/image" Target="media/image29.wmf"/><Relationship Id="rId67" Type="http://schemas.openxmlformats.org/officeDocument/2006/relationships/oleObject" Target="embeddings/oleObject25.bin"/><Relationship Id="rId66" Type="http://schemas.openxmlformats.org/officeDocument/2006/relationships/image" Target="media/image28.wmf"/><Relationship Id="rId65" Type="http://schemas.openxmlformats.org/officeDocument/2006/relationships/oleObject" Target="embeddings/oleObject24.bin"/><Relationship Id="rId64" Type="http://schemas.openxmlformats.org/officeDocument/2006/relationships/image" Target="media/image27.wmf"/><Relationship Id="rId63" Type="http://schemas.openxmlformats.org/officeDocument/2006/relationships/oleObject" Target="embeddings/oleObject23.bin"/><Relationship Id="rId62" Type="http://schemas.openxmlformats.org/officeDocument/2006/relationships/image" Target="media/image26.wmf"/><Relationship Id="rId61" Type="http://schemas.openxmlformats.org/officeDocument/2006/relationships/oleObject" Target="embeddings/oleObject22.bin"/><Relationship Id="rId60" Type="http://schemas.openxmlformats.org/officeDocument/2006/relationships/image" Target="media/image25.wmf"/><Relationship Id="rId6" Type="http://schemas.openxmlformats.org/officeDocument/2006/relationships/header" Target="header2.xml"/><Relationship Id="rId59" Type="http://schemas.openxmlformats.org/officeDocument/2006/relationships/oleObject" Target="embeddings/oleObject21.bin"/><Relationship Id="rId58" Type="http://schemas.openxmlformats.org/officeDocument/2006/relationships/image" Target="media/image24.wmf"/><Relationship Id="rId57" Type="http://schemas.openxmlformats.org/officeDocument/2006/relationships/oleObject" Target="embeddings/oleObject20.bin"/><Relationship Id="rId56" Type="http://schemas.openxmlformats.org/officeDocument/2006/relationships/image" Target="media/image23.wmf"/><Relationship Id="rId55" Type="http://schemas.openxmlformats.org/officeDocument/2006/relationships/oleObject" Target="embeddings/oleObject19.bin"/><Relationship Id="rId54" Type="http://schemas.openxmlformats.org/officeDocument/2006/relationships/image" Target="media/image22.wmf"/><Relationship Id="rId53" Type="http://schemas.openxmlformats.org/officeDocument/2006/relationships/oleObject" Target="embeddings/oleObject18.bin"/><Relationship Id="rId52" Type="http://schemas.openxmlformats.org/officeDocument/2006/relationships/image" Target="media/image21.wmf"/><Relationship Id="rId51" Type="http://schemas.openxmlformats.org/officeDocument/2006/relationships/oleObject" Target="embeddings/oleObject17.bin"/><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wmf"/><Relationship Id="rId48" Type="http://schemas.openxmlformats.org/officeDocument/2006/relationships/oleObject" Target="embeddings/oleObject16.bin"/><Relationship Id="rId47" Type="http://schemas.openxmlformats.org/officeDocument/2006/relationships/image" Target="media/image18.emf"/><Relationship Id="rId46" Type="http://schemas.openxmlformats.org/officeDocument/2006/relationships/oleObject" Target="embeddings/oleObject15.bin"/><Relationship Id="rId45" Type="http://schemas.openxmlformats.org/officeDocument/2006/relationships/image" Target="media/image17.emf"/><Relationship Id="rId44" Type="http://schemas.openxmlformats.org/officeDocument/2006/relationships/oleObject" Target="embeddings/oleObject14.bin"/><Relationship Id="rId43" Type="http://schemas.openxmlformats.org/officeDocument/2006/relationships/image" Target="media/image16.wmf"/><Relationship Id="rId42" Type="http://schemas.openxmlformats.org/officeDocument/2006/relationships/oleObject" Target="embeddings/oleObject13.bin"/><Relationship Id="rId41" Type="http://schemas.openxmlformats.org/officeDocument/2006/relationships/image" Target="media/image15.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14.wmf"/><Relationship Id="rId38" Type="http://schemas.openxmlformats.org/officeDocument/2006/relationships/oleObject" Target="embeddings/oleObject11.bin"/><Relationship Id="rId37" Type="http://schemas.openxmlformats.org/officeDocument/2006/relationships/image" Target="media/image13.wmf"/><Relationship Id="rId36" Type="http://schemas.openxmlformats.org/officeDocument/2006/relationships/oleObject" Target="embeddings/oleObject10.bin"/><Relationship Id="rId35" Type="http://schemas.openxmlformats.org/officeDocument/2006/relationships/image" Target="media/image12.wmf"/><Relationship Id="rId34" Type="http://schemas.openxmlformats.org/officeDocument/2006/relationships/oleObject" Target="embeddings/oleObject9.bin"/><Relationship Id="rId33" Type="http://schemas.openxmlformats.org/officeDocument/2006/relationships/image" Target="media/image11.png"/><Relationship Id="rId32" Type="http://schemas.openxmlformats.org/officeDocument/2006/relationships/image" Target="media/image10.wmf"/><Relationship Id="rId31" Type="http://schemas.openxmlformats.org/officeDocument/2006/relationships/oleObject" Target="embeddings/oleObject8.bin"/><Relationship Id="rId30" Type="http://schemas.openxmlformats.org/officeDocument/2006/relationships/image" Target="media/image9.png"/><Relationship Id="rId3" Type="http://schemas.openxmlformats.org/officeDocument/2006/relationships/footnotes" Target="footnotes.xml"/><Relationship Id="rId29" Type="http://schemas.openxmlformats.org/officeDocument/2006/relationships/image" Target="media/image8.emf"/><Relationship Id="rId28" Type="http://schemas.openxmlformats.org/officeDocument/2006/relationships/oleObject" Target="embeddings/oleObject7.bin"/><Relationship Id="rId27" Type="http://schemas.openxmlformats.org/officeDocument/2006/relationships/image" Target="media/image7.emf"/><Relationship Id="rId26" Type="http://schemas.openxmlformats.org/officeDocument/2006/relationships/oleObject" Target="embeddings/oleObject6.bin"/><Relationship Id="rId25" Type="http://schemas.openxmlformats.org/officeDocument/2006/relationships/image" Target="media/image6.emf"/><Relationship Id="rId24" Type="http://schemas.openxmlformats.org/officeDocument/2006/relationships/oleObject" Target="embeddings/oleObject5.bin"/><Relationship Id="rId23" Type="http://schemas.openxmlformats.org/officeDocument/2006/relationships/image" Target="media/image5.emf"/><Relationship Id="rId22" Type="http://schemas.openxmlformats.org/officeDocument/2006/relationships/oleObject" Target="embeddings/oleObject4.bin"/><Relationship Id="rId21" Type="http://schemas.openxmlformats.org/officeDocument/2006/relationships/image" Target="media/image4.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3086"/>
    <customShpInfo spid="_x0000_s3087"/>
    <customShpInfo spid="_x0000_s3076"/>
    <customShpInfo spid="_x0000_s3077"/>
    <customShpInfo spid="_x0000_s3084" textRotate="1"/>
    <customShpInfo spid="_x0000_s3083" textRotate="1"/>
    <customShpInfo spid="_x0000_s3081" textRotate="1"/>
    <customShpInfo spid="_x0000_s3085"/>
    <customShpInfo spid="_x0000_s3078"/>
    <customShpInfo spid="_x0000_s205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4B4EC-4445-4D4A-A286-74DBA9D86A6B}">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130</Pages>
  <Words>1176</Words>
  <Characters>1323</Characters>
  <Lines>449</Lines>
  <Paragraphs>126</Paragraphs>
  <TotalTime>13</TotalTime>
  <ScaleCrop>false</ScaleCrop>
  <LinksUpToDate>false</LinksUpToDate>
  <CharactersWithSpaces>1415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莫莫</cp:lastModifiedBy>
  <cp:lastPrinted>2022-10-25T06:36:00Z</cp:lastPrinted>
  <dcterms:modified xsi:type="dcterms:W3CDTF">2025-12-10T02:03:32Z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85C0125CE5BF46F4A25CE721B85EC25F</vt:lpwstr>
  </property>
  <property fmtid="{D5CDD505-2E9C-101B-9397-08002B2CF9AE}" pid="4" name="KSOTemplateDocerSaveRecord">
    <vt:lpwstr>eyJoZGlkIjoiYjg5MTA1ZTdiYzhiMjg4N2VjNGNjYjBhYjE5OTU1NzUiLCJ1c2VySWQiOiIxMTgyMDYyNzAxIn0=</vt:lpwstr>
  </property>
</Properties>
</file>